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0E3B43"/>
          <w:sz w:val="72"/>
          <w:szCs w:val="72"/>
        </w:rPr>
        <w:t xml:space="preserve">LUMA</w:t>
      </w:r>
    </w:p>
    <w:p>
      <w:pPr>
        <w:spacing w:after="40"/>
      </w:pPr>
      <w:r>
        <w:rPr>
          <w:color w:val="17A2B8"/>
          <w:sz w:val="44"/>
          <w:szCs w:val="44"/>
        </w:rPr>
        <w:t xml:space="preserve">Competitor UX Benchmark</w:t>
      </w:r>
    </w:p>
    <w:p>
      <w:pPr>
        <w:spacing w:after="240"/>
      </w:pPr>
      <w:r>
        <w:rPr>
          <w:color w:val="6B6B6B"/>
          <w:sz w:val="22"/>
          <w:szCs w:val="22"/>
        </w:rPr>
        <w:t xml:space="preserve">Executive Report  ·  Phase 9 of 9  ·  21 July 2026</w:t>
      </w:r>
    </w:p>
    <w:p>
      <w:pPr>
        <w:spacing w:after="120" w:line="276"/>
      </w:pPr>
      <w:r>
        <w:rPr>
          <w:color w:val="1E1E1E"/>
          <w:sz w:val="22"/>
          <w:szCs w:val="22"/>
        </w:rPr>
        <w:t xml:space="preserve">A nine-phase competitive analysis for a first-time-traveller product at ideation. Evidence-graded throughout.</w:t>
      </w:r>
    </w:p>
    <w:p>
      <w:pPr>
        <w:pBdr>
          <w:top w:val="single" w:color="FFC943" w:sz="8"/>
          <w:bottom w:val="single" w:color="FFC943" w:sz="8"/>
          <w:left w:val="single" w:color="FFC943" w:sz="8"/>
          <w:right w:val="single" w:color="FFC943" w:sz="8"/>
        </w:pBdr>
        <w:shd w:fill="FCEFCC" w:color="auto" w:val="clear"/>
        <w:spacing w:after="0" w:before="200"/>
      </w:pPr>
      <w:r>
        <w:rPr>
          <w:b/>
          <w:bCs/>
          <w:color w:val="8A5A12"/>
          <w:sz w:val="20"/>
          <w:szCs w:val="20"/>
        </w:rPr>
        <w:t xml:space="preserve">EVIDENCE WARNING</w:t>
      </w:r>
    </w:p>
    <w:p>
      <w:pPr>
        <w:shd w:fill="FCEFCC" w:color="auto" w:val="clear"/>
        <w:spacing w:after="40"/>
      </w:pPr>
      <w:r>
        <w:rPr>
          <w:color w:val="5a4a1a"/>
          <w:sz w:val="19"/>
          <w:szCs w:val="19"/>
        </w:rPr>
        <w:t xml:space="preserve">This is desk research plus live-product walkthroughs, not user research. Findings about what the market does are High confidence. The user premise, that first-time travellers want to choose on stress, is unresearched and carried at Low. Six of fourteen competitors are profiled. Read every recommendation against those two limits.</w:t>
      </w:r>
    </w:p>
    <w:p>
      <w:pPr>
        <w:spacing w:after="120"/>
      </w:pPr>
      <w:r>
        <w:br w:type="page"/>
      </w:r>
    </w:p>
    <w:p>
      <w:pPr>
        <w:pStyle w:val="Heading1"/>
        <w:spacing w:after="120" w:before="280"/>
      </w:pPr>
      <w:r>
        <w:rPr>
          <w:b/>
          <w:bCs/>
          <w:color w:val="0E3B43"/>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280"/>
      </w:pPr>
      <w:r>
        <w:rPr>
          <w:b/>
          <w:bCs/>
          <w:color w:val="0E3B43"/>
        </w:rPr>
        <w:t xml:space="preserve">1. Executive summary</w:t>
      </w:r>
    </w:p>
    <w:p>
      <w:pPr>
        <w:spacing w:after="120" w:line="276"/>
      </w:pPr>
      <w:r>
        <w:rPr>
          <w:b/>
          <w:bCs/>
          <w:sz w:val="21"/>
          <w:szCs w:val="21"/>
        </w:rPr>
        <w:t xml:space="preserve">The recommendation. </w:t>
      </w:r>
      <w:r>
        <w:rPr>
          <w:sz w:val="21"/>
          <w:szCs w:val="21"/>
        </w:rPr>
        <w:t xml:space="preserve">Own the moment a first-time traveller chooses, by making the least stressful option visible and choosable, and front-load the confidence that every incumbent makes users earn. Enter as a referral layer over one vertical, and move to a subscription companion once the confidence bet is proven. Do not become an OTA at ideation.</w:t>
      </w:r>
    </w:p>
    <w:p>
      <w:pPr>
        <w:spacing w:after="120" w:line="276"/>
      </w:pPr>
      <w:r>
        <w:rPr>
          <w:b/>
          <w:bCs/>
          <w:sz w:val="21"/>
          <w:szCs w:val="21"/>
        </w:rPr>
        <w:t xml:space="preserve">Why here. </w:t>
      </w:r>
      <w:r>
        <w:rPr>
          <w:sz w:val="21"/>
          <w:szCs w:val="21"/>
        </w:rPr>
        <w:t xml:space="preserve">The plan-and-compare decision is the only stage where the differentiating axis is verifiably vacant. Across the six profiled competitors, every result sort resolves to price, time, distance, rating or star; only Google Travel offers one axis outside that set, emissions (High). No product lets a traveller choose on ease or stress. That gap is the wedge.</w:t>
      </w:r>
    </w:p>
    <w:p>
      <w:pPr>
        <w:spacing w:after="120" w:line="276"/>
      </w:pPr>
      <w:r>
        <w:rPr>
          <w:b/>
          <w:bCs/>
          <w:sz w:val="21"/>
          <w:szCs w:val="21"/>
        </w:rPr>
        <w:t xml:space="preserve">The strongest structural position. </w:t>
      </w:r>
      <w:r>
        <w:rPr>
          <w:sz w:val="21"/>
          <w:szCs w:val="21"/>
        </w:rPr>
        <w:t xml:space="preserve">Priority support is gated by tenure. Booking.com grants it only at Genius Level 3, which requires 15 bookings in two years (Medium). A booking-count loyalty model cannot front help to a zero-booking newcomer without breaking its own economics. Fronting confidence to the first-timer is therefore a wall incumbents cannot copy, not a race.</w:t>
      </w:r>
    </w:p>
    <w:p>
      <w:pPr>
        <w:spacing w:after="120" w:line="276"/>
      </w:pPr>
      <w:r>
        <w:rPr>
          <w:b/>
          <w:bCs/>
          <w:sz w:val="21"/>
          <w:szCs w:val="21"/>
        </w:rPr>
        <w:t xml:space="preserve">The honest limit. </w:t>
      </w:r>
      <w:r>
        <w:rPr>
          <w:sz w:val="21"/>
          <w:szCs w:val="21"/>
        </w:rPr>
        <w:t xml:space="preserve">The strategy is decisive about where to play, and that decisiveness rests on High-confidence evidence about the market. Its user premise rests on Low-confidence inference, because no first-timer research is held. Research is the first recommended move, not the last.</w:t>
      </w:r>
    </w:p>
    <w:p>
      <w:pPr>
        <w:pStyle w:val="Heading1"/>
        <w:spacing w:after="120" w:before="280"/>
      </w:pPr>
      <w:r>
        <w:rPr>
          <w:b/>
          <w:bCs/>
          <w:color w:val="0E3B43"/>
        </w:rPr>
        <w:t xml:space="preserve">2. Method and evidence standard</w:t>
      </w:r>
    </w:p>
    <w:p>
      <w:pPr>
        <w:spacing w:after="120" w:line="276"/>
      </w:pPr>
      <w:r>
        <w:rPr>
          <w:color w:val="1E1E1E"/>
          <w:sz w:val="21"/>
          <w:szCs w:val="21"/>
        </w:rPr>
        <w:t xml:space="preserve">The analysis ran as nine gated phases: benchmark plan, per-competitor research, feature inventory, pattern analysis, journey comparison, white-space analysis, opportunity scoring, strategy, and this report. Each phase consumed the previous phase's output and produced a named artefact.</w:t>
      </w:r>
    </w:p>
    <w:p>
      <w:pPr>
        <w:spacing w:after="120" w:line="276"/>
      </w:pPr>
      <w:r>
        <w:rPr>
          <w:b/>
          <w:bCs/>
          <w:sz w:val="21"/>
          <w:szCs w:val="21"/>
        </w:rPr>
        <w:t xml:space="preserve">Evidence ladder. </w:t>
      </w:r>
      <w:r>
        <w:rPr>
          <w:sz w:val="21"/>
          <w:szCs w:val="21"/>
        </w:rPr>
        <w:t xml:space="preserve">Every claim is tagged. High means observed in the live product. Medium means first-party documentation, help centre or changelog. Low means marketing, press or inference. Vendor claims are labelled as vendor claims permanently. Absence of evidence is never recorded as a finding; where a capability was not verified it is Unknown.</w:t>
      </w:r>
    </w:p>
    <w:p>
      <w:pPr>
        <w:pStyle w:val="Heading2"/>
        <w:spacing w:after="80" w:before="200"/>
      </w:pPr>
      <w:r>
        <w:rPr>
          <w:b/>
          <w:bCs/>
          <w:color w:val="1E1E1E"/>
        </w:rPr>
        <w:t xml:space="preserve">Tier coverage reached per competitor</w:t>
      </w:r>
    </w:p>
    <w:tbl>
      <w:tblPr>
        <w:tblW w:type="dxa" w:w="9360"/>
        <w:tblBorders>
          <w:top w:val="single" w:color="D9D9D9" w:sz="2"/>
          <w:left w:val="single" w:color="D9D9D9" w:sz="2"/>
          <w:bottom w:val="single" w:color="D9D9D9" w:sz="2"/>
          <w:right w:val="single" w:color="D9D9D9" w:sz="2"/>
          <w:insideH w:val="single" w:color="E4E4E4" w:sz="2"/>
          <w:insideV w:val="single" w:color="E4E4E4" w:sz="2"/>
        </w:tblBorders>
      </w:tblPr>
      <w:tblGrid>
        <w:gridCol w:w="1700"/>
        <w:gridCol w:w="2600"/>
        <w:gridCol w:w="2600"/>
        <w:gridCol w:w="2460"/>
      </w:tblGrid>
      <w:tr>
        <w:trPr>
          <w:tblHeader/>
        </w:trPr>
        <w:tc>
          <w:tcPr>
            <w:tcW w:type="dxa" w:w="1700"/>
            <w:shd w:fill="0E3B43" w:color="auto" w:val="clear"/>
            <w:tcMar>
              <w:top w:type="dxa" w:w="60"/>
              <w:left w:type="dxa" w:w="90"/>
              <w:bottom w:type="dxa" w:w="60"/>
              <w:right w:type="dxa" w:w="90"/>
            </w:tcMar>
            <w:vAlign w:val="center"/>
          </w:tcPr>
          <w:p>
            <w:pPr>
              <w:jc w:val="left"/>
            </w:pPr>
            <w:r>
              <w:rPr>
                <w:b/>
                <w:bCs/>
                <w:color w:val="FFFFFF"/>
                <w:sz w:val="18"/>
                <w:szCs w:val="18"/>
              </w:rPr>
              <w:t xml:space="preserve">Competitor</w:t>
            </w:r>
          </w:p>
        </w:tc>
        <w:tc>
          <w:tcPr>
            <w:tcW w:type="dxa" w:w="2600"/>
            <w:shd w:fill="0E3B43" w:color="auto" w:val="clear"/>
            <w:tcMar>
              <w:top w:type="dxa" w:w="60"/>
              <w:left w:type="dxa" w:w="90"/>
              <w:bottom w:type="dxa" w:w="60"/>
              <w:right w:type="dxa" w:w="90"/>
            </w:tcMar>
            <w:vAlign w:val="center"/>
          </w:tcPr>
          <w:p>
            <w:pPr>
              <w:jc w:val="center"/>
            </w:pPr>
            <w:r>
              <w:rPr>
                <w:b/>
                <w:bCs/>
                <w:color w:val="FFFFFF"/>
                <w:sz w:val="18"/>
                <w:szCs w:val="18"/>
              </w:rPr>
              <w:t xml:space="preserve">Access this run</w:t>
            </w:r>
          </w:p>
        </w:tc>
        <w:tc>
          <w:tcPr>
            <w:tcW w:type="dxa" w:w="2600"/>
            <w:shd w:fill="0E3B43" w:color="auto" w:val="clear"/>
            <w:tcMar>
              <w:top w:type="dxa" w:w="60"/>
              <w:left w:type="dxa" w:w="90"/>
              <w:bottom w:type="dxa" w:w="60"/>
              <w:right w:type="dxa" w:w="90"/>
            </w:tcMar>
            <w:vAlign w:val="center"/>
          </w:tcPr>
          <w:p>
            <w:pPr>
              <w:jc w:val="center"/>
            </w:pPr>
            <w:r>
              <w:rPr>
                <w:b/>
                <w:bCs/>
                <w:color w:val="FFFFFF"/>
                <w:sz w:val="18"/>
                <w:szCs w:val="18"/>
              </w:rPr>
              <w:t xml:space="preserve">Highest tier reached</w:t>
            </w:r>
          </w:p>
        </w:tc>
        <w:tc>
          <w:tcPr>
            <w:tcW w:type="dxa" w:w="2460"/>
            <w:shd w:fill="0E3B43" w:color="auto" w:val="clear"/>
            <w:tcMar>
              <w:top w:type="dxa" w:w="60"/>
              <w:left w:type="dxa" w:w="90"/>
              <w:bottom w:type="dxa" w:w="60"/>
              <w:right w:type="dxa" w:w="90"/>
            </w:tcMar>
            <w:vAlign w:val="center"/>
          </w:tcPr>
          <w:p>
            <w:pPr>
              <w:jc w:val="center"/>
            </w:pPr>
            <w:r>
              <w:rPr>
                <w:b/>
                <w:bCs/>
                <w:color w:val="FFFFFF"/>
                <w:sz w:val="18"/>
                <w:szCs w:val="18"/>
              </w:rPr>
              <w:t xml:space="preserve">Session state</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Expedia</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Live web walkthrough + docs</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1 (Verified)</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out, Spain, USD</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Booking.com</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Live web walkthrough + docs</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1 (Verified)</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out, Spain, EUR</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TripIt</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Public site + help centre</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2 (docs); app-walled</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out</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Hopper</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Live web (partial) + help centre</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1 partial; prediction app-exclusive</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out, Spain, USD</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Google Travel</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Live web walkthrough</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1 (Verified), no docs swept</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IN, Spain, EUR</w:t>
            </w:r>
          </w:p>
        </w:tc>
      </w:tr>
      <w:tr>
        <w:tc>
          <w:tcPr>
            <w:tcW w:type="dxa" w:w="1700"/>
            <w:tcMar>
              <w:top w:type="dxa" w:w="60"/>
              <w:left w:type="dxa" w:w="90"/>
              <w:bottom w:type="dxa" w:w="60"/>
              <w:right w:type="dxa" w:w="90"/>
            </w:tcMar>
            <w:vAlign w:val="center"/>
          </w:tcPr>
          <w:p>
            <w:pPr>
              <w:jc w:val="left"/>
            </w:pPr>
            <w:r>
              <w:rPr>
                <w:b/>
                <w:bCs/>
                <w:color w:val="1E1E1E"/>
                <w:sz w:val="18"/>
                <w:szCs w:val="18"/>
              </w:rPr>
              <w:t xml:space="preserve">Tripadvisor</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Live web + business docs</w:t>
            </w:r>
          </w:p>
        </w:tc>
        <w:tc>
          <w:tcPr>
            <w:tcW w:type="dxa" w:w="2600"/>
            <w:tcMar>
              <w:top w:type="dxa" w:w="60"/>
              <w:left w:type="dxa" w:w="90"/>
              <w:bottom w:type="dxa" w:w="60"/>
              <w:right w:type="dxa" w:w="90"/>
            </w:tcMar>
            <w:vAlign w:val="center"/>
          </w:tcPr>
          <w:p>
            <w:pPr>
              <w:jc w:val="left"/>
            </w:pPr>
            <w:r>
              <w:rPr>
                <w:b w:val="false"/>
                <w:bCs w:val="false"/>
                <w:color w:val="1E1E1E"/>
                <w:sz w:val="18"/>
                <w:szCs w:val="18"/>
              </w:rPr>
              <w:t xml:space="preserve">Tier 1 (Verified)</w:t>
            </w:r>
          </w:p>
        </w:tc>
        <w:tc>
          <w:tcPr>
            <w:tcW w:type="dxa" w:w="2460"/>
            <w:tcMar>
              <w:top w:type="dxa" w:w="60"/>
              <w:left w:type="dxa" w:w="90"/>
              <w:bottom w:type="dxa" w:w="60"/>
              <w:right w:type="dxa" w:w="90"/>
            </w:tcMar>
            <w:vAlign w:val="center"/>
          </w:tcPr>
          <w:p>
            <w:pPr>
              <w:jc w:val="left"/>
            </w:pPr>
            <w:r>
              <w:rPr>
                <w:b w:val="false"/>
                <w:bCs w:val="false"/>
                <w:color w:val="1E1E1E"/>
                <w:sz w:val="18"/>
                <w:szCs w:val="18"/>
              </w:rPr>
              <w:t xml:space="preserve">Signed out; AI chat pre-populated</w:t>
            </w:r>
          </w:p>
        </w:tc>
      </w:tr>
    </w:tbl>
    <w:p>
      <w:pPr>
        <w:pStyle w:val="Heading1"/>
        <w:spacing w:after="120" w:before="280"/>
      </w:pPr>
      <w:r>
        <w:rPr>
          <w:b/>
          <w:bCs/>
          <w:color w:val="0E3B43"/>
        </w:rPr>
        <w:t xml:space="preserve">3. Key findings</w:t>
      </w:r>
    </w:p>
    <w:p>
      <w:pPr>
        <w:pStyle w:val="ListParagraph"/>
        <w:numPr>
          <w:ilvl w:val="0"/>
          <w:numId w:val="1"/>
        </w:numPr>
        <w:spacing w:after="70" w:line="270"/>
      </w:pPr>
      <w:r>
        <w:rPr>
          <w:color w:val="1E1E1E"/>
          <w:sz w:val="21"/>
          <w:szCs w:val="21"/>
        </w:rPr>
        <w:t xml:space="preserve">Only Google Travel lets a user choose on an axis outside price, time and rating (emissions). A stress or ease axis is verified vacant across the six. High.</w:t>
      </w:r>
    </w:p>
    <w:p>
      <w:pPr>
        <w:pStyle w:val="ListParagraph"/>
        <w:numPr>
          <w:ilvl w:val="0"/>
          <w:numId w:val="1"/>
        </w:numPr>
        <w:spacing w:after="70" w:line="270"/>
      </w:pPr>
      <w:r>
        <w:rPr>
          <w:color w:val="1E1E1E"/>
          <w:sz w:val="21"/>
          <w:szCs w:val="21"/>
        </w:rPr>
        <w:t xml:space="preserve">No single competitor is strong across the journey. Strengths cluster: Expedia and Booking.com at compare and book; TripIt at prepare and travel day; Tripadvisor at discover and in-destination. High.</w:t>
      </w:r>
    </w:p>
    <w:p>
      <w:pPr>
        <w:pStyle w:val="ListParagraph"/>
        <w:numPr>
          <w:ilvl w:val="0"/>
          <w:numId w:val="1"/>
        </w:numPr>
        <w:spacing w:after="70" w:line="270"/>
      </w:pPr>
      <w:r>
        <w:rPr>
          <w:color w:val="1E1E1E"/>
          <w:sz w:val="21"/>
          <w:szCs w:val="21"/>
        </w:rPr>
        <w:t xml:space="preserve">Priority human support is gated by booking tenure (Booking.com Genius, 15 bookings for Level 3), so the first-timer who needs it most is structurally excluded. Medium.</w:t>
      </w:r>
    </w:p>
    <w:p>
      <w:pPr>
        <w:pStyle w:val="ListParagraph"/>
        <w:numPr>
          <w:ilvl w:val="0"/>
          <w:numId w:val="1"/>
        </w:numPr>
        <w:spacing w:after="70" w:line="270"/>
      </w:pPr>
      <w:r>
        <w:rPr>
          <w:color w:val="1E1E1E"/>
          <w:sz w:val="21"/>
          <w:szCs w:val="21"/>
        </w:rPr>
        <w:t xml:space="preserve">Travel day and return are the emptiest stages of the journey. What exists is paid or app-only, so it barely appears on the open web. High for the web gap; Unknown for return, which was not walked.</w:t>
      </w:r>
    </w:p>
    <w:p>
      <w:pPr>
        <w:pStyle w:val="ListParagraph"/>
        <w:numPr>
          <w:ilvl w:val="0"/>
          <w:numId w:val="1"/>
        </w:numPr>
        <w:spacing w:after="70" w:line="270"/>
      </w:pPr>
      <w:r>
        <w:rPr>
          <w:color w:val="1E1E1E"/>
          <w:sz w:val="21"/>
          <w:szCs w:val="21"/>
        </w:rPr>
        <w:t xml:space="preserve">What "AI" refers to ranges from a shipped one-question form (Expedia, Booking.com) to a shipped conversational planner (Tripadvisor) to a marketed but unshipped assistant (Expedia Romie, Low). The gap between claim and shipped reality is widest here. High.</w:t>
      </w:r>
    </w:p>
    <w:p>
      <w:pPr>
        <w:pStyle w:val="ListParagraph"/>
        <w:numPr>
          <w:ilvl w:val="0"/>
          <w:numId w:val="1"/>
        </w:numPr>
        <w:spacing w:after="70" w:line="270"/>
      </w:pPr>
      <w:r>
        <w:rPr>
          <w:color w:val="1E1E1E"/>
          <w:sz w:val="21"/>
          <w:szCs w:val="21"/>
        </w:rPr>
        <w:t xml:space="preserve">Interpretation, Low: reassurance is delivered per-surface, at book, at compare, at destination, but never carried as a continuous state, so the first-timer's confidence resets at each stage.</w:t>
      </w:r>
    </w:p>
    <w:p>
      <w:pPr>
        <w:pStyle w:val="Heading1"/>
        <w:spacing w:after="120" w:before="280"/>
      </w:pPr>
      <w:r>
        <w:rPr>
          <w:b/>
          <w:bCs/>
          <w:color w:val="0E3B43"/>
        </w:rPr>
        <w:t xml:space="preserve">4. Feature matrix and journey coverage</w:t>
      </w:r>
    </w:p>
    <w:p>
      <w:pPr>
        <w:spacing w:after="120" w:line="276"/>
      </w:pPr>
      <w:r>
        <w:rPr>
          <w:color w:val="1E1E1E"/>
          <w:sz w:val="21"/>
          <w:szCs w:val="21"/>
        </w:rPr>
        <w:t xml:space="preserve">Six decisive features across the six competitors, coloured by value. The full 55-feature grid is in luma-feature-inventory.xlsx.</w:t>
      </w:r>
    </w:p>
    <w:tbl>
      <w:tblPr>
        <w:tblW w:type="dxa" w:w="9360"/>
        <w:tblBorders>
          <w:top w:val="single" w:color="D9D9D9" w:sz="2"/>
          <w:left w:val="single" w:color="D9D9D9" w:sz="2"/>
          <w:bottom w:val="single" w:color="D9D9D9" w:sz="2"/>
          <w:right w:val="single" w:color="D9D9D9" w:sz="2"/>
          <w:insideH w:val="single" w:color="E4E4E4" w:sz="2"/>
          <w:insideV w:val="single" w:color="E4E4E4" w:sz="2"/>
        </w:tblBorders>
      </w:tblPr>
      <w:tblGrid>
        <w:gridCol w:w="2160"/>
        <w:gridCol w:w="1200"/>
        <w:gridCol w:w="1200"/>
        <w:gridCol w:w="1200"/>
        <w:gridCol w:w="1200"/>
        <w:gridCol w:w="1200"/>
        <w:gridCol w:w="1200"/>
      </w:tblGrid>
      <w:tr>
        <w:trPr>
          <w:tblHeader/>
        </w:trPr>
        <w:tc>
          <w:tcPr>
            <w:tcW w:type="dxa" w:w="2160"/>
            <w:shd w:fill="0E3B43" w:color="auto" w:val="clear"/>
            <w:tcMar>
              <w:top w:type="dxa" w:w="60"/>
              <w:left w:type="dxa" w:w="90"/>
              <w:bottom w:type="dxa" w:w="60"/>
              <w:right w:type="dxa" w:w="90"/>
            </w:tcMar>
            <w:vAlign w:val="center"/>
          </w:tcPr>
          <w:p>
            <w:pPr>
              <w:jc w:val="left"/>
            </w:pPr>
            <w:r>
              <w:rPr>
                <w:b/>
                <w:bCs/>
                <w:color w:val="FFFFFF"/>
                <w:sz w:val="18"/>
                <w:szCs w:val="18"/>
              </w:rPr>
              <w:t xml:space="preserve">Feature</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Exp</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Bkg</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Trp</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Hop</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Ggl</w:t>
            </w:r>
          </w:p>
        </w:tc>
        <w:tc>
          <w:tcPr>
            <w:tcW w:type="dxa" w:w="1200"/>
            <w:shd w:fill="0E3B43" w:color="auto" w:val="clear"/>
            <w:tcMar>
              <w:top w:type="dxa" w:w="60"/>
              <w:left w:type="dxa" w:w="90"/>
              <w:bottom w:type="dxa" w:w="60"/>
              <w:right w:type="dxa" w:w="90"/>
            </w:tcMar>
            <w:vAlign w:val="center"/>
          </w:tcPr>
          <w:p>
            <w:pPr>
              <w:jc w:val="center"/>
            </w:pPr>
            <w:r>
              <w:rPr>
                <w:b/>
                <w:bCs/>
                <w:color w:val="FFFFFF"/>
                <w:sz w:val="18"/>
                <w:szCs w:val="18"/>
              </w:rPr>
              <w:t xml:space="preserve">Tad</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Non-price sort axis</w:t>
            </w:r>
          </w:p>
        </w:tc>
        <w:tc>
          <w:tcPr>
            <w:tcW w:type="dxa" w:w="1200"/>
            <w:shd w:fill="F6D8D6" w:color="auto" w:val="clear"/>
            <w:tcMar>
              <w:top w:type="dxa" w:w="60"/>
              <w:left w:type="dxa" w:w="90"/>
              <w:bottom w:type="dxa" w:w="60"/>
              <w:right w:type="dxa" w:w="90"/>
            </w:tcMar>
            <w:vAlign w:val="center"/>
          </w:tcPr>
          <w:p>
            <w:pPr>
              <w:jc w:val="center"/>
            </w:pPr>
            <w:r>
              <w:rPr>
                <w:b w:val="false"/>
                <w:bCs w:val="false"/>
                <w:color w:val="1E1E1E"/>
                <w:sz w:val="18"/>
                <w:szCs w:val="18"/>
              </w:rPr>
              <w:t xml:space="preserve">No</w:t>
            </w:r>
          </w:p>
        </w:tc>
        <w:tc>
          <w:tcPr>
            <w:tcW w:type="dxa" w:w="1200"/>
            <w:shd w:fill="F6D8D6" w:color="auto" w:val="clear"/>
            <w:tcMar>
              <w:top w:type="dxa" w:w="60"/>
              <w:left w:type="dxa" w:w="90"/>
              <w:bottom w:type="dxa" w:w="60"/>
              <w:right w:type="dxa" w:w="90"/>
            </w:tcMar>
            <w:vAlign w:val="center"/>
          </w:tcPr>
          <w:p>
            <w:pPr>
              <w:jc w:val="center"/>
            </w:pPr>
            <w:r>
              <w:rPr>
                <w:b w:val="false"/>
                <w:bCs w:val="false"/>
                <w:color w:val="1E1E1E"/>
                <w:sz w:val="18"/>
                <w:szCs w:val="18"/>
              </w:rPr>
              <w:t xml:space="preserve">No</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Reviews with counts</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F6D8D6" w:color="auto" w:val="clear"/>
            <w:tcMar>
              <w:top w:type="dxa" w:w="60"/>
              <w:left w:type="dxa" w:w="90"/>
              <w:bottom w:type="dxa" w:w="60"/>
              <w:right w:type="dxa" w:w="90"/>
            </w:tcMar>
            <w:vAlign w:val="center"/>
          </w:tcPr>
          <w:p>
            <w:pPr>
              <w:jc w:val="center"/>
            </w:pPr>
            <w:r>
              <w:rPr>
                <w:b w:val="false"/>
                <w:bCs w:val="false"/>
                <w:color w:val="1E1E1E"/>
                <w:sz w:val="18"/>
                <w:szCs w:val="18"/>
              </w:rPr>
              <w:t xml:space="preserve">No</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Airport wayfinding</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Entry requirements</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FCEFCC" w:color="auto" w:val="clear"/>
            <w:tcMar>
              <w:top w:type="dxa" w:w="60"/>
              <w:left w:type="dxa" w:w="90"/>
              <w:bottom w:type="dxa" w:w="60"/>
              <w:right w:type="dxa" w:w="90"/>
            </w:tcMar>
            <w:vAlign w:val="center"/>
          </w:tcPr>
          <w:p>
            <w:pPr>
              <w:jc w:val="center"/>
            </w:pPr>
            <w:r>
              <w:rPr>
                <w:b w:val="false"/>
                <w:bCs w:val="false"/>
                <w:color w:val="1E1E1E"/>
                <w:sz w:val="18"/>
                <w:szCs w:val="18"/>
              </w:rPr>
              <w:t xml:space="preserve">Partial</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Conversational planner</w:t>
            </w:r>
          </w:p>
        </w:tc>
        <w:tc>
          <w:tcPr>
            <w:tcW w:type="dxa" w:w="1200"/>
            <w:shd w:fill="FCEFCC" w:color="auto" w:val="clear"/>
            <w:tcMar>
              <w:top w:type="dxa" w:w="60"/>
              <w:left w:type="dxa" w:w="90"/>
              <w:bottom w:type="dxa" w:w="60"/>
              <w:right w:type="dxa" w:w="90"/>
            </w:tcMar>
            <w:vAlign w:val="center"/>
          </w:tcPr>
          <w:p>
            <w:pPr>
              <w:jc w:val="center"/>
            </w:pPr>
            <w:r>
              <w:rPr>
                <w:b w:val="false"/>
                <w:bCs w:val="false"/>
                <w:color w:val="1E1E1E"/>
                <w:sz w:val="18"/>
                <w:szCs w:val="18"/>
              </w:rPr>
              <w:t xml:space="preserve">Partial</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F6D8D6" w:color="auto" w:val="clear"/>
            <w:tcMar>
              <w:top w:type="dxa" w:w="60"/>
              <w:left w:type="dxa" w:w="90"/>
              <w:bottom w:type="dxa" w:w="60"/>
              <w:right w:type="dxa" w:w="90"/>
            </w:tcMar>
            <w:vAlign w:val="center"/>
          </w:tcPr>
          <w:p>
            <w:pPr>
              <w:jc w:val="center"/>
            </w:pPr>
            <w:r>
              <w:rPr>
                <w:b w:val="false"/>
                <w:bCs w:val="false"/>
                <w:color w:val="1E1E1E"/>
                <w:sz w:val="18"/>
                <w:szCs w:val="18"/>
              </w:rPr>
              <w:t xml:space="preserve">No</w:t>
            </w:r>
          </w:p>
        </w:tc>
        <w:tc>
          <w:tcPr>
            <w:tcW w:type="dxa" w:w="1200"/>
            <w:shd w:fill="F6D8D6" w:color="auto" w:val="clear"/>
            <w:tcMar>
              <w:top w:type="dxa" w:w="60"/>
              <w:left w:type="dxa" w:w="90"/>
              <w:bottom w:type="dxa" w:w="60"/>
              <w:right w:type="dxa" w:w="90"/>
            </w:tcMar>
            <w:vAlign w:val="center"/>
          </w:tcPr>
          <w:p>
            <w:pPr>
              <w:jc w:val="center"/>
            </w:pPr>
            <w:r>
              <w:rPr>
                <w:b w:val="false"/>
                <w:bCs w:val="false"/>
                <w:color w:val="1E1E1E"/>
                <w:sz w:val="18"/>
                <w:szCs w:val="18"/>
              </w:rPr>
              <w:t xml:space="preserve">No</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r>
      <w:tr>
        <w:tc>
          <w:tcPr>
            <w:tcW w:type="dxa" w:w="2160"/>
            <w:tcMar>
              <w:top w:type="dxa" w:w="60"/>
              <w:left w:type="dxa" w:w="90"/>
              <w:bottom w:type="dxa" w:w="60"/>
              <w:right w:type="dxa" w:w="90"/>
            </w:tcMar>
            <w:vAlign w:val="center"/>
          </w:tcPr>
          <w:p>
            <w:pPr>
              <w:jc w:val="left"/>
            </w:pPr>
            <w:r>
              <w:rPr>
                <w:b/>
                <w:bCs/>
                <w:color w:val="1E1E1E"/>
                <w:sz w:val="18"/>
                <w:szCs w:val="18"/>
              </w:rPr>
              <w:t xml:space="preserve">Accessibility filters</w:t>
            </w:r>
          </w:p>
        </w:tc>
        <w:tc>
          <w:tcPr>
            <w:tcW w:type="dxa" w:w="1200"/>
            <w:shd w:fill="FCEFCC" w:color="auto" w:val="clear"/>
            <w:tcMar>
              <w:top w:type="dxa" w:w="60"/>
              <w:left w:type="dxa" w:w="90"/>
              <w:bottom w:type="dxa" w:w="60"/>
              <w:right w:type="dxa" w:w="90"/>
            </w:tcMar>
            <w:vAlign w:val="center"/>
          </w:tcPr>
          <w:p>
            <w:pPr>
              <w:jc w:val="center"/>
            </w:pPr>
            <w:r>
              <w:rPr>
                <w:b w:val="false"/>
                <w:bCs w:val="false"/>
                <w:color w:val="1E1E1E"/>
                <w:sz w:val="18"/>
                <w:szCs w:val="18"/>
              </w:rPr>
              <w:t xml:space="preserve">Partial</w:t>
            </w:r>
          </w:p>
        </w:tc>
        <w:tc>
          <w:tcPr>
            <w:tcW w:type="dxa" w:w="1200"/>
            <w:shd w:fill="D6E9D6" w:color="auto" w:val="clear"/>
            <w:tcMar>
              <w:top w:type="dxa" w:w="60"/>
              <w:left w:type="dxa" w:w="90"/>
              <w:bottom w:type="dxa" w:w="60"/>
              <w:right w:type="dxa" w:w="90"/>
            </w:tcMar>
            <w:vAlign w:val="center"/>
          </w:tcPr>
          <w:p>
            <w:pPr>
              <w:jc w:val="center"/>
            </w:pPr>
            <w:r>
              <w:rPr>
                <w:b w:val="false"/>
                <w:bCs w:val="false"/>
                <w:color w:val="1E1E1E"/>
                <w:sz w:val="18"/>
                <w:szCs w:val="18"/>
              </w:rPr>
              <w:t xml:space="preserve">Yes</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c>
          <w:tcPr>
            <w:tcW w:type="dxa" w:w="1200"/>
            <w:shd w:fill="FCEFCC" w:color="auto" w:val="clear"/>
            <w:tcMar>
              <w:top w:type="dxa" w:w="60"/>
              <w:left w:type="dxa" w:w="90"/>
              <w:bottom w:type="dxa" w:w="60"/>
              <w:right w:type="dxa" w:w="90"/>
            </w:tcMar>
            <w:vAlign w:val="center"/>
          </w:tcPr>
          <w:p>
            <w:pPr>
              <w:jc w:val="center"/>
            </w:pPr>
            <w:r>
              <w:rPr>
                <w:b w:val="false"/>
                <w:bCs w:val="false"/>
                <w:color w:val="1E1E1E"/>
                <w:sz w:val="18"/>
                <w:szCs w:val="18"/>
              </w:rPr>
              <w:t xml:space="preserve">Partial</w:t>
            </w:r>
          </w:p>
        </w:tc>
        <w:tc>
          <w:tcPr>
            <w:tcW w:type="dxa" w:w="1200"/>
            <w:shd w:fill="ECECEC" w:color="auto" w:val="clear"/>
            <w:tcMar>
              <w:top w:type="dxa" w:w="60"/>
              <w:left w:type="dxa" w:w="90"/>
              <w:bottom w:type="dxa" w:w="60"/>
              <w:right w:type="dxa" w:w="90"/>
            </w:tcMar>
            <w:vAlign w:val="center"/>
          </w:tcPr>
          <w:p>
            <w:pPr>
              <w:jc w:val="center"/>
            </w:pPr>
            <w:r>
              <w:rPr>
                <w:b w:val="false"/>
                <w:bCs w:val="false"/>
                <w:color w:val="1E1E1E"/>
                <w:sz w:val="18"/>
                <w:szCs w:val="18"/>
              </w:rPr>
              <w:t xml:space="preserve">Unknown</w:t>
            </w:r>
          </w:p>
        </w:tc>
      </w:tr>
    </w:tbl>
    <w:p>
      <w:pPr>
        <w:spacing w:after="120" w:line="276"/>
      </w:pPr>
      <w:r>
        <w:rPr>
          <w:color w:val="6B6B6B"/>
          <w:sz w:val="18"/>
          <w:szCs w:val="18"/>
        </w:rPr>
        <w:t xml:space="preserve">Cell colour: green Yes, amber Partial, red No (verified absent), grey Unknown. Full inventory: 55 features, cell distribution Yes 86, No 48, Partial 28, Unknown 113.</w:t>
      </w:r>
    </w:p>
    <w:p>
      <w:pPr>
        <w:pStyle w:val="Heading1"/>
        <w:spacing w:after="120" w:before="280"/>
      </w:pPr>
      <w:r>
        <w:rPr>
          <w:b/>
          <w:bCs/>
          <w:color w:val="0E3B43"/>
        </w:rPr>
        <w:t xml:space="preserve">5. Journey comparison</w:t>
      </w:r>
    </w:p>
    <w:p>
      <w:pPr>
        <w:spacing w:after="120" w:line="276"/>
      </w:pPr>
      <w:r>
        <w:rPr>
          <w:color w:val="1E1E1E"/>
          <w:sz w:val="21"/>
          <w:szCs w:val="21"/>
        </w:rPr>
        <w:t xml:space="preserve">Strength for the first-time traveller at each stage. Strong means the stage's job is served well, Weak includes not designed for the stage, Unknown means not reached this run.</w:t>
      </w:r>
    </w:p>
    <w:tbl>
      <w:tblPr>
        <w:tblW w:type="dxa" w:w="9360"/>
        <w:tblBorders>
          <w:top w:val="single" w:color="D9D9D9" w:sz="2"/>
          <w:left w:val="single" w:color="D9D9D9" w:sz="2"/>
          <w:bottom w:val="single" w:color="D9D9D9" w:sz="2"/>
          <w:right w:val="single" w:color="D9D9D9" w:sz="2"/>
          <w:insideH w:val="single" w:color="E4E4E4" w:sz="2"/>
          <w:insideV w:val="single" w:color="E4E4E4" w:sz="2"/>
        </w:tblBorders>
      </w:tblPr>
      <w:tblGrid>
        <w:gridCol w:w="1440"/>
        <w:gridCol w:w="990"/>
        <w:gridCol w:w="990"/>
        <w:gridCol w:w="990"/>
        <w:gridCol w:w="990"/>
        <w:gridCol w:w="990"/>
        <w:gridCol w:w="990"/>
        <w:gridCol w:w="990"/>
        <w:gridCol w:w="990"/>
      </w:tblGrid>
      <w:tr>
        <w:trPr>
          <w:tblHeader/>
        </w:trPr>
        <w:tc>
          <w:tcPr>
            <w:tcW w:type="dxa" w:w="1440"/>
            <w:shd w:fill="0E3B43" w:color="auto" w:val="clear"/>
            <w:tcMar>
              <w:top w:type="dxa" w:w="60"/>
              <w:left w:type="dxa" w:w="90"/>
              <w:bottom w:type="dxa" w:w="60"/>
              <w:right w:type="dxa" w:w="90"/>
            </w:tcMar>
            <w:vAlign w:val="center"/>
          </w:tcPr>
          <w:p>
            <w:pPr>
              <w:jc w:val="left"/>
            </w:pPr>
            <w:r>
              <w:rPr>
                <w:b/>
                <w:bCs/>
                <w:color w:val="FFFFFF"/>
                <w:sz w:val="18"/>
                <w:szCs w:val="18"/>
              </w:rPr>
              <w:t xml:space="preserve">Competitor</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1 Disc</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2 Comp</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3 Book</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4 Prep</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5 Trav</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6 Dest</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7 Ret</w:t>
            </w:r>
          </w:p>
        </w:tc>
        <w:tc>
          <w:tcPr>
            <w:tcW w:type="dxa" w:w="990"/>
            <w:shd w:fill="0E3B43" w:color="auto" w:val="clear"/>
            <w:tcMar>
              <w:top w:type="dxa" w:w="60"/>
              <w:left w:type="dxa" w:w="90"/>
              <w:bottom w:type="dxa" w:w="60"/>
              <w:right w:type="dxa" w:w="90"/>
            </w:tcMar>
            <w:vAlign w:val="center"/>
          </w:tcPr>
          <w:p>
            <w:pPr>
              <w:jc w:val="center"/>
            </w:pPr>
            <w:r>
              <w:rPr>
                <w:b/>
                <w:bCs/>
                <w:color w:val="FFFFFF"/>
                <w:sz w:val="18"/>
                <w:szCs w:val="18"/>
              </w:rPr>
              <w:t xml:space="preserve">8 Aft</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Expedia</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Booking.com</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TripIt</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Hopper</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Google</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r>
      <w:tr>
        <w:tc>
          <w:tcPr>
            <w:tcW w:type="dxa" w:w="1440"/>
            <w:tcMar>
              <w:top w:type="dxa" w:w="60"/>
              <w:left w:type="dxa" w:w="90"/>
              <w:bottom w:type="dxa" w:w="60"/>
              <w:right w:type="dxa" w:w="90"/>
            </w:tcMar>
            <w:vAlign w:val="center"/>
          </w:tcPr>
          <w:p>
            <w:pPr>
              <w:jc w:val="left"/>
            </w:pPr>
            <w:r>
              <w:rPr>
                <w:b/>
                <w:bCs/>
                <w:color w:val="1E1E1E"/>
                <w:sz w:val="18"/>
                <w:szCs w:val="18"/>
              </w:rPr>
              <w:t xml:space="preserve">Tripadvisor</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c>
          <w:tcPr>
            <w:tcW w:type="dxa" w:w="990"/>
            <w:shd w:fill="F6D8D6" w:color="auto" w:val="clear"/>
            <w:tcMar>
              <w:top w:type="dxa" w:w="60"/>
              <w:left w:type="dxa" w:w="90"/>
              <w:bottom w:type="dxa" w:w="60"/>
              <w:right w:type="dxa" w:w="90"/>
            </w:tcMar>
            <w:vAlign w:val="center"/>
          </w:tcPr>
          <w:p>
            <w:pPr>
              <w:jc w:val="center"/>
            </w:pPr>
            <w:r>
              <w:rPr>
                <w:color w:val="1E1E1E"/>
                <w:sz w:val="18"/>
                <w:szCs w:val="18"/>
              </w:rPr>
              <w:t xml:space="preserve">Weak</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D6E9D6" w:color="auto" w:val="clear"/>
            <w:tcMar>
              <w:top w:type="dxa" w:w="60"/>
              <w:left w:type="dxa" w:w="90"/>
              <w:bottom w:type="dxa" w:w="60"/>
              <w:right w:type="dxa" w:w="90"/>
            </w:tcMar>
            <w:vAlign w:val="center"/>
          </w:tcPr>
          <w:p>
            <w:pPr>
              <w:jc w:val="center"/>
            </w:pPr>
            <w:r>
              <w:rPr>
                <w:color w:val="1E1E1E"/>
                <w:sz w:val="18"/>
                <w:szCs w:val="18"/>
              </w:rPr>
              <w:t xml:space="preserve">Strong</w:t>
            </w:r>
          </w:p>
        </w:tc>
        <w:tc>
          <w:tcPr>
            <w:tcW w:type="dxa" w:w="990"/>
            <w:shd w:fill="ECECEC" w:color="auto" w:val="clear"/>
            <w:tcMar>
              <w:top w:type="dxa" w:w="60"/>
              <w:left w:type="dxa" w:w="90"/>
              <w:bottom w:type="dxa" w:w="60"/>
              <w:right w:type="dxa" w:w="90"/>
            </w:tcMar>
            <w:vAlign w:val="center"/>
          </w:tcPr>
          <w:p>
            <w:pPr>
              <w:jc w:val="center"/>
            </w:pPr>
            <w:r>
              <w:rPr>
                <w:color w:val="1E1E1E"/>
                <w:sz w:val="18"/>
                <w:szCs w:val="18"/>
              </w:rPr>
              <w:t xml:space="preserve">Unknown</w:t>
            </w:r>
          </w:p>
        </w:tc>
        <w:tc>
          <w:tcPr>
            <w:tcW w:type="dxa" w:w="990"/>
            <w:shd w:fill="FCEFCC" w:color="auto" w:val="clear"/>
            <w:tcMar>
              <w:top w:type="dxa" w:w="60"/>
              <w:left w:type="dxa" w:w="90"/>
              <w:bottom w:type="dxa" w:w="60"/>
              <w:right w:type="dxa" w:w="90"/>
            </w:tcMar>
            <w:vAlign w:val="center"/>
          </w:tcPr>
          <w:p>
            <w:pPr>
              <w:jc w:val="center"/>
            </w:pPr>
            <w:r>
              <w:rPr>
                <w:color w:val="1E1E1E"/>
                <w:sz w:val="18"/>
                <w:szCs w:val="18"/>
              </w:rPr>
              <w:t xml:space="preserve">Adq</w:t>
            </w:r>
          </w:p>
        </w:tc>
      </w:tr>
    </w:tbl>
    <w:p>
      <w:pPr>
        <w:spacing w:after="120" w:line="276"/>
      </w:pPr>
      <w:r>
        <w:rPr>
          <w:b/>
          <w:bCs/>
          <w:sz w:val="20"/>
          <w:szCs w:val="20"/>
        </w:rPr>
        <w:t xml:space="preserve">Leaders for the first-timer. </w:t>
      </w:r>
      <w:r>
        <w:rPr>
          <w:sz w:val="20"/>
          <w:szCs w:val="20"/>
        </w:rPr>
        <w:t xml:space="preserve">Discover and in-destination: Tripadvisor. Prepare, travel day and after: TripIt. Book: no clear leader (Expedia and Booking.com tie). In-destination and return also carry no clear leader where the evidence did not support one.</w:t>
      </w:r>
    </w:p>
    <w:p>
      <w:pPr>
        <w:pStyle w:val="Heading1"/>
        <w:spacing w:after="120" w:before="280"/>
      </w:pPr>
      <w:r>
        <w:rPr>
          <w:b/>
          <w:bCs/>
          <w:color w:val="0E3B43"/>
        </w:rPr>
        <w:t xml:space="preserve">6. White-space map</w:t>
      </w:r>
    </w:p>
    <w:p>
      <w:pPr>
        <w:pStyle w:val="Heading2"/>
        <w:spacing w:after="80" w:before="200"/>
      </w:pPr>
      <w:r>
        <w:rPr>
          <w:b/>
          <w:bCs/>
          <w:color w:val="1E1E1E"/>
        </w:rPr>
        <w:t xml:space="preserve">Unsolved</w:t>
      </w:r>
    </w:p>
    <w:p>
      <w:pPr>
        <w:pStyle w:val="ListParagraph"/>
        <w:numPr>
          <w:ilvl w:val="0"/>
          <w:numId w:val="1"/>
        </w:numPr>
        <w:spacing w:after="70" w:line="270"/>
      </w:pPr>
      <w:r>
        <w:rPr>
          <w:color w:val="1E1E1E"/>
          <w:sz w:val="21"/>
          <w:szCs w:val="21"/>
        </w:rPr>
        <w:t xml:space="preserve">Cannot choose on how easy or stressful an option is, only price and time.</w:t>
      </w:r>
    </w:p>
    <w:p>
      <w:pPr>
        <w:pStyle w:val="ListParagraph"/>
        <w:numPr>
          <w:ilvl w:val="0"/>
          <w:numId w:val="1"/>
        </w:numPr>
        <w:spacing w:after="70" w:line="270"/>
      </w:pPr>
      <w:r>
        <w:rPr>
          <w:color w:val="1E1E1E"/>
          <w:sz w:val="21"/>
          <w:szCs w:val="21"/>
        </w:rPr>
        <w:t xml:space="preserve">Street-level safety is never in the same place as what-to-do and how-to-get-there.</w:t>
      </w:r>
    </w:p>
    <w:p>
      <w:pPr>
        <w:pStyle w:val="ListParagraph"/>
        <w:numPr>
          <w:ilvl w:val="0"/>
          <w:numId w:val="1"/>
        </w:numPr>
        <w:spacing w:after="70" w:line="270"/>
      </w:pPr>
      <w:r>
        <w:rPr>
          <w:color w:val="1E1E1E"/>
          <w:sz w:val="21"/>
          <w:szCs w:val="21"/>
        </w:rPr>
        <w:t xml:space="preserve">Travel-day help missing on the web unless paid or in an app.</w:t>
      </w:r>
    </w:p>
    <w:p>
      <w:pPr>
        <w:pStyle w:val="Heading2"/>
        <w:spacing w:after="80" w:before="200"/>
      </w:pPr>
      <w:r>
        <w:rPr>
          <w:b/>
          <w:bCs/>
          <w:color w:val="1E1E1E"/>
        </w:rPr>
        <w:t xml:space="preserve">Badly solved (demand proven)</w:t>
      </w:r>
    </w:p>
    <w:p>
      <w:pPr>
        <w:pStyle w:val="ListParagraph"/>
        <w:numPr>
          <w:ilvl w:val="0"/>
          <w:numId w:val="1"/>
        </w:numPr>
        <w:spacing w:after="70" w:line="270"/>
      </w:pPr>
      <w:r>
        <w:rPr>
          <w:color w:val="1E1E1E"/>
          <w:sz w:val="21"/>
          <w:szCs w:val="21"/>
        </w:rPr>
        <w:t xml:space="preserve">Reassurance at booking is buried in rate rows.</w:t>
      </w:r>
    </w:p>
    <w:p>
      <w:pPr>
        <w:pStyle w:val="ListParagraph"/>
        <w:numPr>
          <w:ilvl w:val="0"/>
          <w:numId w:val="1"/>
        </w:numPr>
        <w:spacing w:after="70" w:line="270"/>
      </w:pPr>
      <w:r>
        <w:rPr>
          <w:color w:val="1E1E1E"/>
          <w:sz w:val="21"/>
          <w:szCs w:val="21"/>
        </w:rPr>
        <w:t xml:space="preserve">Prepare is an auth-walled list; entry requirements hidden or paid.</w:t>
      </w:r>
    </w:p>
    <w:p>
      <w:pPr>
        <w:pStyle w:val="ListParagraph"/>
        <w:numPr>
          <w:ilvl w:val="0"/>
          <w:numId w:val="1"/>
        </w:numPr>
        <w:spacing w:after="70" w:line="270"/>
      </w:pPr>
      <w:r>
        <w:rPr>
          <w:color w:val="1E1E1E"/>
          <w:sz w:val="21"/>
          <w:szCs w:val="21"/>
        </w:rPr>
        <w:t xml:space="preserve">The homepage assumes you already know where to go.</w:t>
      </w:r>
    </w:p>
    <w:p>
      <w:pPr>
        <w:pStyle w:val="Heading2"/>
        <w:spacing w:after="80" w:before="200"/>
      </w:pPr>
      <w:r>
        <w:rPr>
          <w:b/>
          <w:bCs/>
          <w:color w:val="1E1E1E"/>
        </w:rPr>
        <w:t xml:space="preserve">Deliberately unsolved (walls)</w:t>
      </w:r>
    </w:p>
    <w:p>
      <w:pPr>
        <w:pStyle w:val="ListParagraph"/>
        <w:numPr>
          <w:ilvl w:val="0"/>
          <w:numId w:val="1"/>
        </w:numPr>
        <w:spacing w:after="70" w:line="270"/>
      </w:pPr>
      <w:r>
        <w:rPr>
          <w:color w:val="1E1E1E"/>
          <w:sz w:val="21"/>
          <w:szCs w:val="21"/>
        </w:rPr>
        <w:t xml:space="preserve">Selling transport tickets: low margin, fragmented supply.</w:t>
      </w:r>
    </w:p>
    <w:p>
      <w:pPr>
        <w:pStyle w:val="ListParagraph"/>
        <w:numPr>
          <w:ilvl w:val="0"/>
          <w:numId w:val="1"/>
        </w:numPr>
        <w:spacing w:after="70" w:line="270"/>
      </w:pPr>
      <w:r>
        <w:rPr>
          <w:color w:val="1E1E1E"/>
          <w:sz w:val="21"/>
          <w:szCs w:val="21"/>
        </w:rPr>
        <w:t xml:space="preserve">Priority support for a zero-booking user: unit economics. A structural exclusion, not an oversight.</w:t>
      </w:r>
    </w:p>
    <w:p>
      <w:pPr>
        <w:pStyle w:val="ListParagraph"/>
        <w:numPr>
          <w:ilvl w:val="0"/>
          <w:numId w:val="1"/>
        </w:numPr>
        <w:spacing w:after="70" w:line="270"/>
      </w:pPr>
      <w:r>
        <w:rPr>
          <w:color w:val="1E1E1E"/>
          <w:sz w:val="21"/>
          <w:szCs w:val="21"/>
        </w:rPr>
        <w:t xml:space="preserve">Aggregators owning failure, and the return leg with no second transaction: outside the model or unfunded.</w:t>
      </w:r>
    </w:p>
    <w:p>
      <w:pPr>
        <w:pStyle w:val="Heading2"/>
        <w:spacing w:after="80" w:before="200"/>
      </w:pPr>
      <w:r>
        <w:rPr>
          <w:b/>
          <w:bCs/>
          <w:color w:val="1E1E1E"/>
        </w:rPr>
        <w:t xml:space="preserve">Cross-stage (nobody owns the seam)</w:t>
      </w:r>
    </w:p>
    <w:p>
      <w:pPr>
        <w:pStyle w:val="ListParagraph"/>
        <w:numPr>
          <w:ilvl w:val="0"/>
          <w:numId w:val="1"/>
        </w:numPr>
        <w:spacing w:after="70" w:line="270"/>
      </w:pPr>
      <w:r>
        <w:rPr>
          <w:color w:val="1E1E1E"/>
          <w:sz w:val="21"/>
          <w:szCs w:val="21"/>
        </w:rPr>
        <w:t xml:space="preserve">Book to prepare, the "I have paid, now what" drop.</w:t>
      </w:r>
    </w:p>
    <w:p>
      <w:pPr>
        <w:pStyle w:val="ListParagraph"/>
        <w:numPr>
          <w:ilvl w:val="0"/>
          <w:numId w:val="1"/>
        </w:numPr>
        <w:spacing w:after="70" w:line="270"/>
      </w:pPr>
      <w:r>
        <w:rPr>
          <w:color w:val="1E1E1E"/>
          <w:sz w:val="21"/>
          <w:szCs w:val="21"/>
        </w:rPr>
        <w:t xml:space="preserve">Compare to book, a trip assembled from four separate searches.</w:t>
      </w:r>
    </w:p>
    <w:p>
      <w:pPr>
        <w:pStyle w:val="ListParagraph"/>
        <w:numPr>
          <w:ilvl w:val="0"/>
          <w:numId w:val="1"/>
        </w:numPr>
        <w:spacing w:after="70" w:line="270"/>
      </w:pPr>
      <w:r>
        <w:rPr>
          <w:color w:val="1E1E1E"/>
          <w:sz w:val="21"/>
          <w:szCs w:val="21"/>
        </w:rPr>
        <w:t xml:space="preserve">Confidence rebuilt from zero at every stage. Interpretation, Low.</w:t>
      </w:r>
    </w:p>
    <w:p>
      <w:pPr>
        <w:pStyle w:val="Heading1"/>
        <w:spacing w:after="120" w:before="280"/>
      </w:pPr>
      <w:r>
        <w:rPr>
          <w:b/>
          <w:bCs/>
          <w:color w:val="0E3B43"/>
        </w:rPr>
        <w:t xml:space="preserve">7. Top opportunities, scored</w:t>
      </w:r>
    </w:p>
    <w:p>
      <w:pPr>
        <w:spacing w:after="120" w:line="276"/>
      </w:pPr>
      <w:r>
        <w:rPr>
          <w:color w:val="1E1E1E"/>
          <w:sz w:val="21"/>
          <w:szCs w:val="21"/>
        </w:rPr>
        <w:t xml:space="preserve">Scored 1 to 5 on user impact, evidence strength, differentiation, feasibility and strategic fit. Top five shown. RISK marks a 1 or 2 on evidence or feasibility. Full set of 14 in luma-opportunity-scoring.md.</w:t>
      </w:r>
    </w:p>
    <w:tbl>
      <w:tblPr>
        <w:tblW w:type="dxa" w:w="9360"/>
        <w:tblBorders>
          <w:top w:val="single" w:color="D9D9D9" w:sz="2"/>
          <w:left w:val="single" w:color="D9D9D9" w:sz="2"/>
          <w:bottom w:val="single" w:color="D9D9D9" w:sz="2"/>
          <w:right w:val="single" w:color="D9D9D9" w:sz="2"/>
          <w:insideH w:val="single" w:color="E4E4E4" w:sz="2"/>
          <w:insideV w:val="single" w:color="E4E4E4" w:sz="2"/>
        </w:tblBorders>
      </w:tblPr>
      <w:tblGrid>
        <w:gridCol w:w="3000"/>
        <w:gridCol w:w="880"/>
        <w:gridCol w:w="880"/>
        <w:gridCol w:w="880"/>
        <w:gridCol w:w="880"/>
        <w:gridCol w:w="880"/>
        <w:gridCol w:w="1080"/>
      </w:tblGrid>
      <w:tr>
        <w:trPr>
          <w:tblHeader/>
        </w:trPr>
        <w:tc>
          <w:tcPr>
            <w:tcW w:type="dxa" w:w="3000"/>
            <w:shd w:fill="0E3B43" w:color="auto" w:val="clear"/>
            <w:tcMar>
              <w:top w:type="dxa" w:w="60"/>
              <w:left w:type="dxa" w:w="90"/>
              <w:bottom w:type="dxa" w:w="60"/>
              <w:right w:type="dxa" w:w="90"/>
            </w:tcMar>
            <w:vAlign w:val="center"/>
          </w:tcPr>
          <w:p>
            <w:pPr>
              <w:jc w:val="left"/>
            </w:pPr>
            <w:r>
              <w:rPr>
                <w:b/>
                <w:bCs/>
                <w:color w:val="FFFFFF"/>
                <w:sz w:val="18"/>
                <w:szCs w:val="18"/>
              </w:rPr>
              <w:t xml:space="preserve">Opportunity</w:t>
            </w:r>
          </w:p>
        </w:tc>
        <w:tc>
          <w:tcPr>
            <w:tcW w:type="dxa" w:w="880"/>
            <w:shd w:fill="0E3B43" w:color="auto" w:val="clear"/>
            <w:tcMar>
              <w:top w:type="dxa" w:w="60"/>
              <w:left w:type="dxa" w:w="90"/>
              <w:bottom w:type="dxa" w:w="60"/>
              <w:right w:type="dxa" w:w="90"/>
            </w:tcMar>
            <w:vAlign w:val="center"/>
          </w:tcPr>
          <w:p>
            <w:pPr>
              <w:jc w:val="center"/>
            </w:pPr>
            <w:r>
              <w:rPr>
                <w:b/>
                <w:bCs/>
                <w:color w:val="FFFFFF"/>
                <w:sz w:val="18"/>
                <w:szCs w:val="18"/>
              </w:rPr>
              <w:t xml:space="preserve">Imp</w:t>
            </w:r>
          </w:p>
        </w:tc>
        <w:tc>
          <w:tcPr>
            <w:tcW w:type="dxa" w:w="880"/>
            <w:shd w:fill="0E3B43" w:color="auto" w:val="clear"/>
            <w:tcMar>
              <w:top w:type="dxa" w:w="60"/>
              <w:left w:type="dxa" w:w="90"/>
              <w:bottom w:type="dxa" w:w="60"/>
              <w:right w:type="dxa" w:w="90"/>
            </w:tcMar>
            <w:vAlign w:val="center"/>
          </w:tcPr>
          <w:p>
            <w:pPr>
              <w:jc w:val="center"/>
            </w:pPr>
            <w:r>
              <w:rPr>
                <w:b/>
                <w:bCs/>
                <w:color w:val="FFFFFF"/>
                <w:sz w:val="18"/>
                <w:szCs w:val="18"/>
              </w:rPr>
              <w:t xml:space="preserve">Ev</w:t>
            </w:r>
          </w:p>
        </w:tc>
        <w:tc>
          <w:tcPr>
            <w:tcW w:type="dxa" w:w="880"/>
            <w:shd w:fill="0E3B43" w:color="auto" w:val="clear"/>
            <w:tcMar>
              <w:top w:type="dxa" w:w="60"/>
              <w:left w:type="dxa" w:w="90"/>
              <w:bottom w:type="dxa" w:w="60"/>
              <w:right w:type="dxa" w:w="90"/>
            </w:tcMar>
            <w:vAlign w:val="center"/>
          </w:tcPr>
          <w:p>
            <w:pPr>
              <w:jc w:val="center"/>
            </w:pPr>
            <w:r>
              <w:rPr>
                <w:b/>
                <w:bCs/>
                <w:color w:val="FFFFFF"/>
                <w:sz w:val="18"/>
                <w:szCs w:val="18"/>
              </w:rPr>
              <w:t xml:space="preserve">Dif</w:t>
            </w:r>
          </w:p>
        </w:tc>
        <w:tc>
          <w:tcPr>
            <w:tcW w:type="dxa" w:w="880"/>
            <w:shd w:fill="0E3B43" w:color="auto" w:val="clear"/>
            <w:tcMar>
              <w:top w:type="dxa" w:w="60"/>
              <w:left w:type="dxa" w:w="90"/>
              <w:bottom w:type="dxa" w:w="60"/>
              <w:right w:type="dxa" w:w="90"/>
            </w:tcMar>
            <w:vAlign w:val="center"/>
          </w:tcPr>
          <w:p>
            <w:pPr>
              <w:jc w:val="center"/>
            </w:pPr>
            <w:r>
              <w:rPr>
                <w:b/>
                <w:bCs/>
                <w:color w:val="FFFFFF"/>
                <w:sz w:val="18"/>
                <w:szCs w:val="18"/>
              </w:rPr>
              <w:t xml:space="preserve">Fea</w:t>
            </w:r>
          </w:p>
        </w:tc>
        <w:tc>
          <w:tcPr>
            <w:tcW w:type="dxa" w:w="880"/>
            <w:shd w:fill="0E3B43" w:color="auto" w:val="clear"/>
            <w:tcMar>
              <w:top w:type="dxa" w:w="60"/>
              <w:left w:type="dxa" w:w="90"/>
              <w:bottom w:type="dxa" w:w="60"/>
              <w:right w:type="dxa" w:w="90"/>
            </w:tcMar>
            <w:vAlign w:val="center"/>
          </w:tcPr>
          <w:p>
            <w:pPr>
              <w:jc w:val="center"/>
            </w:pPr>
            <w:r>
              <w:rPr>
                <w:b/>
                <w:bCs/>
                <w:color w:val="FFFFFF"/>
                <w:sz w:val="18"/>
                <w:szCs w:val="18"/>
              </w:rPr>
              <w:t xml:space="preserve">Fit</w:t>
            </w:r>
          </w:p>
        </w:tc>
        <w:tc>
          <w:tcPr>
            <w:tcW w:type="dxa" w:w="1080"/>
            <w:shd w:fill="0E3B43" w:color="auto" w:val="clear"/>
            <w:tcMar>
              <w:top w:type="dxa" w:w="60"/>
              <w:left w:type="dxa" w:w="90"/>
              <w:bottom w:type="dxa" w:w="60"/>
              <w:right w:type="dxa" w:w="90"/>
            </w:tcMar>
            <w:vAlign w:val="center"/>
          </w:tcPr>
          <w:p>
            <w:pPr>
              <w:jc w:val="center"/>
            </w:pPr>
            <w:r>
              <w:rPr>
                <w:b/>
                <w:bCs/>
                <w:color w:val="FFFFFF"/>
                <w:sz w:val="18"/>
                <w:szCs w:val="18"/>
              </w:rPr>
              <w:t xml:space="preserve">Total</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O3 Inverted priority support</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5</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5</w:t>
            </w:r>
          </w:p>
        </w:tc>
        <w:tc>
          <w:tcPr>
            <w:tcW w:type="dxa" w:w="1080"/>
            <w:shd w:fill="D6E9D6" w:color="auto" w:val="clear"/>
            <w:tcMar>
              <w:top w:type="dxa" w:w="60"/>
              <w:left w:type="dxa" w:w="90"/>
              <w:bottom w:type="dxa" w:w="60"/>
              <w:right w:type="dxa" w:w="90"/>
            </w:tcMar>
            <w:vAlign w:val="center"/>
          </w:tcPr>
          <w:p>
            <w:pPr>
              <w:jc w:val="center"/>
            </w:pPr>
            <w:r>
              <w:rPr>
                <w:b/>
                <w:bCs/>
                <w:color w:val="1E1E1E"/>
                <w:sz w:val="20"/>
                <w:szCs w:val="20"/>
              </w:rPr>
              <w:t xml:space="preserve">20</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O1 Least-stress ranking axis  (RISK feas)</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6D8D6" w:color="auto" w:val="clear"/>
            <w:tcMar>
              <w:top w:type="dxa" w:w="60"/>
              <w:left w:type="dxa" w:w="90"/>
              <w:bottom w:type="dxa" w:w="60"/>
              <w:right w:type="dxa" w:w="90"/>
            </w:tcMar>
            <w:vAlign w:val="center"/>
          </w:tcPr>
          <w:p>
            <w:pPr>
              <w:jc w:val="center"/>
            </w:pPr>
            <w:r>
              <w:rPr>
                <w:color w:val="1E1E1E"/>
                <w:sz w:val="18"/>
                <w:szCs w:val="18"/>
              </w:rPr>
              <w:t xml:space="preserve">2</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5</w:t>
            </w:r>
          </w:p>
        </w:tc>
        <w:tc>
          <w:tcPr>
            <w:tcW w:type="dxa" w:w="1080"/>
            <w:shd w:fill="D6E9D6" w:color="auto" w:val="clear"/>
            <w:tcMar>
              <w:top w:type="dxa" w:w="60"/>
              <w:left w:type="dxa" w:w="90"/>
              <w:bottom w:type="dxa" w:w="60"/>
              <w:right w:type="dxa" w:w="90"/>
            </w:tcMar>
            <w:vAlign w:val="center"/>
          </w:tcPr>
          <w:p>
            <w:pPr>
              <w:jc w:val="center"/>
            </w:pPr>
            <w:r>
              <w:rPr>
                <w:b/>
                <w:bCs/>
                <w:color w:val="1E1E1E"/>
                <w:sz w:val="20"/>
                <w:szCs w:val="20"/>
              </w:rPr>
              <w:t xml:space="preserve">18</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O2 Per-option confidence label  (RISK feas)</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F6D8D6" w:color="auto" w:val="clear"/>
            <w:tcMar>
              <w:top w:type="dxa" w:w="60"/>
              <w:left w:type="dxa" w:w="90"/>
              <w:bottom w:type="dxa" w:w="60"/>
              <w:right w:type="dxa" w:w="90"/>
            </w:tcMar>
            <w:vAlign w:val="center"/>
          </w:tcPr>
          <w:p>
            <w:pPr>
              <w:jc w:val="center"/>
            </w:pPr>
            <w:r>
              <w:rPr>
                <w:color w:val="1E1E1E"/>
                <w:sz w:val="18"/>
                <w:szCs w:val="18"/>
              </w:rPr>
              <w:t xml:space="preserve">2</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5</w:t>
            </w:r>
          </w:p>
        </w:tc>
        <w:tc>
          <w:tcPr>
            <w:tcW w:type="dxa" w:w="1080"/>
            <w:shd w:fill="FCEFCC" w:color="auto" w:val="clear"/>
            <w:tcMar>
              <w:top w:type="dxa" w:w="60"/>
              <w:left w:type="dxa" w:w="90"/>
              <w:bottom w:type="dxa" w:w="60"/>
              <w:right w:type="dxa" w:w="90"/>
            </w:tcMar>
            <w:vAlign w:val="center"/>
          </w:tcPr>
          <w:p>
            <w:pPr>
              <w:jc w:val="center"/>
            </w:pPr>
            <w:r>
              <w:rPr>
                <w:b/>
                <w:bCs/>
                <w:color w:val="1E1E1E"/>
                <w:sz w:val="20"/>
                <w:szCs w:val="20"/>
              </w:rPr>
              <w:t xml:space="preserve">17</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O4 Free entry-readiness check</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1080"/>
            <w:shd w:fill="FCEFCC" w:color="auto" w:val="clear"/>
            <w:tcMar>
              <w:top w:type="dxa" w:w="60"/>
              <w:left w:type="dxa" w:w="90"/>
              <w:bottom w:type="dxa" w:w="60"/>
              <w:right w:type="dxa" w:w="90"/>
            </w:tcMar>
            <w:vAlign w:val="center"/>
          </w:tcPr>
          <w:p>
            <w:pPr>
              <w:jc w:val="center"/>
            </w:pPr>
            <w:r>
              <w:rPr>
                <w:b/>
                <w:bCs/>
                <w:color w:val="1E1E1E"/>
                <w:sz w:val="20"/>
                <w:szCs w:val="20"/>
              </w:rPr>
              <w:t xml:space="preserve">17</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O5 In-destination safe+do+move  (RISK feas)</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CEFCC" w:color="auto" w:val="clear"/>
            <w:tcMar>
              <w:top w:type="dxa" w:w="60"/>
              <w:left w:type="dxa" w:w="90"/>
              <w:bottom w:type="dxa" w:w="60"/>
              <w:right w:type="dxa" w:w="90"/>
            </w:tcMar>
            <w:vAlign w:val="center"/>
          </w:tcPr>
          <w:p>
            <w:pPr>
              <w:jc w:val="center"/>
            </w:pPr>
            <w:r>
              <w:rPr>
                <w:color w:val="1E1E1E"/>
                <w:sz w:val="18"/>
                <w:szCs w:val="18"/>
              </w:rPr>
              <w:t xml:space="preserve">3</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880"/>
            <w:shd w:fill="F6D8D6" w:color="auto" w:val="clear"/>
            <w:tcMar>
              <w:top w:type="dxa" w:w="60"/>
              <w:left w:type="dxa" w:w="90"/>
              <w:bottom w:type="dxa" w:w="60"/>
              <w:right w:type="dxa" w:w="90"/>
            </w:tcMar>
            <w:vAlign w:val="center"/>
          </w:tcPr>
          <w:p>
            <w:pPr>
              <w:jc w:val="center"/>
            </w:pPr>
            <w:r>
              <w:rPr>
                <w:color w:val="1E1E1E"/>
                <w:sz w:val="18"/>
                <w:szCs w:val="18"/>
              </w:rPr>
              <w:t xml:space="preserve">2</w:t>
            </w:r>
          </w:p>
        </w:tc>
        <w:tc>
          <w:tcPr>
            <w:tcW w:type="dxa" w:w="880"/>
            <w:shd w:fill="D6E9D6" w:color="auto" w:val="clear"/>
            <w:tcMar>
              <w:top w:type="dxa" w:w="60"/>
              <w:left w:type="dxa" w:w="90"/>
              <w:bottom w:type="dxa" w:w="60"/>
              <w:right w:type="dxa" w:w="90"/>
            </w:tcMar>
            <w:vAlign w:val="center"/>
          </w:tcPr>
          <w:p>
            <w:pPr>
              <w:jc w:val="center"/>
            </w:pPr>
            <w:r>
              <w:rPr>
                <w:color w:val="1E1E1E"/>
                <w:sz w:val="18"/>
                <w:szCs w:val="18"/>
              </w:rPr>
              <w:t xml:space="preserve">4</w:t>
            </w:r>
          </w:p>
        </w:tc>
        <w:tc>
          <w:tcPr>
            <w:tcW w:type="dxa" w:w="1080"/>
            <w:shd w:fill="FCEFCC" w:color="auto" w:val="clear"/>
            <w:tcMar>
              <w:top w:type="dxa" w:w="60"/>
              <w:left w:type="dxa" w:w="90"/>
              <w:bottom w:type="dxa" w:w="60"/>
              <w:right w:type="dxa" w:w="90"/>
            </w:tcMar>
            <w:vAlign w:val="center"/>
          </w:tcPr>
          <w:p>
            <w:pPr>
              <w:jc w:val="center"/>
            </w:pPr>
            <w:r>
              <w:rPr>
                <w:b/>
                <w:bCs/>
                <w:color w:val="1E1E1E"/>
                <w:sz w:val="20"/>
                <w:szCs w:val="20"/>
              </w:rPr>
              <w:t xml:space="preserve">17</w:t>
            </w:r>
          </w:p>
        </w:tc>
      </w:tr>
    </w:tbl>
    <w:p>
      <w:pPr>
        <w:spacing w:after="120" w:line="276"/>
      </w:pPr>
      <w:r>
        <w:rPr>
          <w:color w:val="6B6B6B"/>
          <w:sz w:val="18"/>
          <w:szCs w:val="18"/>
        </w:rPr>
        <w:t xml:space="preserve">Three of the top five carry a feasibility RISK, and all five share the same evidence ceiling: user pain is inferred, not researched. The full multi-vertical OTA idea scored a fatal feasibility 1 and was left visible, not averaged up.</w:t>
      </w:r>
    </w:p>
    <w:p>
      <w:pPr>
        <w:pStyle w:val="Heading1"/>
        <w:spacing w:after="120" w:before="280"/>
      </w:pPr>
      <w:r>
        <w:rPr>
          <w:b/>
          <w:bCs/>
          <w:color w:val="0E3B43"/>
        </w:rPr>
        <w:t xml:space="preserve">8. Strategy recommendations</w:t>
      </w:r>
    </w:p>
    <w:p>
      <w:pPr>
        <w:pStyle w:val="Heading2"/>
        <w:spacing w:after="80" w:before="200"/>
      </w:pPr>
      <w:r>
        <w:rPr>
          <w:b/>
          <w:bCs/>
          <w:color w:val="1E1E1E"/>
        </w:rPr>
        <w:t xml:space="preserve">Where we play</w:t>
      </w:r>
    </w:p>
    <w:p>
      <w:pPr>
        <w:spacing w:after="120" w:line="276"/>
      </w:pPr>
      <w:r>
        <w:rPr>
          <w:color w:val="1E1E1E"/>
          <w:sz w:val="21"/>
          <w:szCs w:val="21"/>
        </w:rPr>
        <w:t xml:space="preserve">The plan-and-compare decision, reframed around stress not price, extended into the moments where a first-timer's confidence collapses. Rejected: dream-and-discover (partly occupied), in-destination (data-heavy, feasibility risk), prepare (TripIt occupies it), travel day (platform wall), full breadth (feasibility 1).</w:t>
      </w:r>
    </w:p>
    <w:p>
      <w:pPr>
        <w:pStyle w:val="Heading2"/>
        <w:spacing w:after="80" w:before="200"/>
      </w:pPr>
      <w:r>
        <w:rPr>
          <w:b/>
          <w:bCs/>
          <w:color w:val="1E1E1E"/>
        </w:rPr>
        <w:t xml:space="preserve">Table stakes we must meet</w:t>
      </w:r>
    </w:p>
    <w:p>
      <w:pPr>
        <w:spacing w:after="120" w:line="276"/>
      </w:pPr>
      <w:r>
        <w:rPr>
          <w:color w:val="1E1E1E"/>
          <w:sz w:val="21"/>
          <w:szCs w:val="21"/>
        </w:rPr>
        <w:t xml:space="preserve">Not differentiators, but their absence disqualifies us: ratings with review counts, sort and filter, a printed ranking-basis disclosure, a saved surface, all-in pricing, and consent with a real decline path.</w:t>
      </w:r>
    </w:p>
    <w:p>
      <w:pPr>
        <w:pStyle w:val="Heading2"/>
        <w:spacing w:after="80" w:before="200"/>
      </w:pPr>
      <w:r>
        <w:rPr>
          <w:b/>
          <w:bCs/>
          <w:color w:val="1E1E1E"/>
        </w:rPr>
        <w:t xml:space="preserve">Three bets</w:t>
      </w:r>
    </w:p>
    <w:p>
      <w:pPr>
        <w:spacing w:after="120" w:line="276"/>
      </w:pPr>
      <w:r>
        <w:rPr>
          <w:b/>
          <w:bCs/>
          <w:sz w:val="21"/>
          <w:szCs w:val="21"/>
        </w:rPr>
        <w:t xml:space="preserve">Bet A, the least-stress choice. </w:t>
      </w:r>
      <w:r>
        <w:rPr>
          <w:sz w:val="21"/>
          <w:szCs w:val="21"/>
        </w:rPr>
        <w:t xml:space="preserve">Make "easiest for someone like me" a first-class sort. Assumption: first-timers will choose on stress and the signal can be built. Response: incumbents can add a label but not reprioritise order away from price.</w:t>
      </w:r>
    </w:p>
    <w:p>
      <w:pPr>
        <w:spacing w:after="120" w:line="276"/>
      </w:pPr>
      <w:r>
        <w:rPr>
          <w:b/>
          <w:bCs/>
          <w:sz w:val="21"/>
          <w:szCs w:val="21"/>
        </w:rPr>
        <w:t xml:space="preserve">Bet B, confidence fronted not earned. </w:t>
      </w:r>
      <w:r>
        <w:rPr>
          <w:sz w:val="21"/>
          <w:szCs w:val="21"/>
        </w:rPr>
        <w:t xml:space="preserve">The newcomer gets the most help at the start, tapering with experience. Assumption: sustainable as guided automation, not staffed agents. Response: structurally walled by booking-count loyalty.</w:t>
      </w:r>
    </w:p>
    <w:p>
      <w:pPr>
        <w:spacing w:after="120" w:line="276"/>
      </w:pPr>
      <w:r>
        <w:rPr>
          <w:b/>
          <w:bCs/>
          <w:sz w:val="21"/>
          <w:szCs w:val="21"/>
        </w:rPr>
        <w:t xml:space="preserve">Bet C, free entry-readiness. </w:t>
      </w:r>
      <w:r>
        <w:rPr>
          <w:sz w:val="21"/>
          <w:szCs w:val="21"/>
        </w:rPr>
        <w:t xml:space="preserve">Answer "am I allowed in and what do I need," free and without an account. The lowest-risk acquisition wedge. Response: copyable, but incumbents are disincentivised to make it free.</w:t>
      </w:r>
    </w:p>
    <w:p>
      <w:pPr>
        <w:pStyle w:val="Heading2"/>
        <w:spacing w:after="80" w:before="200"/>
      </w:pPr>
      <w:r>
        <w:rPr>
          <w:b/>
          <w:bCs/>
          <w:color w:val="1E1E1E"/>
        </w:rPr>
        <w:t xml:space="preserve">Sequencing</w:t>
      </w:r>
    </w:p>
    <w:p>
      <w:pPr>
        <w:spacing w:after="120" w:line="276"/>
      </w:pPr>
      <w:r>
        <w:rPr>
          <w:b/>
          <w:bCs/>
          <w:sz w:val="21"/>
          <w:szCs w:val="21"/>
        </w:rPr>
        <w:t xml:space="preserve">Now: </w:t>
      </w:r>
      <w:r>
        <w:rPr>
          <w:sz w:val="21"/>
          <w:szCs w:val="21"/>
        </w:rPr>
        <w:t xml:space="preserve">research first (interviews plus a stress-sort prototype), build Bet A in one vertical with public signals, meet table stakes, finish the eight remaining profiles, launch Bet C in parallel. Next: wrap the product in Bet B, extend the axis to a second vertical. Later: the in-destination surface and travel-day capability, which need data partnerships and an app.</w:t>
      </w:r>
    </w:p>
    <w:p>
      <w:pPr>
        <w:pStyle w:val="Heading2"/>
        <w:spacing w:after="80" w:before="200"/>
      </w:pPr>
      <w:r>
        <w:rPr>
          <w:b/>
          <w:bCs/>
          <w:color w:val="1E1E1E"/>
        </w:rPr>
        <w:t xml:space="preserve">Business model, given it is unsettled</w:t>
      </w:r>
    </w:p>
    <w:p>
      <w:pPr>
        <w:spacing w:after="120" w:line="276"/>
      </w:pPr>
      <w:r>
        <w:rPr>
          <w:color w:val="1E1E1E"/>
          <w:sz w:val="21"/>
          <w:szCs w:val="21"/>
        </w:rPr>
        <w:t xml:space="preserve">Enter as a referral layer for the wedge, which needs no supplier deals and ships Bets A and C now. Move to a subscription companion as the target model once Bet B's retention is demonstrated, because subscription aligns revenue with reassurance rather than transaction volume. Do not become an OTA at ideation, that is the breadth trap.</w:t>
      </w:r>
    </w:p>
    <w:p>
      <w:pPr>
        <w:pStyle w:val="Heading2"/>
        <w:spacing w:after="80" w:before="200"/>
      </w:pPr>
      <w:r>
        <w:rPr>
          <w:b/>
          <w:bCs/>
          <w:color w:val="1E1E1E"/>
        </w:rPr>
        <w:t xml:space="preserve">What would prove this strategy wrong</w:t>
      </w:r>
    </w:p>
    <w:p>
      <w:pPr>
        <w:pStyle w:val="ListParagraph"/>
        <w:numPr>
          <w:ilvl w:val="0"/>
          <w:numId w:val="1"/>
        </w:numPr>
        <w:spacing w:after="70" w:line="270"/>
      </w:pPr>
      <w:r>
        <w:rPr>
          <w:color w:val="1E1E1E"/>
          <w:sz w:val="21"/>
          <w:szCs w:val="21"/>
        </w:rPr>
        <w:t xml:space="preserve">First-timers choose primarily on price and do not value a stress axis. This is the deepest, and it is why research is the first move.</w:t>
      </w:r>
    </w:p>
    <w:p>
      <w:pPr>
        <w:pStyle w:val="ListParagraph"/>
        <w:numPr>
          <w:ilvl w:val="0"/>
          <w:numId w:val="1"/>
        </w:numPr>
        <w:spacing w:after="70" w:line="270"/>
      </w:pPr>
      <w:r>
        <w:rPr>
          <w:color w:val="1E1E1E"/>
          <w:sz w:val="21"/>
          <w:szCs w:val="21"/>
        </w:rPr>
        <w:t xml:space="preserve">First-timers want less friction, not more guidance, so fronted support is unwanted.</w:t>
      </w:r>
    </w:p>
    <w:p>
      <w:pPr>
        <w:pStyle w:val="ListParagraph"/>
        <w:numPr>
          <w:ilvl w:val="0"/>
          <w:numId w:val="1"/>
        </w:numPr>
        <w:spacing w:after="70" w:line="270"/>
      </w:pPr>
      <w:r>
        <w:rPr>
          <w:color w:val="1E1E1E"/>
          <w:sz w:val="21"/>
          <w:szCs w:val="21"/>
        </w:rPr>
        <w:t xml:space="preserve">A pending specialist already owns an effort or stress axis, removing the differentiation.</w:t>
      </w:r>
    </w:p>
    <w:p>
      <w:pPr>
        <w:pStyle w:val="ListParagraph"/>
        <w:numPr>
          <w:ilvl w:val="0"/>
          <w:numId w:val="1"/>
        </w:numPr>
        <w:spacing w:after="70" w:line="270"/>
      </w:pPr>
      <w:r>
        <w:rPr>
          <w:color w:val="1E1E1E"/>
          <w:sz w:val="21"/>
          <w:szCs w:val="21"/>
        </w:rPr>
        <w:t xml:space="preserve">The stress signal cannot be built from available data.</w:t>
      </w:r>
    </w:p>
    <w:p>
      <w:pPr>
        <w:pStyle w:val="Heading1"/>
        <w:spacing w:after="120" w:before="280"/>
      </w:pPr>
      <w:r>
        <w:rPr>
          <w:b/>
          <w:bCs/>
          <w:color w:val="0E3B43"/>
        </w:rPr>
        <w:t xml:space="preserve">9. Potential risks</w:t>
      </w:r>
    </w:p>
    <w:tbl>
      <w:tblPr>
        <w:tblW w:type="dxa" w:w="9360"/>
        <w:tblBorders>
          <w:top w:val="single" w:color="D9D9D9" w:sz="2"/>
          <w:left w:val="single" w:color="D9D9D9" w:sz="2"/>
          <w:bottom w:val="single" w:color="D9D9D9" w:sz="2"/>
          <w:right w:val="single" w:color="D9D9D9" w:sz="2"/>
          <w:insideH w:val="single" w:color="E4E4E4" w:sz="2"/>
          <w:insideV w:val="single" w:color="E4E4E4" w:sz="2"/>
        </w:tblBorders>
      </w:tblPr>
      <w:tblGrid>
        <w:gridCol w:w="3000"/>
        <w:gridCol w:w="4560"/>
        <w:gridCol w:w="1800"/>
      </w:tblGrid>
      <w:tr>
        <w:trPr>
          <w:tblHeader/>
        </w:trPr>
        <w:tc>
          <w:tcPr>
            <w:tcW w:type="dxa" w:w="3000"/>
            <w:shd w:fill="0E3B43" w:color="auto" w:val="clear"/>
            <w:tcMar>
              <w:top w:type="dxa" w:w="60"/>
              <w:left w:type="dxa" w:w="90"/>
              <w:bottom w:type="dxa" w:w="60"/>
              <w:right w:type="dxa" w:w="90"/>
            </w:tcMar>
            <w:vAlign w:val="center"/>
          </w:tcPr>
          <w:p>
            <w:pPr>
              <w:jc w:val="left"/>
            </w:pPr>
            <w:r>
              <w:rPr>
                <w:b/>
                <w:bCs/>
                <w:color w:val="FFFFFF"/>
                <w:sz w:val="18"/>
                <w:szCs w:val="18"/>
              </w:rPr>
              <w:t xml:space="preserve">Risk</w:t>
            </w:r>
          </w:p>
        </w:tc>
        <w:tc>
          <w:tcPr>
            <w:tcW w:type="dxa" w:w="4560"/>
            <w:shd w:fill="0E3B43" w:color="auto" w:val="clear"/>
            <w:tcMar>
              <w:top w:type="dxa" w:w="60"/>
              <w:left w:type="dxa" w:w="90"/>
              <w:bottom w:type="dxa" w:w="60"/>
              <w:right w:type="dxa" w:w="90"/>
            </w:tcMar>
            <w:vAlign w:val="center"/>
          </w:tcPr>
          <w:p>
            <w:pPr>
              <w:jc w:val="center"/>
            </w:pPr>
            <w:r>
              <w:rPr>
                <w:b/>
                <w:bCs/>
                <w:color w:val="FFFFFF"/>
                <w:sz w:val="18"/>
                <w:szCs w:val="18"/>
              </w:rPr>
              <w:t xml:space="preserve">Status</w:t>
            </w:r>
          </w:p>
        </w:tc>
        <w:tc>
          <w:tcPr>
            <w:tcW w:type="dxa" w:w="1800"/>
            <w:shd w:fill="0E3B43" w:color="auto" w:val="clear"/>
            <w:tcMar>
              <w:top w:type="dxa" w:w="60"/>
              <w:left w:type="dxa" w:w="90"/>
              <w:bottom w:type="dxa" w:w="60"/>
              <w:right w:type="dxa" w:w="90"/>
            </w:tcMar>
            <w:vAlign w:val="center"/>
          </w:tcPr>
          <w:p>
            <w:pPr>
              <w:jc w:val="center"/>
            </w:pPr>
            <w:r>
              <w:rPr>
                <w:b/>
                <w:bCs/>
                <w:color w:val="FFFFFF"/>
                <w:sz w:val="18"/>
                <w:szCs w:val="18"/>
              </w:rPr>
              <w:t xml:space="preserve">Confidence</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Breadth trap</w:t>
            </w:r>
          </w:p>
        </w:tc>
        <w:tc>
          <w:tcPr>
            <w:tcW w:type="dxa" w:w="4560"/>
            <w:tcMar>
              <w:top w:type="dxa" w:w="60"/>
              <w:left w:type="dxa" w:w="90"/>
              <w:bottom w:type="dxa" w:w="60"/>
              <w:right w:type="dxa" w:w="90"/>
            </w:tcMar>
            <w:vAlign w:val="center"/>
          </w:tcPr>
          <w:p>
            <w:pPr>
              <w:jc w:val="left"/>
            </w:pPr>
            <w:r>
              <w:rPr>
                <w:b w:val="false"/>
                <w:bCs w:val="false"/>
                <w:color w:val="1E1E1E"/>
                <w:sz w:val="18"/>
                <w:szCs w:val="18"/>
              </w:rPr>
              <w:t xml:space="preserve">Mitigated by the single-vertical, single-stage entry</w:t>
            </w:r>
          </w:p>
        </w:tc>
        <w:tc>
          <w:tcPr>
            <w:tcW w:type="dxa" w:w="1800"/>
            <w:tcMar>
              <w:top w:type="dxa" w:w="60"/>
              <w:left w:type="dxa" w:w="90"/>
              <w:bottom w:type="dxa" w:w="60"/>
              <w:right w:type="dxa" w:w="90"/>
            </w:tcMar>
            <w:vAlign w:val="center"/>
          </w:tcPr>
          <w:p>
            <w:pPr>
              <w:jc w:val="left"/>
            </w:pPr>
            <w:r>
              <w:rPr>
                <w:b w:val="false"/>
                <w:bCs w:val="false"/>
                <w:color w:val="1E1E1E"/>
                <w:sz w:val="18"/>
                <w:szCs w:val="18"/>
              </w:rPr>
              <w:t xml:space="preserve">High</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Assistant commoditisation</w:t>
            </w:r>
          </w:p>
        </w:tc>
        <w:tc>
          <w:tcPr>
            <w:tcW w:type="dxa" w:w="4560"/>
            <w:tcMar>
              <w:top w:type="dxa" w:w="60"/>
              <w:left w:type="dxa" w:w="90"/>
              <w:bottom w:type="dxa" w:w="60"/>
              <w:right w:type="dxa" w:w="90"/>
            </w:tcMar>
            <w:vAlign w:val="center"/>
          </w:tcPr>
          <w:p>
            <w:pPr>
              <w:jc w:val="left"/>
            </w:pPr>
            <w:r>
              <w:rPr>
                <w:b w:val="false"/>
                <w:bCs w:val="false"/>
                <w:color w:val="1E1E1E"/>
                <w:sz w:val="18"/>
                <w:szCs w:val="18"/>
              </w:rPr>
              <w:t xml:space="preserve">Mitigated by refusing the AI-assistant position</w:t>
            </w:r>
          </w:p>
        </w:tc>
        <w:tc>
          <w:tcPr>
            <w:tcW w:type="dxa" w:w="1800"/>
            <w:tcMar>
              <w:top w:type="dxa" w:w="60"/>
              <w:left w:type="dxa" w:w="90"/>
              <w:bottom w:type="dxa" w:w="60"/>
              <w:right w:type="dxa" w:w="90"/>
            </w:tcMar>
            <w:vAlign w:val="center"/>
          </w:tcPr>
          <w:p>
            <w:pPr>
              <w:jc w:val="left"/>
            </w:pPr>
            <w:r>
              <w:rPr>
                <w:b w:val="false"/>
                <w:bCs w:val="false"/>
                <w:color w:val="1E1E1E"/>
                <w:sz w:val="18"/>
                <w:szCs w:val="18"/>
              </w:rPr>
              <w:t xml:space="preserve">High</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Segment economics and retention</w:t>
            </w:r>
          </w:p>
        </w:tc>
        <w:tc>
          <w:tcPr>
            <w:tcW w:type="dxa" w:w="4560"/>
            <w:tcMar>
              <w:top w:type="dxa" w:w="60"/>
              <w:left w:type="dxa" w:w="90"/>
              <w:bottom w:type="dxa" w:w="60"/>
              <w:right w:type="dxa" w:w="90"/>
            </w:tcMar>
            <w:vAlign w:val="center"/>
          </w:tcPr>
          <w:p>
            <w:pPr>
              <w:jc w:val="left"/>
            </w:pPr>
            <w:r>
              <w:rPr>
                <w:b w:val="false"/>
                <w:bCs w:val="false"/>
                <w:color w:val="1E1E1E"/>
                <w:sz w:val="18"/>
                <w:szCs w:val="18"/>
              </w:rPr>
              <w:t xml:space="preserve">Open. The sharpest threat to the subscription model: confidence solves itself with experience, so why does the user stay</w:t>
            </w:r>
          </w:p>
        </w:tc>
        <w:tc>
          <w:tcPr>
            <w:tcW w:type="dxa" w:w="1800"/>
            <w:tcMar>
              <w:top w:type="dxa" w:w="60"/>
              <w:left w:type="dxa" w:w="90"/>
              <w:bottom w:type="dxa" w:w="60"/>
              <w:right w:type="dxa" w:w="90"/>
            </w:tcMar>
            <w:vAlign w:val="center"/>
          </w:tcPr>
          <w:p>
            <w:pPr>
              <w:jc w:val="left"/>
            </w:pPr>
            <w:r>
              <w:rPr>
                <w:b w:val="false"/>
                <w:bCs w:val="false"/>
                <w:color w:val="1E1E1E"/>
                <w:sz w:val="18"/>
                <w:szCs w:val="18"/>
              </w:rPr>
              <w:t xml:space="preserve">Low (interpretation)</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Inventory and margin</w:t>
            </w:r>
          </w:p>
        </w:tc>
        <w:tc>
          <w:tcPr>
            <w:tcW w:type="dxa" w:w="4560"/>
            <w:tcMar>
              <w:top w:type="dxa" w:w="60"/>
              <w:left w:type="dxa" w:w="90"/>
              <w:bottom w:type="dxa" w:w="60"/>
              <w:right w:type="dxa" w:w="90"/>
            </w:tcMar>
            <w:vAlign w:val="center"/>
          </w:tcPr>
          <w:p>
            <w:pPr>
              <w:jc w:val="left"/>
            </w:pPr>
            <w:r>
              <w:rPr>
                <w:b w:val="false"/>
                <w:bCs w:val="false"/>
                <w:color w:val="1E1E1E"/>
                <w:sz w:val="18"/>
                <w:szCs w:val="18"/>
              </w:rPr>
              <w:t xml:space="preserve">Mitigated by entering as a referral layer, but this caps how much of the failure experience we can own</w:t>
            </w:r>
          </w:p>
        </w:tc>
        <w:tc>
          <w:tcPr>
            <w:tcW w:type="dxa" w:w="1800"/>
            <w:tcMar>
              <w:top w:type="dxa" w:w="60"/>
              <w:left w:type="dxa" w:w="90"/>
              <w:bottom w:type="dxa" w:w="60"/>
              <w:right w:type="dxa" w:w="90"/>
            </w:tcMar>
            <w:vAlign w:val="center"/>
          </w:tcPr>
          <w:p>
            <w:pPr>
              <w:jc w:val="left"/>
            </w:pPr>
            <w:r>
              <w:rPr>
                <w:b w:val="false"/>
                <w:bCs w:val="false"/>
                <w:color w:val="1E1E1E"/>
                <w:sz w:val="18"/>
                <w:szCs w:val="18"/>
              </w:rPr>
              <w:t xml:space="preserve">Medium</w:t>
            </w:r>
          </w:p>
        </w:tc>
      </w:tr>
      <w:tr>
        <w:tc>
          <w:tcPr>
            <w:tcW w:type="dxa" w:w="3000"/>
            <w:tcMar>
              <w:top w:type="dxa" w:w="60"/>
              <w:left w:type="dxa" w:w="90"/>
              <w:bottom w:type="dxa" w:w="60"/>
              <w:right w:type="dxa" w:w="90"/>
            </w:tcMar>
            <w:vAlign w:val="center"/>
          </w:tcPr>
          <w:p>
            <w:pPr>
              <w:jc w:val="left"/>
            </w:pPr>
            <w:r>
              <w:rPr>
                <w:b/>
                <w:bCs/>
                <w:color w:val="1E1E1E"/>
                <w:sz w:val="18"/>
                <w:szCs w:val="18"/>
              </w:rPr>
              <w:t xml:space="preserve">Regulatory</w:t>
            </w:r>
          </w:p>
        </w:tc>
        <w:tc>
          <w:tcPr>
            <w:tcW w:type="dxa" w:w="4560"/>
            <w:tcMar>
              <w:top w:type="dxa" w:w="60"/>
              <w:left w:type="dxa" w:w="90"/>
              <w:bottom w:type="dxa" w:w="60"/>
              <w:right w:type="dxa" w:w="90"/>
            </w:tcMar>
            <w:vAlign w:val="center"/>
          </w:tcPr>
          <w:p>
            <w:pPr>
              <w:jc w:val="left"/>
            </w:pPr>
            <w:r>
              <w:rPr>
                <w:b w:val="false"/>
                <w:bCs w:val="false"/>
                <w:color w:val="1E1E1E"/>
                <w:sz w:val="18"/>
                <w:szCs w:val="18"/>
              </w:rPr>
              <w:t xml:space="preserve">Ranking disclosure is a likely legal obligation; any real guarantee is a financial product</w:t>
            </w:r>
          </w:p>
        </w:tc>
        <w:tc>
          <w:tcPr>
            <w:tcW w:type="dxa" w:w="1800"/>
            <w:tcMar>
              <w:top w:type="dxa" w:w="60"/>
              <w:left w:type="dxa" w:w="90"/>
              <w:bottom w:type="dxa" w:w="60"/>
              <w:right w:type="dxa" w:w="90"/>
            </w:tcMar>
            <w:vAlign w:val="center"/>
          </w:tcPr>
          <w:p>
            <w:pPr>
              <w:jc w:val="left"/>
            </w:pPr>
            <w:r>
              <w:rPr>
                <w:b w:val="false"/>
                <w:bCs w:val="false"/>
                <w:color w:val="1E1E1E"/>
                <w:sz w:val="18"/>
                <w:szCs w:val="18"/>
              </w:rPr>
              <w:t xml:space="preserve">Medium</w:t>
            </w:r>
          </w:p>
        </w:tc>
      </w:tr>
    </w:tbl>
    <w:p>
      <w:pPr>
        <w:pStyle w:val="Heading1"/>
        <w:spacing w:after="120" w:before="280"/>
      </w:pPr>
      <w:r>
        <w:rPr>
          <w:b/>
          <w:bCs/>
          <w:color w:val="0E3B43"/>
        </w:rPr>
        <w:t xml:space="preserve">10. Questions requiring further research</w:t>
      </w:r>
    </w:p>
    <w:p>
      <w:pPr>
        <w:pStyle w:val="ListParagraph"/>
        <w:numPr>
          <w:ilvl w:val="0"/>
          <w:numId w:val="1"/>
        </w:numPr>
        <w:spacing w:after="70" w:line="270"/>
      </w:pPr>
      <w:r>
        <w:rPr>
          <w:color w:val="1E1E1E"/>
          <w:sz w:val="21"/>
          <w:szCs w:val="21"/>
        </w:rPr>
        <w:t xml:space="preserve">Do first-time travellers actually choose on stress, and do they want more help or less friction. Firm it up with 5 to 8 interviews plus a stress-sort versus price-sort prototype test. This is the single biggest thing that would change the strategy.</w:t>
      </w:r>
    </w:p>
    <w:p>
      <w:pPr>
        <w:pStyle w:val="ListParagraph"/>
        <w:numPr>
          <w:ilvl w:val="0"/>
          <w:numId w:val="1"/>
        </w:numPr>
        <w:spacing w:after="70" w:line="270"/>
      </w:pPr>
      <w:r>
        <w:rPr>
          <w:color w:val="1E1E1E"/>
          <w:sz w:val="21"/>
          <w:szCs w:val="21"/>
        </w:rPr>
        <w:t xml:space="preserve">Finish the eight unprofiled competitors: Kayak, Skyscanner, Airbnb, Rentalcars.com, Trainline, Omio, Citymapper, Rome2Rio. They could move the transport-tickets and in-destination findings and the vacant-axis claim.</w:t>
      </w:r>
    </w:p>
    <w:p>
      <w:pPr>
        <w:pStyle w:val="ListParagraph"/>
        <w:numPr>
          <w:ilvl w:val="0"/>
          <w:numId w:val="1"/>
        </w:numPr>
        <w:spacing w:after="70" w:line="270"/>
      </w:pPr>
      <w:r>
        <w:rPr>
          <w:color w:val="1E1E1E"/>
          <w:sz w:val="21"/>
          <w:szCs w:val="21"/>
        </w:rPr>
        <w:t xml:space="preserve">Walk a return-day scenario for each product. Stage 7 is Unknown almost everywhere because none was walked.</w:t>
      </w:r>
    </w:p>
    <w:p>
      <w:pPr>
        <w:pStyle w:val="ListParagraph"/>
        <w:numPr>
          <w:ilvl w:val="0"/>
          <w:numId w:val="1"/>
        </w:numPr>
        <w:spacing w:after="70" w:line="270"/>
      </w:pPr>
      <w:r>
        <w:rPr>
          <w:color w:val="1E1E1E"/>
          <w:sz w:val="21"/>
          <w:szCs w:val="21"/>
        </w:rPr>
        <w:t xml:space="preserve">Confirm the stress-signal and entry-requirement data are obtainable, and at what cost, before committing to Bets A and C.</w:t>
      </w:r>
    </w:p>
    <w:p>
      <w:pPr>
        <w:pStyle w:val="ListParagraph"/>
        <w:numPr>
          <w:ilvl w:val="0"/>
          <w:numId w:val="1"/>
        </w:numPr>
        <w:spacing w:after="70" w:line="270"/>
      </w:pPr>
      <w:r>
        <w:rPr>
          <w:color w:val="1E1E1E"/>
          <w:sz w:val="21"/>
          <w:szCs w:val="21"/>
        </w:rPr>
        <w:t xml:space="preserve">Resolve whether Booking.com and the generalists sell public transport tickets, which stays open until the rail and transit specialists are run.</w:t>
      </w:r>
    </w:p>
    <w:p>
      <w:pPr>
        <w:pStyle w:val="Heading1"/>
        <w:spacing w:after="120" w:before="280"/>
      </w:pPr>
      <w:r>
        <w:rPr>
          <w:b/>
          <w:bCs/>
          <w:color w:val="0E3B43"/>
        </w:rPr>
        <w:t xml:space="preserve">11. Items to verify manually before sharing with stakeholders</w:t>
      </w:r>
    </w:p>
    <w:p>
      <w:pPr>
        <w:spacing w:after="120" w:line="276"/>
      </w:pPr>
      <w:r>
        <w:rPr>
          <w:color w:val="1E1E1E"/>
          <w:sz w:val="21"/>
          <w:szCs w:val="21"/>
        </w:rPr>
        <w:t xml:space="preserve">These are the caveats a reader must know before treating any cell as settled.</w:t>
      </w:r>
    </w:p>
    <w:p>
      <w:pPr>
        <w:pStyle w:val="ListParagraph"/>
        <w:numPr>
          <w:ilvl w:val="0"/>
          <w:numId w:val="1"/>
        </w:numPr>
        <w:spacing w:after="70" w:line="270"/>
      </w:pPr>
      <w:r>
        <w:rPr>
          <w:color w:val="1E1E1E"/>
          <w:sz w:val="21"/>
          <w:szCs w:val="21"/>
        </w:rPr>
        <w:t xml:space="preserve">Tripadvisor's AI planner was observed live but the chat was pre-populated on load, not driven from a clean start. Re-run it before quoting it as a capability.</w:t>
      </w:r>
    </w:p>
    <w:p>
      <w:pPr>
        <w:pStyle w:val="ListParagraph"/>
        <w:numPr>
          <w:ilvl w:val="0"/>
          <w:numId w:val="1"/>
        </w:numPr>
        <w:spacing w:after="70" w:line="270"/>
      </w:pPr>
      <w:r>
        <w:rPr>
          <w:color w:val="1E1E1E"/>
          <w:sz w:val="21"/>
          <w:szCs w:val="21"/>
        </w:rPr>
        <w:t xml:space="preserve">Google Travel was walked signed in while the other five were signed out. Its personalisation and ranking observations are not strictly comparable.</w:t>
      </w:r>
    </w:p>
    <w:p>
      <w:pPr>
        <w:pStyle w:val="ListParagraph"/>
        <w:numPr>
          <w:ilvl w:val="0"/>
          <w:numId w:val="1"/>
        </w:numPr>
        <w:spacing w:after="70" w:line="270"/>
      </w:pPr>
      <w:r>
        <w:rPr>
          <w:color w:val="1E1E1E"/>
          <w:sz w:val="21"/>
          <w:szCs w:val="21"/>
        </w:rPr>
        <w:t xml:space="preserve">Hopper's flight results were not reachable this run, so its compare-stage cells are Unknown, not No.</w:t>
      </w:r>
    </w:p>
    <w:p>
      <w:pPr>
        <w:pStyle w:val="ListParagraph"/>
        <w:numPr>
          <w:ilvl w:val="0"/>
          <w:numId w:val="1"/>
        </w:numPr>
        <w:spacing w:after="70" w:line="270"/>
      </w:pPr>
      <w:r>
        <w:rPr>
          <w:color w:val="1E1E1E"/>
          <w:sz w:val="21"/>
          <w:szCs w:val="21"/>
        </w:rPr>
        <w:t xml:space="preserve">Expedia's Romie assistant is a vendor claim, alpha and app-only. It is treated as unshipped and must not be quoted as a live feature.</w:t>
      </w:r>
    </w:p>
    <w:p>
      <w:pPr>
        <w:pStyle w:val="ListParagraph"/>
        <w:numPr>
          <w:ilvl w:val="0"/>
          <w:numId w:val="1"/>
        </w:numPr>
        <w:spacing w:after="70" w:line="270"/>
      </w:pPr>
      <w:r>
        <w:rPr>
          <w:color w:val="1E1E1E"/>
          <w:sz w:val="21"/>
          <w:szCs w:val="21"/>
        </w:rPr>
        <w:t xml:space="preserve">Entry-data licensing (Riskline, Basetrip) and the buildability of the stress signal are assumptions behind Bets A and C, not verified facts.</w:t>
      </w:r>
    </w:p>
    <w:p>
      <w:pPr>
        <w:pStyle w:val="ListParagraph"/>
        <w:numPr>
          <w:ilvl w:val="0"/>
          <w:numId w:val="1"/>
        </w:numPr>
        <w:spacing w:after="70" w:line="270"/>
      </w:pPr>
      <w:r>
        <w:rPr>
          <w:color w:val="1E1E1E"/>
          <w:sz w:val="21"/>
          <w:szCs w:val="21"/>
        </w:rPr>
        <w:t xml:space="preserve">This report covers six of fourteen competitors. Every convergence and vacancy claim may shift when the remaining eight are added.</w:t>
      </w:r>
    </w:p>
    <w:p>
      <w:pPr>
        <w:pStyle w:val="ListParagraph"/>
        <w:numPr>
          <w:ilvl w:val="0"/>
          <w:numId w:val="1"/>
        </w:numPr>
        <w:spacing w:after="70" w:line="270"/>
      </w:pPr>
      <w:r>
        <w:rPr>
          <w:color w:val="1E1E1E"/>
          <w:sz w:val="21"/>
          <w:szCs w:val="21"/>
        </w:rPr>
        <w:t xml:space="preserve">No user research underpins any claim about what the first-timer wants or feels. Those are inference, carried at Low.</w:t>
      </w:r>
    </w:p>
    <w:p>
      <w:pPr>
        <w:pBdr>
          <w:bottom w:val="single" w:color="CCCCCC" w:sz="6"/>
        </w:pBdr>
        <w:spacing w:after="120"/>
      </w:pPr>
    </w:p>
    <w:p>
      <w:pPr>
        <w:spacing w:after="120" w:line="276"/>
      </w:pPr>
      <w:r>
        <w:rPr>
          <w:color w:val="6B6B6B"/>
          <w:sz w:val="18"/>
          <w:szCs w:val="18"/>
        </w:rPr>
        <w:t xml:space="preserve">Sources: live-product walkthroughs (Tier 1) and first-party documentation (Tier 2) recorded in the six competitor profiles and the phase deliverables: luma-benchmark-plan.md, the six *-competitor-profile.md files, luma-feature-inventory.xlsx and .md, luma-pattern-analysis.md, luma-journey-comparison.md, luma-white-space-analysis.md, luma-opportunity-scoring.md, luma-strategy-recommendation.md, and the Figma board.</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Luma Competitor UX Benchmark · Executive Report · </w:t>
    </w:r>
    <w:r>
      <w:rPr>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Calibri" w:cs="Calibri" w:eastAsia="Calibri" w:hAnsi="Calibri"/>
      <w:b/>
      <w:bCs/>
      <w:color w:val="0E3B43"/>
      <w:sz w:val="30"/>
      <w:szCs w:val="30"/>
    </w:rPr>
  </w:style>
  <w:style w:type="paragraph" w:styleId="Heading2">
    <w:name w:val="Heading 2"/>
    <w:basedOn w:val="Normal"/>
    <w:next w:val="Normal"/>
    <w:qFormat/>
    <w:pPr>
      <w:spacing w:after="60" w:before="180"/>
    </w:pPr>
    <w:rPr>
      <w:rFonts w:ascii="Calibri" w:cs="Calibri" w:eastAsia="Calibri" w:hAnsi="Calibri"/>
      <w:b/>
      <w:bCs/>
      <w:color w:val="1E1E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2026-07-22T09:13:55.877Z</dcterms:created>
  <dcterms:modified xsi:type="dcterms:W3CDTF">2026-07-22T09:13:55.878Z</dcterms:modified>
</cp:coreProperties>
</file>

<file path=docProps/custom.xml><?xml version="1.0" encoding="utf-8"?>
<Properties xmlns="http://schemas.openxmlformats.org/officeDocument/2006/custom-properties" xmlns:vt="http://schemas.openxmlformats.org/officeDocument/2006/docPropsVTypes"/>
</file>