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F8609" w14:textId="07E8D625" w:rsidR="00CC2C3C" w:rsidRPr="008E408B" w:rsidRDefault="00CC2C3C" w:rsidP="00CC2C3C">
      <w:pPr>
        <w:pStyle w:val="EndNoteBibliographyTitle"/>
        <w:rPr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8E408B">
        <w:rPr>
          <w:noProof/>
        </w:rPr>
        <w:t>REFERENCES</w:t>
      </w:r>
      <w:r>
        <w:rPr>
          <w:noProof/>
        </w:rPr>
        <w:t>: ML-b-GWAS</w:t>
      </w:r>
    </w:p>
    <w:p w14:paraId="0165BD72" w14:textId="77777777" w:rsidR="00CC2C3C" w:rsidRPr="008E408B" w:rsidRDefault="00CC2C3C" w:rsidP="00CC2C3C">
      <w:pPr>
        <w:pStyle w:val="EndNoteBibliographyTitle"/>
        <w:rPr>
          <w:noProof/>
        </w:rPr>
      </w:pPr>
    </w:p>
    <w:p w14:paraId="37217E67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1.</w:t>
      </w:r>
      <w:r w:rsidRPr="008E408B">
        <w:rPr>
          <w:noProof/>
        </w:rPr>
        <w:tab/>
        <w:t xml:space="preserve">S. Y. Tong, J. S. Davis, E. Eichenberger, T. L. Holland, V. G. Fowler Jr, Staphylococcus aureus infections: epidemiology, pathophysiology, clinical manifestations, and management. </w:t>
      </w:r>
      <w:r w:rsidRPr="008E408B">
        <w:rPr>
          <w:i/>
          <w:noProof/>
        </w:rPr>
        <w:t>Clinical microbiology reviews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28</w:t>
      </w:r>
      <w:r w:rsidRPr="008E408B">
        <w:rPr>
          <w:noProof/>
        </w:rPr>
        <w:t>, 603-661 (2015).</w:t>
      </w:r>
    </w:p>
    <w:p w14:paraId="1AFB13E8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2.</w:t>
      </w:r>
      <w:r w:rsidRPr="008E408B">
        <w:rPr>
          <w:noProof/>
        </w:rPr>
        <w:tab/>
        <w:t xml:space="preserve">A. J. Tande, R. Patel, Prosthetic joint infection. </w:t>
      </w:r>
      <w:r w:rsidRPr="008E408B">
        <w:rPr>
          <w:i/>
          <w:noProof/>
        </w:rPr>
        <w:t>Clin Microbiol Rev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27</w:t>
      </w:r>
      <w:r w:rsidRPr="008E408B">
        <w:rPr>
          <w:noProof/>
        </w:rPr>
        <w:t>, 302-345 (2014).</w:t>
      </w:r>
    </w:p>
    <w:p w14:paraId="2D376C18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3.</w:t>
      </w:r>
      <w:r w:rsidRPr="008E408B">
        <w:rPr>
          <w:noProof/>
        </w:rPr>
        <w:tab/>
        <w:t xml:space="preserve">R. Patel, Periprosthetic joint infection. </w:t>
      </w:r>
      <w:r w:rsidRPr="008E408B">
        <w:rPr>
          <w:i/>
          <w:noProof/>
        </w:rPr>
        <w:t>New England Journal of Medicine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388</w:t>
      </w:r>
      <w:r w:rsidRPr="008E408B">
        <w:rPr>
          <w:noProof/>
        </w:rPr>
        <w:t>, 251-262 (2023).</w:t>
      </w:r>
    </w:p>
    <w:p w14:paraId="423AB321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4.</w:t>
      </w:r>
      <w:r w:rsidRPr="008E408B">
        <w:rPr>
          <w:noProof/>
        </w:rPr>
        <w:tab/>
        <w:t>A. Bozzo</w:t>
      </w:r>
      <w:r w:rsidRPr="008E408B">
        <w:rPr>
          <w:i/>
          <w:noProof/>
        </w:rPr>
        <w:t xml:space="preserve"> et al.</w:t>
      </w:r>
      <w:r w:rsidRPr="008E408B">
        <w:rPr>
          <w:noProof/>
        </w:rPr>
        <w:t xml:space="preserve">, Incidence and Predictors of Prosthetic Joint Infection Following Primary Total Knee Arthroplasty: A 15-Year Population-Based Cohort Study. </w:t>
      </w:r>
      <w:r w:rsidRPr="008E408B">
        <w:rPr>
          <w:i/>
          <w:noProof/>
        </w:rPr>
        <w:t>The Journal of Arthroplasty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37</w:t>
      </w:r>
      <w:r w:rsidRPr="008E408B">
        <w:rPr>
          <w:noProof/>
        </w:rPr>
        <w:t>, 367-372.e361 (2022).</w:t>
      </w:r>
    </w:p>
    <w:p w14:paraId="60F6CDBB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5.</w:t>
      </w:r>
      <w:r w:rsidRPr="008E408B">
        <w:rPr>
          <w:noProof/>
        </w:rPr>
        <w:tab/>
        <w:t>S. Datta</w:t>
      </w:r>
      <w:r w:rsidRPr="008E408B">
        <w:rPr>
          <w:i/>
          <w:noProof/>
        </w:rPr>
        <w:t xml:space="preserve"> et al.</w:t>
      </w:r>
      <w:r w:rsidRPr="008E408B">
        <w:rPr>
          <w:noProof/>
        </w:rPr>
        <w:t xml:space="preserve">, Why Are Primary Total Knee Arthroplasties Failing? A Systematic Review and Meta-Analysis. </w:t>
      </w:r>
      <w:r w:rsidRPr="008E408B">
        <w:rPr>
          <w:i/>
          <w:noProof/>
        </w:rPr>
        <w:t>The Journal of Arthroplasty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40</w:t>
      </w:r>
      <w:r w:rsidRPr="008E408B">
        <w:rPr>
          <w:noProof/>
        </w:rPr>
        <w:t>, 2219-2225 (2025).</w:t>
      </w:r>
    </w:p>
    <w:p w14:paraId="773F697B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6.</w:t>
      </w:r>
      <w:r w:rsidRPr="008E408B">
        <w:rPr>
          <w:noProof/>
        </w:rPr>
        <w:tab/>
        <w:t xml:space="preserve">B. H. Kapadia, S. Banerjee, J. J. Cherian, K. J. Bozic, M. A. Mont, The economic impact of periprosthetic infections after total hip arthroplasty at a specialized tertiary-care center. </w:t>
      </w:r>
      <w:r w:rsidRPr="008E408B">
        <w:rPr>
          <w:i/>
          <w:noProof/>
        </w:rPr>
        <w:t>J Arthroplasty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31</w:t>
      </w:r>
      <w:r w:rsidRPr="008E408B">
        <w:rPr>
          <w:noProof/>
        </w:rPr>
        <w:t>, 1422-1426 (2016).</w:t>
      </w:r>
    </w:p>
    <w:p w14:paraId="56BE78C3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7.</w:t>
      </w:r>
      <w:r w:rsidRPr="008E408B">
        <w:rPr>
          <w:noProof/>
        </w:rPr>
        <w:tab/>
        <w:t>B. H. Kapadia</w:t>
      </w:r>
      <w:r w:rsidRPr="008E408B">
        <w:rPr>
          <w:i/>
          <w:noProof/>
        </w:rPr>
        <w:t xml:space="preserve"> et al.</w:t>
      </w:r>
      <w:r w:rsidRPr="008E408B">
        <w:rPr>
          <w:noProof/>
        </w:rPr>
        <w:t xml:space="preserve">, The economic impact of periprosthetic infections following total knee arthroplasty at a specialized tertiary-care center. </w:t>
      </w:r>
      <w:r w:rsidRPr="008E408B">
        <w:rPr>
          <w:i/>
          <w:noProof/>
        </w:rPr>
        <w:t>J Arthroplasty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29</w:t>
      </w:r>
      <w:r w:rsidRPr="008E408B">
        <w:rPr>
          <w:noProof/>
        </w:rPr>
        <w:t>, 929-932 (2014).</w:t>
      </w:r>
    </w:p>
    <w:p w14:paraId="642BAC07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8.</w:t>
      </w:r>
      <w:r w:rsidRPr="008E408B">
        <w:rPr>
          <w:noProof/>
        </w:rPr>
        <w:tab/>
        <w:t>B. H. Kapadia</w:t>
      </w:r>
      <w:r w:rsidRPr="008E408B">
        <w:rPr>
          <w:i/>
          <w:noProof/>
        </w:rPr>
        <w:t xml:space="preserve"> et al.</w:t>
      </w:r>
      <w:r w:rsidRPr="008E408B">
        <w:rPr>
          <w:noProof/>
        </w:rPr>
        <w:t xml:space="preserve">, Periprosthetic joint infection. </w:t>
      </w:r>
      <w:r w:rsidRPr="008E408B">
        <w:rPr>
          <w:i/>
          <w:noProof/>
        </w:rPr>
        <w:t>The Lancet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387</w:t>
      </w:r>
      <w:r w:rsidRPr="008E408B">
        <w:rPr>
          <w:noProof/>
        </w:rPr>
        <w:t>, 386-394 (2016).</w:t>
      </w:r>
    </w:p>
    <w:p w14:paraId="7A73648D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9.</w:t>
      </w:r>
      <w:r w:rsidRPr="008E408B">
        <w:rPr>
          <w:noProof/>
        </w:rPr>
        <w:tab/>
        <w:t xml:space="preserve">S. M. Kurtz, E. Lau, H. Watson, J. K. Schmier, J. Parvizi, Economic burden of periprosthetic joint infection in the United States. </w:t>
      </w:r>
      <w:r w:rsidRPr="008E408B">
        <w:rPr>
          <w:i/>
          <w:noProof/>
        </w:rPr>
        <w:t>Journal of Arthroplasty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27</w:t>
      </w:r>
      <w:r w:rsidRPr="008E408B">
        <w:rPr>
          <w:noProof/>
        </w:rPr>
        <w:t>, 61-65.e61 (2012).</w:t>
      </w:r>
    </w:p>
    <w:p w14:paraId="37E57786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10.</w:t>
      </w:r>
      <w:r w:rsidRPr="008E408B">
        <w:rPr>
          <w:noProof/>
        </w:rPr>
        <w:tab/>
        <w:t xml:space="preserve">J. M. Villa, K. Rajschmir, S. Lin, C. A. Higuera-Rueda, What is the true impact of periprosthetic joint infection diagnosis on mortality? </w:t>
      </w:r>
      <w:r w:rsidRPr="008E408B">
        <w:rPr>
          <w:i/>
          <w:noProof/>
        </w:rPr>
        <w:t>The Journal of Arthroplasty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39</w:t>
      </w:r>
      <w:r w:rsidRPr="008E408B">
        <w:rPr>
          <w:noProof/>
        </w:rPr>
        <w:t>, S410-S414 (2024).</w:t>
      </w:r>
    </w:p>
    <w:p w14:paraId="792724B8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11.</w:t>
      </w:r>
      <w:r w:rsidRPr="008E408B">
        <w:rPr>
          <w:noProof/>
        </w:rPr>
        <w:tab/>
        <w:t xml:space="preserve">K. M. Natsuhara, T. J. Shelton, J. P. Meehan, Z. C. Lum, Mortality During Total Hip Periprosthetic Joint Infection. </w:t>
      </w:r>
      <w:r w:rsidRPr="008E408B">
        <w:rPr>
          <w:i/>
          <w:noProof/>
        </w:rPr>
        <w:t>The Journal of Arthroplasty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34</w:t>
      </w:r>
      <w:r w:rsidRPr="008E408B">
        <w:rPr>
          <w:noProof/>
        </w:rPr>
        <w:t>, S337-S342 (2019).</w:t>
      </w:r>
    </w:p>
    <w:p w14:paraId="6DB8AD43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12.</w:t>
      </w:r>
      <w:r w:rsidRPr="008E408B">
        <w:rPr>
          <w:noProof/>
        </w:rPr>
        <w:tab/>
        <w:t>A. Premkumar</w:t>
      </w:r>
      <w:r w:rsidRPr="008E408B">
        <w:rPr>
          <w:i/>
          <w:noProof/>
        </w:rPr>
        <w:t xml:space="preserve"> et al.</w:t>
      </w:r>
      <w:r w:rsidRPr="008E408B">
        <w:rPr>
          <w:noProof/>
        </w:rPr>
        <w:t xml:space="preserve">, Projected economic burden of periprosthetic joint infection of the hip and knee in the United States. </w:t>
      </w:r>
      <w:r w:rsidRPr="008E408B">
        <w:rPr>
          <w:i/>
          <w:noProof/>
        </w:rPr>
        <w:t>J Arthroplasty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36</w:t>
      </w:r>
      <w:r w:rsidRPr="008E408B">
        <w:rPr>
          <w:noProof/>
        </w:rPr>
        <w:t>, 1484-1489.e1483 (2021).</w:t>
      </w:r>
    </w:p>
    <w:p w14:paraId="60DBDE4C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13.</w:t>
      </w:r>
      <w:r w:rsidRPr="008E408B">
        <w:rPr>
          <w:noProof/>
        </w:rPr>
        <w:tab/>
        <w:t xml:space="preserve">T. J. Parisi, J. F. Konopka, H. S. Bedair, What is the long-term economic societal effect of periprosthetic infections after THA? A Markov analysis. </w:t>
      </w:r>
      <w:r w:rsidRPr="008E408B">
        <w:rPr>
          <w:i/>
          <w:noProof/>
        </w:rPr>
        <w:t>Clin Orthop Relat Res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475</w:t>
      </w:r>
      <w:r w:rsidRPr="008E408B">
        <w:rPr>
          <w:noProof/>
        </w:rPr>
        <w:t>, 1891-1900 (2017).</w:t>
      </w:r>
    </w:p>
    <w:p w14:paraId="6DEBE64B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14.</w:t>
      </w:r>
      <w:r w:rsidRPr="008E408B">
        <w:rPr>
          <w:noProof/>
        </w:rPr>
        <w:tab/>
        <w:t xml:space="preserve">M. Westberg, T. Fagerberg Ø, F. Snorrason, Poor outcome after debridement and implant retention for acute hematogenous periprosthetic joint infection: a cohort study of 43 patients. </w:t>
      </w:r>
      <w:r w:rsidRPr="008E408B">
        <w:rPr>
          <w:i/>
          <w:noProof/>
        </w:rPr>
        <w:t>Acta Orthop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94</w:t>
      </w:r>
      <w:r w:rsidRPr="008E408B">
        <w:rPr>
          <w:noProof/>
        </w:rPr>
        <w:t>, 115-120 (2023).</w:t>
      </w:r>
    </w:p>
    <w:p w14:paraId="0DEEBF8A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15.</w:t>
      </w:r>
      <w:r w:rsidRPr="008E408B">
        <w:rPr>
          <w:noProof/>
        </w:rPr>
        <w:tab/>
        <w:t>R. Espíndola</w:t>
      </w:r>
      <w:r w:rsidRPr="008E408B">
        <w:rPr>
          <w:i/>
          <w:noProof/>
        </w:rPr>
        <w:t xml:space="preserve"> et al.</w:t>
      </w:r>
      <w:r w:rsidRPr="008E408B">
        <w:rPr>
          <w:noProof/>
        </w:rPr>
        <w:t xml:space="preserve">, Rates and Predictors of Treatment Failure in Staphylococcus aureus Prosthetic Joint Infections According to Different Management Strategies: A Multinational Cohort Study-The ARTHR-IS Study Group. </w:t>
      </w:r>
      <w:r w:rsidRPr="008E408B">
        <w:rPr>
          <w:i/>
          <w:noProof/>
        </w:rPr>
        <w:t>Infect Dis Ther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11</w:t>
      </w:r>
      <w:r w:rsidRPr="008E408B">
        <w:rPr>
          <w:noProof/>
        </w:rPr>
        <w:t>, 2177-2203 (2022).</w:t>
      </w:r>
    </w:p>
    <w:p w14:paraId="1B36C104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16.</w:t>
      </w:r>
      <w:r w:rsidRPr="008E408B">
        <w:rPr>
          <w:noProof/>
        </w:rPr>
        <w:tab/>
        <w:t>A. Trampuz</w:t>
      </w:r>
      <w:r w:rsidRPr="008E408B">
        <w:rPr>
          <w:i/>
          <w:noProof/>
        </w:rPr>
        <w:t xml:space="preserve"> et al.</w:t>
      </w:r>
      <w:r w:rsidRPr="008E408B">
        <w:rPr>
          <w:noProof/>
        </w:rPr>
        <w:t xml:space="preserve">, Sonication of removed hip and knee prostheses for diagnosis of infection. </w:t>
      </w:r>
      <w:r w:rsidRPr="008E408B">
        <w:rPr>
          <w:i/>
          <w:noProof/>
        </w:rPr>
        <w:t>N Engl J Med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357</w:t>
      </w:r>
      <w:r w:rsidRPr="008E408B">
        <w:rPr>
          <w:noProof/>
        </w:rPr>
        <w:t>, 654-663 (2007).</w:t>
      </w:r>
    </w:p>
    <w:p w14:paraId="1E976C8E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lastRenderedPageBreak/>
        <w:t>17.</w:t>
      </w:r>
      <w:r w:rsidRPr="008E408B">
        <w:rPr>
          <w:noProof/>
        </w:rPr>
        <w:tab/>
        <w:t>T. Le Masters</w:t>
      </w:r>
      <w:r w:rsidRPr="008E408B">
        <w:rPr>
          <w:i/>
          <w:noProof/>
        </w:rPr>
        <w:t xml:space="preserve"> et al.</w:t>
      </w:r>
      <w:r w:rsidRPr="008E408B">
        <w:rPr>
          <w:noProof/>
        </w:rPr>
        <w:t xml:space="preserve">, Comparative transcriptomic analysis of Staphylococcus aureus associated with periprosthetic joint infection under in vivo and in vitro conditions. </w:t>
      </w:r>
      <w:r w:rsidRPr="008E408B">
        <w:rPr>
          <w:i/>
          <w:noProof/>
        </w:rPr>
        <w:t>J Mol Diagn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23</w:t>
      </w:r>
      <w:r w:rsidRPr="008E408B">
        <w:rPr>
          <w:noProof/>
        </w:rPr>
        <w:t>, 986-999 (2021).</w:t>
      </w:r>
    </w:p>
    <w:p w14:paraId="322C3C9C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18.</w:t>
      </w:r>
      <w:r w:rsidRPr="008E408B">
        <w:rPr>
          <w:noProof/>
        </w:rPr>
        <w:tab/>
        <w:t xml:space="preserve">T. Seemann, Prokka: rapid prokaryotic genome annotation. </w:t>
      </w:r>
      <w:r w:rsidRPr="008E408B">
        <w:rPr>
          <w:i/>
          <w:noProof/>
        </w:rPr>
        <w:t>Bioinformatics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30</w:t>
      </w:r>
      <w:r w:rsidRPr="008E408B">
        <w:rPr>
          <w:noProof/>
        </w:rPr>
        <w:t>, 2068-2069 (2014).</w:t>
      </w:r>
    </w:p>
    <w:p w14:paraId="661DE8EA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19.</w:t>
      </w:r>
      <w:r w:rsidRPr="008E408B">
        <w:rPr>
          <w:noProof/>
        </w:rPr>
        <w:tab/>
        <w:t>G. Tonkin-Hill</w:t>
      </w:r>
      <w:r w:rsidRPr="008E408B">
        <w:rPr>
          <w:i/>
          <w:noProof/>
        </w:rPr>
        <w:t xml:space="preserve"> et al.</w:t>
      </w:r>
      <w:r w:rsidRPr="008E408B">
        <w:rPr>
          <w:noProof/>
        </w:rPr>
        <w:t xml:space="preserve">, Producing polished prokaryotic pangenomes with the Panaroo pipeline. </w:t>
      </w:r>
      <w:r w:rsidRPr="008E408B">
        <w:rPr>
          <w:i/>
          <w:noProof/>
        </w:rPr>
        <w:t>Genome Biol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21</w:t>
      </w:r>
      <w:r w:rsidRPr="008E408B">
        <w:rPr>
          <w:noProof/>
        </w:rPr>
        <w:t>, 180 (2020).</w:t>
      </w:r>
    </w:p>
    <w:p w14:paraId="247D3459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20.</w:t>
      </w:r>
      <w:r w:rsidRPr="008E408B">
        <w:rPr>
          <w:noProof/>
        </w:rPr>
        <w:tab/>
        <w:t xml:space="preserve">K. Katoh, D. M. Standley, MAFFT Multiple Sequence Alignment Software Version 7: Improvements in Performance and Usability. </w:t>
      </w:r>
      <w:r w:rsidRPr="008E408B">
        <w:rPr>
          <w:i/>
          <w:noProof/>
        </w:rPr>
        <w:t>Molecular Biology and Evolution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30</w:t>
      </w:r>
      <w:r w:rsidRPr="008E408B">
        <w:rPr>
          <w:noProof/>
        </w:rPr>
        <w:t>, 772-780 (2013).</w:t>
      </w:r>
    </w:p>
    <w:p w14:paraId="724DFDEA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21.</w:t>
      </w:r>
      <w:r w:rsidRPr="008E408B">
        <w:rPr>
          <w:noProof/>
        </w:rPr>
        <w:tab/>
        <w:t>A. J. Page</w:t>
      </w:r>
      <w:r w:rsidRPr="008E408B">
        <w:rPr>
          <w:i/>
          <w:noProof/>
        </w:rPr>
        <w:t xml:space="preserve"> et al.</w:t>
      </w:r>
      <w:r w:rsidRPr="008E408B">
        <w:rPr>
          <w:noProof/>
        </w:rPr>
        <w:t xml:space="preserve">, Roary: rapid large-scale prokaryote pan genome analysis. </w:t>
      </w:r>
      <w:r w:rsidRPr="008E408B">
        <w:rPr>
          <w:i/>
          <w:noProof/>
        </w:rPr>
        <w:t>Bioinformatics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31</w:t>
      </w:r>
      <w:r w:rsidRPr="008E408B">
        <w:rPr>
          <w:noProof/>
        </w:rPr>
        <w:t>, 3691-3693 (2015).</w:t>
      </w:r>
    </w:p>
    <w:p w14:paraId="3512F411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22.</w:t>
      </w:r>
      <w:r w:rsidRPr="008E408B">
        <w:rPr>
          <w:noProof/>
        </w:rPr>
        <w:tab/>
        <w:t xml:space="preserve">H. A. Thorpe, S. C. Bayliss, S. K. Sheppard, E. J. Feil, Piggy: a rapid, large-scale pan-genome analysis tool for intergenic regions in bacteria. </w:t>
      </w:r>
      <w:r w:rsidRPr="008E408B">
        <w:rPr>
          <w:i/>
          <w:noProof/>
        </w:rPr>
        <w:t>GigaScience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7</w:t>
      </w:r>
      <w:r w:rsidRPr="008E408B">
        <w:rPr>
          <w:noProof/>
        </w:rPr>
        <w:t xml:space="preserve"> (2018).</w:t>
      </w:r>
    </w:p>
    <w:p w14:paraId="332A05F8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23.</w:t>
      </w:r>
      <w:r w:rsidRPr="008E408B">
        <w:rPr>
          <w:noProof/>
        </w:rPr>
        <w:tab/>
        <w:t xml:space="preserve">R. A. Stanton, N. Vlachos, A. L. Halpin, GAMMA: a tool for the rapid identification, classification and annotation of translated gene matches from sequencing data. </w:t>
      </w:r>
      <w:r w:rsidRPr="008E408B">
        <w:rPr>
          <w:i/>
          <w:noProof/>
        </w:rPr>
        <w:t>Bioinformatics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38</w:t>
      </w:r>
      <w:r w:rsidRPr="008E408B">
        <w:rPr>
          <w:noProof/>
        </w:rPr>
        <w:t>, 546-548 (2022).</w:t>
      </w:r>
    </w:p>
    <w:p w14:paraId="6E33D41B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24.</w:t>
      </w:r>
      <w:r w:rsidRPr="008E408B">
        <w:rPr>
          <w:noProof/>
        </w:rPr>
        <w:tab/>
        <w:t xml:space="preserve">K. A. Lê Cao, S. Boitard, P. Besse, Sparse PLS discriminant analysis: biologically relevant feature selection and graphical displays for multiclass problems. </w:t>
      </w:r>
      <w:r w:rsidRPr="008E408B">
        <w:rPr>
          <w:i/>
          <w:noProof/>
        </w:rPr>
        <w:t>BMC Bioinformatics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12</w:t>
      </w:r>
      <w:r w:rsidRPr="008E408B">
        <w:rPr>
          <w:noProof/>
        </w:rPr>
        <w:t>, 253 (2011).</w:t>
      </w:r>
    </w:p>
    <w:p w14:paraId="555D07EB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25.</w:t>
      </w:r>
      <w:r w:rsidRPr="008E408B">
        <w:rPr>
          <w:noProof/>
        </w:rPr>
        <w:tab/>
        <w:t>H. Wickham</w:t>
      </w:r>
      <w:r w:rsidRPr="008E408B">
        <w:rPr>
          <w:i/>
          <w:noProof/>
        </w:rPr>
        <w:t xml:space="preserve"> et al.</w:t>
      </w:r>
      <w:r w:rsidRPr="008E408B">
        <w:rPr>
          <w:noProof/>
        </w:rPr>
        <w:t xml:space="preserve">, Welcome to the {tidyverse}. </w:t>
      </w:r>
      <w:r w:rsidRPr="008E408B">
        <w:rPr>
          <w:i/>
          <w:noProof/>
        </w:rPr>
        <w:t>Journal of Open Source Software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4</w:t>
      </w:r>
      <w:r w:rsidRPr="008E408B">
        <w:rPr>
          <w:noProof/>
        </w:rPr>
        <w:t>, 1686 (2019).</w:t>
      </w:r>
    </w:p>
    <w:p w14:paraId="6D05A2CD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26.</w:t>
      </w:r>
      <w:r w:rsidRPr="008E408B">
        <w:rPr>
          <w:noProof/>
        </w:rPr>
        <w:tab/>
        <w:t xml:space="preserve">F. Rohart, B. Gautier, A. Singh, L. C. KA, mixOmics: An R package for 'omics feature selection and multiple data integration. </w:t>
      </w:r>
      <w:r w:rsidRPr="008E408B">
        <w:rPr>
          <w:i/>
          <w:noProof/>
        </w:rPr>
        <w:t>PLoS Comput Biol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13</w:t>
      </w:r>
      <w:r w:rsidRPr="008E408B">
        <w:rPr>
          <w:noProof/>
        </w:rPr>
        <w:t>, e1005752 (2017).</w:t>
      </w:r>
    </w:p>
    <w:p w14:paraId="0C4389E9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27.</w:t>
      </w:r>
      <w:r w:rsidRPr="008E408B">
        <w:rPr>
          <w:noProof/>
        </w:rPr>
        <w:tab/>
        <w:t xml:space="preserve">C. P. Cantalapiedra, A. Hernández-Plaza, I. Letunic, P. Bork, J. Huerta-Cepas, eggNOG-mapper v2: Functional Annotation, Orthology Assignments, and Domain Prediction at the Metagenomic Scale. </w:t>
      </w:r>
      <w:r w:rsidRPr="008E408B">
        <w:rPr>
          <w:i/>
          <w:noProof/>
        </w:rPr>
        <w:t>Mol Biol Evol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38</w:t>
      </w:r>
      <w:r w:rsidRPr="008E408B">
        <w:rPr>
          <w:noProof/>
        </w:rPr>
        <w:t>, 5825-5829 (2021).</w:t>
      </w:r>
    </w:p>
    <w:p w14:paraId="160E77A7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28.</w:t>
      </w:r>
      <w:r w:rsidRPr="008E408B">
        <w:rPr>
          <w:noProof/>
        </w:rPr>
        <w:tab/>
        <w:t>J. Huerta-Cepas</w:t>
      </w:r>
      <w:r w:rsidRPr="008E408B">
        <w:rPr>
          <w:i/>
          <w:noProof/>
        </w:rPr>
        <w:t xml:space="preserve"> et al.</w:t>
      </w:r>
      <w:r w:rsidRPr="008E408B">
        <w:rPr>
          <w:noProof/>
        </w:rPr>
        <w:t xml:space="preserve">, eggNOG 5.0: a hierarchical, functionally and phylogenetically annotated orthology resource based on 5090 organisms and 2502 viruses. </w:t>
      </w:r>
      <w:r w:rsidRPr="008E408B">
        <w:rPr>
          <w:i/>
          <w:noProof/>
        </w:rPr>
        <w:t>Nucleic Acids Res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47</w:t>
      </w:r>
      <w:r w:rsidRPr="008E408B">
        <w:rPr>
          <w:noProof/>
        </w:rPr>
        <w:t>, D309-d314 (2019).</w:t>
      </w:r>
    </w:p>
    <w:p w14:paraId="44110A80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29.</w:t>
      </w:r>
      <w:r w:rsidRPr="008E408B">
        <w:rPr>
          <w:noProof/>
        </w:rPr>
        <w:tab/>
        <w:t xml:space="preserve">G. Yu, L. G. Wang, Y. Han, Q. Y. He, clusterProfiler: an R package for comparing biological themes among gene clusters. </w:t>
      </w:r>
      <w:r w:rsidRPr="008E408B">
        <w:rPr>
          <w:i/>
          <w:noProof/>
        </w:rPr>
        <w:t>Omics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16</w:t>
      </w:r>
      <w:r w:rsidRPr="008E408B">
        <w:rPr>
          <w:noProof/>
        </w:rPr>
        <w:t>, 284-287 (2012).</w:t>
      </w:r>
    </w:p>
    <w:p w14:paraId="5CCC9941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30.</w:t>
      </w:r>
      <w:r w:rsidRPr="008E408B">
        <w:rPr>
          <w:noProof/>
        </w:rPr>
        <w:tab/>
        <w:t>T. Wu</w:t>
      </w:r>
      <w:r w:rsidRPr="008E408B">
        <w:rPr>
          <w:i/>
          <w:noProof/>
        </w:rPr>
        <w:t xml:space="preserve"> et al.</w:t>
      </w:r>
      <w:r w:rsidRPr="008E408B">
        <w:rPr>
          <w:noProof/>
        </w:rPr>
        <w:t xml:space="preserve">, clusterProfiler 4.0: A universal enrichment tool for interpreting omics data. </w:t>
      </w:r>
      <w:r w:rsidRPr="008E408B">
        <w:rPr>
          <w:i/>
          <w:noProof/>
        </w:rPr>
        <w:t>Innovation (Camb)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2</w:t>
      </w:r>
      <w:r w:rsidRPr="008E408B">
        <w:rPr>
          <w:noProof/>
        </w:rPr>
        <w:t>, 100141 (2021).</w:t>
      </w:r>
    </w:p>
    <w:p w14:paraId="30203AC4" w14:textId="77777777" w:rsidR="00CC2C3C" w:rsidRPr="008E408B" w:rsidRDefault="00CC2C3C" w:rsidP="00CC2C3C">
      <w:pPr>
        <w:pStyle w:val="EndNoteBibliography"/>
        <w:spacing w:after="0"/>
        <w:ind w:left="720" w:hanging="720"/>
        <w:rPr>
          <w:noProof/>
        </w:rPr>
      </w:pPr>
      <w:r w:rsidRPr="008E408B">
        <w:rPr>
          <w:noProof/>
        </w:rPr>
        <w:t>31.</w:t>
      </w:r>
      <w:r w:rsidRPr="008E408B">
        <w:rPr>
          <w:noProof/>
        </w:rPr>
        <w:tab/>
        <w:t xml:space="preserve">Y. Benjamini, Y. Hochberg, Controlling the False Discovery Rate: A Practical and Powerful Approach to Multiple Testing. </w:t>
      </w:r>
      <w:r w:rsidRPr="008E408B">
        <w:rPr>
          <w:i/>
          <w:noProof/>
        </w:rPr>
        <w:t>Journal of the Royal Statistical Society: Series B (Methodological)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57</w:t>
      </w:r>
      <w:r w:rsidRPr="008E408B">
        <w:rPr>
          <w:noProof/>
        </w:rPr>
        <w:t>, 289-300 (1995).</w:t>
      </w:r>
    </w:p>
    <w:p w14:paraId="5F7B371C" w14:textId="77777777" w:rsidR="00CC2C3C" w:rsidRPr="008E408B" w:rsidRDefault="00CC2C3C" w:rsidP="00CC2C3C">
      <w:pPr>
        <w:pStyle w:val="EndNoteBibliography"/>
        <w:ind w:left="720" w:hanging="720"/>
        <w:rPr>
          <w:noProof/>
        </w:rPr>
      </w:pPr>
      <w:r w:rsidRPr="008E408B">
        <w:rPr>
          <w:noProof/>
        </w:rPr>
        <w:t>32.</w:t>
      </w:r>
      <w:r w:rsidRPr="008E408B">
        <w:rPr>
          <w:noProof/>
        </w:rPr>
        <w:tab/>
        <w:t xml:space="preserve">M. Yarwood Jeremy, M. Paquette Kara, B. Tikh Ilya, M. Volper Esther, E. P. Greenberg, Generation of Virulence Factor Variants in Staphylococcus aureus Biofilms. </w:t>
      </w:r>
      <w:r w:rsidRPr="008E408B">
        <w:rPr>
          <w:i/>
          <w:noProof/>
        </w:rPr>
        <w:t>Journal of Bacteriology</w:t>
      </w:r>
      <w:r w:rsidRPr="008E408B">
        <w:rPr>
          <w:noProof/>
        </w:rPr>
        <w:t xml:space="preserve"> </w:t>
      </w:r>
      <w:r w:rsidRPr="008E408B">
        <w:rPr>
          <w:b/>
          <w:noProof/>
        </w:rPr>
        <w:t>189</w:t>
      </w:r>
      <w:r w:rsidRPr="008E408B">
        <w:rPr>
          <w:noProof/>
        </w:rPr>
        <w:t>, 7961-7967 (2007).</w:t>
      </w:r>
    </w:p>
    <w:p w14:paraId="28CB2342" w14:textId="14FE1912" w:rsidR="00B810AC" w:rsidRDefault="00CC2C3C" w:rsidP="00CC2C3C">
      <w:r>
        <w:rPr>
          <w:rFonts w:ascii="Times New Roman" w:hAnsi="Times New Roman" w:cs="Times New Roman"/>
          <w:sz w:val="22"/>
          <w:szCs w:val="22"/>
        </w:rPr>
        <w:fldChar w:fldCharType="end"/>
      </w:r>
    </w:p>
    <w:sectPr w:rsidR="00B81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3C"/>
    <w:rsid w:val="00003DE8"/>
    <w:rsid w:val="00010DAA"/>
    <w:rsid w:val="00012DB8"/>
    <w:rsid w:val="00014B59"/>
    <w:rsid w:val="00016154"/>
    <w:rsid w:val="000214DD"/>
    <w:rsid w:val="00027D52"/>
    <w:rsid w:val="00040264"/>
    <w:rsid w:val="000444F8"/>
    <w:rsid w:val="00057398"/>
    <w:rsid w:val="00061600"/>
    <w:rsid w:val="00070912"/>
    <w:rsid w:val="00076800"/>
    <w:rsid w:val="000779E7"/>
    <w:rsid w:val="0008244F"/>
    <w:rsid w:val="000A134F"/>
    <w:rsid w:val="000A43F1"/>
    <w:rsid w:val="000B103C"/>
    <w:rsid w:val="000B2180"/>
    <w:rsid w:val="000B5B7B"/>
    <w:rsid w:val="000B7A51"/>
    <w:rsid w:val="000C48DB"/>
    <w:rsid w:val="000E6313"/>
    <w:rsid w:val="0011115C"/>
    <w:rsid w:val="00127EB1"/>
    <w:rsid w:val="00130A0B"/>
    <w:rsid w:val="00130BBC"/>
    <w:rsid w:val="00150528"/>
    <w:rsid w:val="00161D4F"/>
    <w:rsid w:val="00167875"/>
    <w:rsid w:val="001759CE"/>
    <w:rsid w:val="00197FA8"/>
    <w:rsid w:val="001A4AB3"/>
    <w:rsid w:val="001B4ACC"/>
    <w:rsid w:val="001D4DB9"/>
    <w:rsid w:val="001E1B22"/>
    <w:rsid w:val="001F30DA"/>
    <w:rsid w:val="00206E1C"/>
    <w:rsid w:val="002100B5"/>
    <w:rsid w:val="00221C55"/>
    <w:rsid w:val="0023698A"/>
    <w:rsid w:val="00246E4E"/>
    <w:rsid w:val="00247B7E"/>
    <w:rsid w:val="00254E08"/>
    <w:rsid w:val="00274D75"/>
    <w:rsid w:val="00282EA4"/>
    <w:rsid w:val="00295893"/>
    <w:rsid w:val="002A4C85"/>
    <w:rsid w:val="002C29EE"/>
    <w:rsid w:val="002D136F"/>
    <w:rsid w:val="002D54F6"/>
    <w:rsid w:val="002E0D02"/>
    <w:rsid w:val="00306622"/>
    <w:rsid w:val="00316952"/>
    <w:rsid w:val="003222F8"/>
    <w:rsid w:val="003248C3"/>
    <w:rsid w:val="00325775"/>
    <w:rsid w:val="00353EA4"/>
    <w:rsid w:val="00386324"/>
    <w:rsid w:val="0039602E"/>
    <w:rsid w:val="003A2A70"/>
    <w:rsid w:val="003A354B"/>
    <w:rsid w:val="003A3CE0"/>
    <w:rsid w:val="003A649B"/>
    <w:rsid w:val="003A654D"/>
    <w:rsid w:val="003B0EE2"/>
    <w:rsid w:val="003B1A32"/>
    <w:rsid w:val="003B611C"/>
    <w:rsid w:val="003D2781"/>
    <w:rsid w:val="003D358D"/>
    <w:rsid w:val="004200FB"/>
    <w:rsid w:val="00425723"/>
    <w:rsid w:val="0043197A"/>
    <w:rsid w:val="0043276B"/>
    <w:rsid w:val="004402FD"/>
    <w:rsid w:val="00441087"/>
    <w:rsid w:val="0046402E"/>
    <w:rsid w:val="00464778"/>
    <w:rsid w:val="004701F1"/>
    <w:rsid w:val="004C180A"/>
    <w:rsid w:val="004C756F"/>
    <w:rsid w:val="004D0082"/>
    <w:rsid w:val="004D4379"/>
    <w:rsid w:val="004F6517"/>
    <w:rsid w:val="00500F18"/>
    <w:rsid w:val="00501FA1"/>
    <w:rsid w:val="005030D2"/>
    <w:rsid w:val="00513B54"/>
    <w:rsid w:val="005155B4"/>
    <w:rsid w:val="00515AB0"/>
    <w:rsid w:val="0052117C"/>
    <w:rsid w:val="00524F46"/>
    <w:rsid w:val="00536124"/>
    <w:rsid w:val="005601E1"/>
    <w:rsid w:val="00574237"/>
    <w:rsid w:val="005832F3"/>
    <w:rsid w:val="00591DF7"/>
    <w:rsid w:val="005A28F3"/>
    <w:rsid w:val="005A2CF9"/>
    <w:rsid w:val="005A7744"/>
    <w:rsid w:val="005B0F55"/>
    <w:rsid w:val="005C3DD2"/>
    <w:rsid w:val="005F4A87"/>
    <w:rsid w:val="00614AA1"/>
    <w:rsid w:val="006273D6"/>
    <w:rsid w:val="00635218"/>
    <w:rsid w:val="00650CB3"/>
    <w:rsid w:val="0065107B"/>
    <w:rsid w:val="00664A54"/>
    <w:rsid w:val="00682858"/>
    <w:rsid w:val="00682A44"/>
    <w:rsid w:val="00683BBD"/>
    <w:rsid w:val="00686CAA"/>
    <w:rsid w:val="006B07D8"/>
    <w:rsid w:val="006B47D5"/>
    <w:rsid w:val="006B62B5"/>
    <w:rsid w:val="006D69DD"/>
    <w:rsid w:val="0071011E"/>
    <w:rsid w:val="007104D0"/>
    <w:rsid w:val="00710EAD"/>
    <w:rsid w:val="00712F71"/>
    <w:rsid w:val="007167D7"/>
    <w:rsid w:val="00717774"/>
    <w:rsid w:val="00720F16"/>
    <w:rsid w:val="00724738"/>
    <w:rsid w:val="00726DAB"/>
    <w:rsid w:val="00727C6D"/>
    <w:rsid w:val="00737D89"/>
    <w:rsid w:val="00747598"/>
    <w:rsid w:val="00750B9F"/>
    <w:rsid w:val="00756C49"/>
    <w:rsid w:val="0076147A"/>
    <w:rsid w:val="00762557"/>
    <w:rsid w:val="007626F9"/>
    <w:rsid w:val="00763B20"/>
    <w:rsid w:val="00765969"/>
    <w:rsid w:val="00774691"/>
    <w:rsid w:val="00775DA6"/>
    <w:rsid w:val="0078601B"/>
    <w:rsid w:val="007A32B0"/>
    <w:rsid w:val="007A5E1A"/>
    <w:rsid w:val="007A656F"/>
    <w:rsid w:val="007A693D"/>
    <w:rsid w:val="007C1FE1"/>
    <w:rsid w:val="007C3B39"/>
    <w:rsid w:val="007F1AE7"/>
    <w:rsid w:val="007F2339"/>
    <w:rsid w:val="00803153"/>
    <w:rsid w:val="00807C2D"/>
    <w:rsid w:val="00813AEA"/>
    <w:rsid w:val="0084545B"/>
    <w:rsid w:val="00862842"/>
    <w:rsid w:val="008838B3"/>
    <w:rsid w:val="00886E4C"/>
    <w:rsid w:val="008878C1"/>
    <w:rsid w:val="00896220"/>
    <w:rsid w:val="008A4BE8"/>
    <w:rsid w:val="008C2AF3"/>
    <w:rsid w:val="008F0A9A"/>
    <w:rsid w:val="008F6EBC"/>
    <w:rsid w:val="009001A9"/>
    <w:rsid w:val="009030A4"/>
    <w:rsid w:val="009272EE"/>
    <w:rsid w:val="00930474"/>
    <w:rsid w:val="0095041D"/>
    <w:rsid w:val="00952B53"/>
    <w:rsid w:val="0095434A"/>
    <w:rsid w:val="00967896"/>
    <w:rsid w:val="00977B01"/>
    <w:rsid w:val="00981E55"/>
    <w:rsid w:val="00982A3E"/>
    <w:rsid w:val="0099388A"/>
    <w:rsid w:val="00993E1D"/>
    <w:rsid w:val="009A70D4"/>
    <w:rsid w:val="009C3B51"/>
    <w:rsid w:val="009D46DA"/>
    <w:rsid w:val="009F5654"/>
    <w:rsid w:val="009F70EF"/>
    <w:rsid w:val="00A04C58"/>
    <w:rsid w:val="00A06907"/>
    <w:rsid w:val="00A078DD"/>
    <w:rsid w:val="00A35895"/>
    <w:rsid w:val="00A407FB"/>
    <w:rsid w:val="00A44246"/>
    <w:rsid w:val="00A449DC"/>
    <w:rsid w:val="00A56848"/>
    <w:rsid w:val="00A80515"/>
    <w:rsid w:val="00A81961"/>
    <w:rsid w:val="00A86C60"/>
    <w:rsid w:val="00A9162D"/>
    <w:rsid w:val="00AA51AB"/>
    <w:rsid w:val="00AB00FE"/>
    <w:rsid w:val="00AB0E20"/>
    <w:rsid w:val="00AD749B"/>
    <w:rsid w:val="00B04EB7"/>
    <w:rsid w:val="00B05199"/>
    <w:rsid w:val="00B2456A"/>
    <w:rsid w:val="00B27A44"/>
    <w:rsid w:val="00B56947"/>
    <w:rsid w:val="00B60B82"/>
    <w:rsid w:val="00B80292"/>
    <w:rsid w:val="00B810AC"/>
    <w:rsid w:val="00B85582"/>
    <w:rsid w:val="00B875D6"/>
    <w:rsid w:val="00B90FB3"/>
    <w:rsid w:val="00BA2CBB"/>
    <w:rsid w:val="00BD2389"/>
    <w:rsid w:val="00BD2E38"/>
    <w:rsid w:val="00BE2B62"/>
    <w:rsid w:val="00BF3AC6"/>
    <w:rsid w:val="00C07481"/>
    <w:rsid w:val="00C21ACD"/>
    <w:rsid w:val="00C259EA"/>
    <w:rsid w:val="00C34526"/>
    <w:rsid w:val="00C45B48"/>
    <w:rsid w:val="00C65453"/>
    <w:rsid w:val="00C81D61"/>
    <w:rsid w:val="00C85E8F"/>
    <w:rsid w:val="00CA3D6C"/>
    <w:rsid w:val="00CA7645"/>
    <w:rsid w:val="00CB4F49"/>
    <w:rsid w:val="00CC2C3C"/>
    <w:rsid w:val="00CD1FD2"/>
    <w:rsid w:val="00CD3041"/>
    <w:rsid w:val="00CE1597"/>
    <w:rsid w:val="00CF188A"/>
    <w:rsid w:val="00D0330C"/>
    <w:rsid w:val="00D27482"/>
    <w:rsid w:val="00D40BA9"/>
    <w:rsid w:val="00D4160D"/>
    <w:rsid w:val="00D45DDB"/>
    <w:rsid w:val="00D4603B"/>
    <w:rsid w:val="00D7058F"/>
    <w:rsid w:val="00D741A0"/>
    <w:rsid w:val="00D8000A"/>
    <w:rsid w:val="00D9687B"/>
    <w:rsid w:val="00D969A4"/>
    <w:rsid w:val="00DC0323"/>
    <w:rsid w:val="00DD0451"/>
    <w:rsid w:val="00DE00F8"/>
    <w:rsid w:val="00DE3607"/>
    <w:rsid w:val="00DF6473"/>
    <w:rsid w:val="00DF6A89"/>
    <w:rsid w:val="00DF6E2C"/>
    <w:rsid w:val="00E07ABC"/>
    <w:rsid w:val="00E30F5B"/>
    <w:rsid w:val="00E42567"/>
    <w:rsid w:val="00E42772"/>
    <w:rsid w:val="00E504FB"/>
    <w:rsid w:val="00E658B2"/>
    <w:rsid w:val="00E9751B"/>
    <w:rsid w:val="00E97CD2"/>
    <w:rsid w:val="00EA0441"/>
    <w:rsid w:val="00EE7A72"/>
    <w:rsid w:val="00EF5E9F"/>
    <w:rsid w:val="00F0021B"/>
    <w:rsid w:val="00F1480E"/>
    <w:rsid w:val="00F21F54"/>
    <w:rsid w:val="00F34409"/>
    <w:rsid w:val="00F45E9F"/>
    <w:rsid w:val="00F53AE7"/>
    <w:rsid w:val="00F6032E"/>
    <w:rsid w:val="00F7204E"/>
    <w:rsid w:val="00F82880"/>
    <w:rsid w:val="00F87D37"/>
    <w:rsid w:val="00FA1930"/>
    <w:rsid w:val="00FA6D41"/>
    <w:rsid w:val="00FB1D1E"/>
    <w:rsid w:val="00FB6FF3"/>
    <w:rsid w:val="00FC5A8D"/>
    <w:rsid w:val="00FC687C"/>
    <w:rsid w:val="00FD76B3"/>
    <w:rsid w:val="00FF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62367"/>
  <w15:chartTrackingRefBased/>
  <w15:docId w15:val="{ABAB7D28-8052-924D-BF53-A3E19770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C3C"/>
  </w:style>
  <w:style w:type="paragraph" w:styleId="Heading1">
    <w:name w:val="heading 1"/>
    <w:basedOn w:val="Normal"/>
    <w:next w:val="Normal"/>
    <w:link w:val="Heading1Char"/>
    <w:uiPriority w:val="9"/>
    <w:qFormat/>
    <w:rsid w:val="00CC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C3C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CC2C3C"/>
    <w:pPr>
      <w:spacing w:after="0"/>
      <w:jc w:val="center"/>
    </w:pPr>
    <w:rPr>
      <w:rFonts w:ascii="Aptos" w:hAnsi="Apto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C2C3C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CC2C3C"/>
    <w:pPr>
      <w:spacing w:line="240" w:lineRule="auto"/>
      <w:jc w:val="both"/>
    </w:pPr>
    <w:rPr>
      <w:rFonts w:ascii="Aptos" w:hAnsi="Aptos"/>
    </w:rPr>
  </w:style>
  <w:style w:type="character" w:customStyle="1" w:styleId="EndNoteBibliographyChar">
    <w:name w:val="EndNote Bibliography Char"/>
    <w:basedOn w:val="DefaultParagraphFont"/>
    <w:link w:val="EndNoteBibliography"/>
    <w:rsid w:val="00CC2C3C"/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O'Connor, Kathleen A., Ph.D.</dc:creator>
  <cp:keywords/>
  <dc:description/>
  <cp:lastModifiedBy>O'Connor, Kathleen A., Ph.D.</cp:lastModifiedBy>
  <cp:revision>1</cp:revision>
  <dcterms:created xsi:type="dcterms:W3CDTF">2026-10-19T15:47:00Z</dcterms:created>
  <dcterms:modified xsi:type="dcterms:W3CDTF">2026-10-19T15:47:00Z</dcterms:modified>
</cp:coreProperties>
</file>