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3A2D"/>
          <w:sz w:val="44"/>
          <w:szCs w:val="44"/>
        </w:rPr>
        <w:t xml:space="preserve">BENCHMARK CONCURRENTIEL</w:t>
      </w:r>
    </w:p>
    <w:p>
      <w:pPr>
        <w:spacing w:after="100"/>
        <w:jc w:val="center"/>
      </w:pPr>
      <w:r>
        <w:rPr>
          <w:rFonts w:ascii="Arial" w:cs="Arial" w:eastAsia="Arial" w:hAnsi="Arial"/>
          <w:color w:val="666666"/>
          <w:sz w:val="28"/>
          <w:szCs w:val="28"/>
        </w:rPr>
        <w:t xml:space="preserve">Pennylane | Indy | Tiime vs Qitus</w:t>
      </w:r>
    </w:p>
    <w:p>
      <w:pPr>
        <w:spacing w:after="200"/>
      </w:pPr>
    </w:p>
    <w:p>
      <w:pPr>
        <w:spacing w:after="100"/>
        <w:jc w:val="center"/>
      </w:pPr>
      <w:r>
        <w:rPr>
          <w:rFonts w:ascii="Arial" w:cs="Arial" w:eastAsia="Arial" w:hAnsi="Arial"/>
          <w:i/>
          <w:iCs/>
          <w:color w:val="999999"/>
          <w:sz w:val="24"/>
          <w:szCs w:val="24"/>
        </w:rPr>
        <w:t xml:space="preserve">Features &amp; Pricing</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999999"/>
          <w:sz w:val="20"/>
          <w:szCs w:val="20"/>
        </w:rPr>
        <w:t xml:space="preserve">Qitus — Analyse CPO</w:t>
      </w:r>
    </w:p>
    <w:p>
      <w:pPr>
        <w:jc w:val="center"/>
      </w:pPr>
      <w:r>
        <w:rPr>
          <w:rFonts w:ascii="Arial" w:cs="Arial" w:eastAsia="Arial" w:hAnsi="Arial"/>
          <w:color w:val="999999"/>
          <w:sz w:val="20"/>
          <w:szCs w:val="20"/>
        </w:rPr>
        <w:t xml:space="preserve">Mai 2026 — Document confidentiel</w:t>
      </w:r>
    </w:p>
    <w:p>
      <w:pPr>
        <w:sectPr>
          <w:pgSz w:w="11906" w:h="16838" w:orient="portrait"/>
          <w:pgMar w:top="1440" w:right="1440" w:bottom="1440" w:left="1440" w:header="708" w:footer="708" w:gutter="0"/>
          <w:pgNumType/>
          <w:docGrid w:linePitch="360"/>
        </w:sectPr>
      </w:pPr>
    </w:p>
    <w:p>
      <w:pPr>
        <w:pStyle w:val="Heading1"/>
      </w:pPr>
      <w:r>
        <w:t xml:space="preserve">1. Synthese executive</w:t>
      </w:r>
    </w:p>
    <w:p>
      <w:pPr>
        <w:spacing w:after="120"/>
      </w:pPr>
      <w:r>
        <w:rPr>
          <w:rFonts w:ascii="Arial" w:cs="Arial" w:eastAsia="Arial" w:hAnsi="Arial"/>
          <w:sz w:val="22"/>
          <w:szCs w:val="22"/>
        </w:rPr>
        <w:t xml:space="preserve">Ce benchmark compare Qitus a ses trois principaux concurrents sur le marche francais de la comptabilite automatisee pour freelances et TPE : Pennylane, Indy et Tiime. L'analyse couvre le positionnement produit, le pricing et les fonctionnalites cles.</w:t>
      </w:r>
    </w:p>
    <w:p>
      <w:pPr>
        <w:spacing w:after="120"/>
      </w:pPr>
      <w:r>
        <w:rPr>
          <w:rFonts w:ascii="Arial" w:cs="Arial" w:eastAsia="Arial" w:hAnsi="Arial"/>
          <w:b/>
          <w:bCs/>
          <w:sz w:val="22"/>
          <w:szCs w:val="22"/>
        </w:rPr>
        <w:t xml:space="preserve">Constat principal : Qitus se positionne sur un segment sous-adresse par les concurrents — la production comptable rigoureuse (ecritures equilibrees, FEC, cloture, paquet de preuve) destinee aux TPE qui travaillent avec un expert-comptable. Les concurrents privilegient soit la facturation (Tiime, Indy), soit le portail cabinet (Pennylane), soit le compte pro (Indy, Tiime).</w:t>
      </w:r>
    </w:p>
    <w:p>
      <w:pPr>
        <w:spacing w:after="200"/>
      </w:pPr>
    </w:p>
    <w:p>
      <w:pPr>
        <w:pStyle w:val="Heading1"/>
      </w:pPr>
      <w:r>
        <w:t xml:space="preserve">2. Positionnement compare</w:t>
      </w:r>
    </w:p>
    <w:p>
      <w:pPr>
        <w:pStyle w:val="Heading2"/>
      </w:pPr>
      <w:r>
        <w:t xml:space="preserve">2.1 Pennylane</w:t>
      </w:r>
    </w:p>
    <w:p>
      <w:pPr>
        <w:spacing w:after="120"/>
      </w:pPr>
      <w:r>
        <w:rPr>
          <w:rFonts w:ascii="Arial" w:cs="Arial" w:eastAsia="Arial" w:hAnsi="Arial"/>
          <w:sz w:val="22"/>
          <w:szCs w:val="22"/>
        </w:rPr>
        <w:t xml:space="preserve">Cible : TPE, PME et cabinets d'expertise comptable. Pennylane est le leader francais avec un positionnement 'tout-en-un' : comptabilite, facturation, tresorerie, compte pro et portail cabinet. Enregistre PDP (Plateforme de Dematerialisation Partenaire). Plus de 200 000 factures traitees/jour. IA Autopilot avec 93% de precision.</w:t>
      </w:r>
    </w:p>
    <w:p>
      <w:pPr>
        <w:spacing w:after="120"/>
      </w:pPr>
      <w:r>
        <w:rPr>
          <w:rFonts w:ascii="Arial" w:cs="Arial" w:eastAsia="Arial" w:hAnsi="Arial"/>
          <w:sz w:val="22"/>
          <w:szCs w:val="22"/>
        </w:rPr>
        <w:t xml:space="preserve">Force cle : ecosysteme complet et effet de reseau avec les cabinets EC. Faiblesse : prix eleve pour les independants (14-79 EUR/mois), complexite pour les micro-entrepreneurs.</w:t>
      </w:r>
    </w:p>
    <w:p>
      <w:pPr>
        <w:spacing w:after="200"/>
      </w:pPr>
    </w:p>
    <w:p>
      <w:pPr>
        <w:pStyle w:val="Heading2"/>
      </w:pPr>
      <w:r>
        <w:t xml:space="preserve">2.2 Indy</w:t>
      </w:r>
    </w:p>
    <w:p>
      <w:pPr>
        <w:spacing w:after="120"/>
      </w:pPr>
      <w:r>
        <w:rPr>
          <w:rFonts w:ascii="Arial" w:cs="Arial" w:eastAsia="Arial" w:hAnsi="Arial"/>
          <w:sz w:val="22"/>
          <w:szCs w:val="22"/>
        </w:rPr>
        <w:t xml:space="preserve">Cible : independants, micro-entrepreneurs, BNC/BIC. Indy mise sur l'accessibilite avec une offre gratuite (Essentiel) et un prix d'entree a 9 EUR/mois. PDP immatricule DGFiP depuis mars 2026. IA avec 90%+ de categorisation apres apprentissage. Teletransmission des declarations fiscales (2035, 2033, 2042 C PRO).</w:t>
      </w:r>
    </w:p>
    <w:p>
      <w:pPr>
        <w:spacing w:after="120"/>
      </w:pPr>
      <w:r>
        <w:rPr>
          <w:rFonts w:ascii="Arial" w:cs="Arial" w:eastAsia="Arial" w:hAnsi="Arial"/>
          <w:sz w:val="22"/>
          <w:szCs w:val="22"/>
        </w:rPr>
        <w:t xml:space="preserve">Force cle : offre gratuite et simplicite. En Premium, Indy genere FEC, bilan, CR, liasse fiscale et tetransmet aux impots — un dossier comptable complet sur le perimetre declaratif. Faiblesse : pas de dossier EC collaboratif, pas de workpapers, pas de cloture guidee. Philosophie 'remplacer l'EC' vs 'travailler avec l'EC'.</w:t>
      </w:r>
    </w:p>
    <w:p>
      <w:pPr>
        <w:spacing w:after="200"/>
      </w:pPr>
    </w:p>
    <w:p>
      <w:pPr>
        <w:pStyle w:val="Heading2"/>
      </w:pPr>
      <w:r>
        <w:t xml:space="preserve">2.3 Tiime</w:t>
      </w:r>
    </w:p>
    <w:p>
      <w:pPr>
        <w:spacing w:after="120"/>
      </w:pPr>
      <w:r>
        <w:rPr>
          <w:rFonts w:ascii="Arial" w:cs="Arial" w:eastAsia="Arial" w:hAnsi="Arial"/>
          <w:sz w:val="22"/>
          <w:szCs w:val="22"/>
        </w:rPr>
        <w:t xml:space="preserve">Cible : independants et TPE. Tiime combine facturation, compte pro et pre-comptabilite. Immatricule Plateforme Agreee (PA) pour la facturation electronique. Offre gratuite (facturation seule). Compte pro integre avec les plans payants.</w:t>
      </w:r>
    </w:p>
    <w:p>
      <w:pPr>
        <w:spacing w:after="120"/>
      </w:pPr>
      <w:r>
        <w:rPr>
          <w:rFonts w:ascii="Arial" w:cs="Arial" w:eastAsia="Arial" w:hAnsi="Arial"/>
          <w:sz w:val="22"/>
          <w:szCs w:val="22"/>
        </w:rPr>
        <w:t xml:space="preserve">Force cle : integration compte pro + facturation + pre-compta en un seul outil. Faiblesse : pas de comptabilite complete (pas de FEC, pas de bilan, pas de liasse), pre-compta uniquement.</w:t>
      </w:r>
    </w:p>
    <w:p>
      <w:pPr>
        <w:spacing w:after="200"/>
      </w:pPr>
    </w:p>
    <w:p>
      <w:pPr>
        <w:pStyle w:val="Heading2"/>
      </w:pPr>
      <w:r>
        <w:t xml:space="preserve">2.4 Qitus</w:t>
      </w:r>
    </w:p>
    <w:p>
      <w:pPr>
        <w:spacing w:after="120"/>
      </w:pPr>
      <w:r>
        <w:rPr>
          <w:rFonts w:ascii="Arial" w:cs="Arial" w:eastAsia="Arial" w:hAnsi="Arial"/>
          <w:sz w:val="22"/>
          <w:szCs w:val="22"/>
        </w:rPr>
        <w:t xml:space="preserve">Cible : freelances et TPE francaises travaillant avec un expert-comptable. Qitus est une solution de comptabilite automatique 'rules-first' — la categorisation repose sur des regles comptables parametrables, completees par l'IA uniquement quand necessaire.</w:t>
      </w:r>
    </w:p>
    <w:p>
      <w:pPr>
        <w:spacing w:after="120"/>
      </w:pPr>
      <w:r>
        <w:rPr>
          <w:rFonts w:ascii="Arial" w:cs="Arial" w:eastAsia="Arial" w:hAnsi="Arial"/>
          <w:sz w:val="22"/>
          <w:szCs w:val="22"/>
        </w:rPr>
        <w:t xml:space="preserve">Differentiation cle : production d'un dossier comptable complet (FEC, bilan, CR, liasse, paquet de preuve auditable) avec cloture guidee, workpapers, OD validables et dossier EC collaboratif avec signoff. Aucun concurrent ne propose ce workflow de bout en bout.</w:t>
      </w:r>
    </w:p>
    <w:p>
      <w:pPr>
        <w:spacing w:after="200"/>
      </w:pPr>
    </w:p>
    <w:p>
      <w:pPr>
        <w:pStyle w:val="Heading1"/>
      </w:pPr>
      <w:r>
        <w:t xml:space="preserve">3. Comparatif pricing</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6"/>
        <w:gridCol w:w="1758"/>
      </w:tblGrid>
      <w:tr>
        <w:tc>
          <w:tcPr>
            <w:tcW w:type="dxa" w:w="2000"/>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
            </w:r>
          </w:p>
        </w:tc>
        <w:tc>
          <w:tcPr>
            <w:tcW w:type="dxa" w:w="1756"/>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Qitus</w:t>
            </w:r>
          </w:p>
        </w:tc>
        <w:tc>
          <w:tcPr>
            <w:tcW w:type="dxa" w:w="1756"/>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Pennylane</w:t>
            </w:r>
          </w:p>
        </w:tc>
        <w:tc>
          <w:tcPr>
            <w:tcW w:type="dxa" w:w="1756"/>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Indy</w:t>
            </w:r>
          </w:p>
        </w:tc>
        <w:tc>
          <w:tcPr>
            <w:tcW w:type="dxa" w:w="1758"/>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Tiime</w:t>
            </w:r>
          </w:p>
        </w:tc>
      </w:tr>
      <w:tr>
        <w:tc>
          <w:tcPr>
            <w:tcW w:type="dxa" w:w="20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Cible principale</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Freelances, TPE FR</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TPE, PME, cabinets EC</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Independants, micro</w:t>
            </w:r>
          </w:p>
        </w:tc>
        <w:tc>
          <w:tcPr>
            <w:tcW w:type="dxa" w:w="17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Independants, TPE</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Entree de gamme</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9,90 EUR/mois (Solo)</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14 EUR HT/mois (Basique)</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0 EUR (Essentiel)</w:t>
            </w:r>
          </w:p>
        </w:tc>
        <w:tc>
          <w:tcPr>
            <w:tcW w:type="dxa" w:w="17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0 EUR (Free)</w:t>
            </w:r>
          </w:p>
        </w:tc>
      </w:tr>
      <w:tr>
        <w:tc>
          <w:tcPr>
            <w:tcW w:type="dxa" w:w="20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Milieu de gamme</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24,90 EUR/mois (Pro)</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24 EUR HT/mois (Essentiel)</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9 EUR HT/mois (Plus)</w:t>
            </w:r>
          </w:p>
        </w:tc>
        <w:tc>
          <w:tcPr>
            <w:tcW w:type="dxa" w:w="17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17,99 EUR HT/mois (Smart)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Haut de gamme</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39 EUR/mois (Cabinet)</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79 EUR HT/mois (Premium)</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22-49 EUR HT/mois (Premium)</w:t>
            </w:r>
          </w:p>
        </w:tc>
        <w:tc>
          <w:tcPr>
            <w:tcW w:type="dxa" w:w="17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24,99 EUR HT/mois (Business)</w:t>
            </w:r>
          </w:p>
        </w:tc>
      </w:tr>
      <w:tr>
        <w:tc>
          <w:tcPr>
            <w:tcW w:type="dxa" w:w="20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Engagement</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Sans engagement</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Sans engagement</w:t>
            </w:r>
          </w:p>
        </w:tc>
        <w:tc>
          <w:tcPr>
            <w:tcW w:type="dxa" w:w="17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Sans ou annuel</w:t>
            </w:r>
          </w:p>
        </w:tc>
        <w:tc>
          <w:tcPr>
            <w:tcW w:type="dxa" w:w="17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Sans engagement</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Essai gratuit</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Beta liste d'attente</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15 jours</w:t>
            </w:r>
          </w:p>
        </w:tc>
        <w:tc>
          <w:tcPr>
            <w:tcW w:type="dxa" w:w="17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Offre gratuite illimitee</w:t>
            </w:r>
          </w:p>
        </w:tc>
        <w:tc>
          <w:tcPr>
            <w:tcW w:type="dxa" w:w="17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2 mois offerts</w:t>
            </w:r>
          </w:p>
        </w:tc>
      </w:tr>
    </w:tbl>
    <w:p>
      <w:pPr>
        <w:spacing w:after="200"/>
      </w:pPr>
    </w:p>
    <w:p>
      <w:pPr>
        <w:spacing w:after="120"/>
      </w:pPr>
      <w:r>
        <w:rPr>
          <w:rFonts w:ascii="Arial" w:cs="Arial" w:eastAsia="Arial" w:hAnsi="Arial"/>
          <w:sz w:val="22"/>
          <w:szCs w:val="22"/>
        </w:rPr>
        <w:t xml:space="preserve">Analyse pricing : Qitus se positionne en milieu de marche (9,90-39 EUR/mois) face a une concurrence qui va du gratuit (Indy, Tiime) a 79 EUR/mois (Pennylane Premium). Le plan Solo a 9,90 EUR/mois est competitif face a Pennylane Basique (14 EUR) mais plus cher que les offres gratuites d'Indy et Tiime — qui n'incluent pas de comptabilite reelle. Le plan Pro a 24,90 EUR est au meme niveau que Pennylane Essentiel et Tiime Business, avec un perimetre fonctionnel significativement plus large (cloture, OD, FEC, paquet de preuve).</w:t>
      </w:r>
    </w:p>
    <w:p>
      <w:pPr>
        <w:spacing w:after="200"/>
      </w:pPr>
    </w:p>
    <w:p>
      <w:pPr>
        <w:pStyle w:val="Heading1"/>
      </w:pPr>
      <w:r>
        <w:t xml:space="preserve">4. Comparatif fonctionnalites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6"/>
        <w:gridCol w:w="1656"/>
        <w:gridCol w:w="1658"/>
      </w:tblGrid>
      <w:tr>
        <w:tc>
          <w:tcPr>
            <w:tcW w:type="dxa" w:w="2400"/>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Fonctionnalite</w:t>
            </w:r>
          </w:p>
        </w:tc>
        <w:tc>
          <w:tcPr>
            <w:tcW w:type="dxa" w:w="1656"/>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Qitus</w:t>
            </w:r>
          </w:p>
        </w:tc>
        <w:tc>
          <w:tcPr>
            <w:tcW w:type="dxa" w:w="1656"/>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Pennylane</w:t>
            </w:r>
          </w:p>
        </w:tc>
        <w:tc>
          <w:tcPr>
            <w:tcW w:type="dxa" w:w="1656"/>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Indy</w:t>
            </w:r>
          </w:p>
        </w:tc>
        <w:tc>
          <w:tcPr>
            <w:tcW w:type="dxa" w:w="1658"/>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Tiime</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Import bancaire CSV</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Sync bancaire auto (Open Banking)</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(200+ bq)</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(200+ bq)</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Categorisation IA</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Regles + IA ciblee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IA Autopilot (93%)</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IA (90%+)</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IA auto</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Regles comptables personnalisables</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(coeur produit)</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(regles auto)</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Ecritures comptables equilibrees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(audit trail)</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Plan Comptable General (PCG)</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natif</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Simplifie</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Simplifie</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Multi-exercices</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(Cabinet)</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Gestion TVA multi-taux</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(CA3/CA12 brouillon)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(auto)</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(auto)</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Basique</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Teletransmission TVA</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 (brouillon local)</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(Premium)</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Generation FEC</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(Premium)</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Bilan / Compte de resultat</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(Pro+)</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(Premium)</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Liasse fiscale</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(Pro+)</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(Premium)</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Rapprochement bancaire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(4 domaines)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Rapprochement Stripe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natif</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Via integration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(Business)</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Rapprochement tiers/attente</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natif</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OCR justificatifs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(local + IA)</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(IA avancee)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Paquet de preuve auditable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(bundle)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Couverture justificative</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(exigences)</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Workpapers &amp; OD validables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(10 types OD)</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Cloture guidee avec controles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Dossier EC collaboratif</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(snapshot + partage)</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(portail cabinet)</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(pre-compta EC)</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Signoff EC / validation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Reception factures electroniques</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(via PA)</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(PDP)</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(PDP)</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(PA)</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Emission factures clients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 (hors scope)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Compte pro integre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(Smart+)</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Cartes bancaires</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Connecteur Qonto</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(bancaire + PA)</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API / integrations tierces</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Stripe, Open Banking</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Riche (300+)</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Limitees</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GoCardless, Stripe, Make</w:t>
            </w:r>
          </w:p>
        </w:tc>
      </w:tr>
      <w:tr>
        <w:tc>
          <w:tcPr>
            <w:tcW w:type="dxa" w:w="2400"/>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left"/>
            </w:pPr>
            <w:r>
              <w:rPr>
                <w:rFonts w:ascii="Arial" w:cs="Arial" w:eastAsia="Arial" w:hAnsi="Arial"/>
                <w:b/>
                <w:bCs/>
                <w:color w:val="333333"/>
                <w:sz w:val="18"/>
                <w:szCs w:val="18"/>
              </w:rPr>
              <w:t xml:space="preserve">Multi-utilisateurs</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 (v1)</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(Premium)</w:t>
            </w:r>
          </w:p>
        </w:tc>
        <w:tc>
          <w:tcPr>
            <w:tcW w:type="dxa" w:w="1656"/>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shd w:fill="F5F5F0" w:val="clear"/>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(Smart+)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Application mobile</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 (v1)</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bCs/>
                <w:color w:val="333333"/>
                <w:sz w:val="18"/>
                <w:szCs w:val="18"/>
              </w:rPr>
              <w:t xml:space="preserve">Audit trail complet</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Oui (Cabinet)</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Partiel</w:t>
            </w:r>
          </w:p>
        </w:tc>
        <w:tc>
          <w:tcPr>
            <w:tcW w:type="dxa" w:w="1656"/>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c>
          <w:tcPr>
            <w:tcW w:type="dxa" w:w="1658"/>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center"/>
            </w:pPr>
            <w:r>
              <w:rPr>
                <w:rFonts w:ascii="Arial" w:cs="Arial" w:eastAsia="Arial" w:hAnsi="Arial"/>
                <w:b w:val="false"/>
                <w:bCs w:val="false"/>
                <w:color w:val="333333"/>
                <w:sz w:val="18"/>
                <w:szCs w:val="18"/>
              </w:rPr>
              <w:t xml:space="preserve">Non</w:t>
            </w:r>
          </w:p>
        </w:tc>
      </w:tr>
    </w:tbl>
    <w:p>
      <w:pPr>
        <w:spacing w:after="200"/>
      </w:pPr>
    </w:p>
    <w:p>
      <w:r>
        <w:br w:type="page"/>
      </w:r>
    </w:p>
    <w:p>
      <w:pPr>
        <w:pStyle w:val="Heading1"/>
      </w:pPr>
      <w:r>
        <w:t xml:space="preserve">5. Forces et faiblesses par acteur</w:t>
      </w:r>
    </w:p>
    <w:p>
      <w:pPr>
        <w:pStyle w:val="Heading2"/>
      </w:pPr>
      <w:r>
        <w:t xml:space="preserve">5.1 Pennylane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Forces</w:t>
            </w:r>
          </w:p>
        </w:tc>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Faiblesses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Leader marche FR, forte notoriete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Prix eleve pour les independants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Ecosysteme complet (compta + facturation + tresorerie + compte pro)</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Complexe pour micro-entrepreneurs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PDP agreee facture electronique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cloture guidee ni workpapers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IA Autopilot mature (93% precision)</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paquet de preuve auditable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Portail cabinet EC tres developpe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Lock-in via portail cabinet</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300+ integrations tierces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
            </w:r>
          </w:p>
        </w:tc>
      </w:tr>
    </w:tbl>
    <w:p>
      <w:pPr>
        <w:spacing w:after="200"/>
      </w:pPr>
    </w:p>
    <w:p>
      <w:pPr>
        <w:pStyle w:val="Heading2"/>
      </w:pPr>
      <w:r>
        <w:t xml:space="preserve">5.2 Indy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Forces</w:t>
            </w:r>
          </w:p>
        </w:tc>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Faiblesses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Offre gratuite avec comptabilite de base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Dossier comptable complet reserve au Premium (FEC, bilan, liasse)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Prix tres accessibles (9-49 EUR/mois)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dossier EC collaboratif</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PDP immatriculee DGFiP (mars 2026)</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rapprochement Stripe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Teletransmission fiscale native (2035, 2033...)</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Comptabilite simplifiee, pas PCG complet</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IA categorisation 90%+ apres apprentissage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regles personnalisables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Compte pro gratuit avec carte Mastercard</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cloture ni d'audit trail</w:t>
            </w:r>
          </w:p>
        </w:tc>
      </w:tr>
    </w:tbl>
    <w:p>
      <w:pPr>
        <w:spacing w:after="200"/>
      </w:pPr>
    </w:p>
    <w:p>
      <w:pPr>
        <w:pStyle w:val="Heading2"/>
      </w:pPr>
      <w:r>
        <w:t xml:space="preserve">5.3 Tiime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Forces</w:t>
            </w:r>
          </w:p>
        </w:tc>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Faiblesses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Offre gratuite (facturation)</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Pre-compta uniquement, pas de comptabilite complete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Compte pro integre (Smart/Business)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FEC, pas de bilan, pas de liasse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 agreee facture electronique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teletransmission fiscale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Integration pre-compta pour cabinets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workpapers ni cloture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Synchronisation 200+ banques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paquet de preuve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Interface simple et bien concue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Dependant des cabinets EC pour la tenue</w:t>
            </w:r>
          </w:p>
        </w:tc>
      </w:tr>
    </w:tbl>
    <w:p>
      <w:pPr>
        <w:spacing w:after="200"/>
      </w:pPr>
    </w:p>
    <w:p>
      <w:pPr>
        <w:pStyle w:val="Heading2"/>
      </w:pPr>
      <w:r>
        <w:t xml:space="preserve">5.4 Qitus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Forces</w:t>
            </w:r>
          </w:p>
        </w:tc>
        <w:tc>
          <w:tcPr>
            <w:tcW w:type="dxa" w:w="4513"/>
            <w:tcBorders>
              <w:top w:val="single" w:color="999999" w:sz="2"/>
              <w:left w:val="single" w:color="999999" w:sz="2"/>
              <w:bottom w:val="single" w:color="999999" w:sz="2"/>
              <w:right w:val="single" w:color="999999" w:sz="2"/>
            </w:tcBorders>
            <w:shd w:fill="1B3A2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Faiblesses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Comptabilite complete rules-first (unique sur le marche)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d'offre gratuite (vs Indy/Tiime)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FEC, bilan, CR, liasse fiscale inclus des le plan Pro</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compte pro integre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Cloture guidee avec OD validables (10 types)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d'emission de factures clients</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Paquet de preuve auditable (bundle)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teletransmission TVA/liasse</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Dossier EC collaboratif avec signoff</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d'application mobile (v1)</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Rapprochement 4 domaines (banque, Stripe, tiers, attente)</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Pas de multi-utilisateurs (v1)</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Audit trail complet sur toute mutation</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Notoriete a construire (beta)</w:t>
            </w:r>
          </w:p>
        </w:tc>
      </w:tr>
      <w:tr>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Pricing competitif (9,90-39 EUR/mois)</w:t>
            </w:r>
          </w:p>
        </w:tc>
        <w:tc>
          <w:tcPr>
            <w:tcW w:type="dxa" w:w="4513"/>
            <w:tcBorders>
              <w:top w:val="single" w:color="CCCCCC" w:sz="1"/>
              <w:left w:val="single" w:color="CCCCCC" w:sz="1"/>
              <w:bottom w:val="single" w:color="CCCCCC" w:sz="1"/>
              <w:right w:val="single" w:color="CCCCCC" w:sz="1"/>
            </w:tcBorders>
            <w:tcMar>
              <w:top w:type="dxa" w:w="50"/>
              <w:left w:type="dxa" w:w="100"/>
              <w:bottom w:type="dxa" w:w="50"/>
              <w:right w:type="dxa" w:w="100"/>
            </w:tcMar>
          </w:tcPr>
          <w:p>
            <w:pPr>
              <w:jc w:val="left"/>
            </w:pPr>
            <w:r>
              <w:rPr>
                <w:rFonts w:ascii="Arial" w:cs="Arial" w:eastAsia="Arial" w:hAnsi="Arial"/>
                <w:b w:val="false"/>
                <w:bCs w:val="false"/>
                <w:color w:val="333333"/>
                <w:sz w:val="18"/>
                <w:szCs w:val="18"/>
              </w:rPr>
              <w:t xml:space="preserve">Ecosysteme integrations limite (v1)</w:t>
            </w:r>
          </w:p>
        </w:tc>
      </w:tr>
    </w:tbl>
    <w:p>
      <w:pPr>
        <w:spacing w:after="200"/>
      </w:pPr>
    </w:p>
    <w:p>
      <w:r>
        <w:br w:type="page"/>
      </w:r>
    </w:p>
    <w:p>
      <w:pPr>
        <w:pStyle w:val="Heading1"/>
      </w:pPr>
      <w:r>
        <w:t xml:space="preserve">6. Recommandations strategiques CPO</w:t>
      </w:r>
    </w:p>
    <w:p>
      <w:pPr>
        <w:pStyle w:val="Heading2"/>
      </w:pPr>
      <w:r>
        <w:t xml:space="preserve">6.1 Positionnement valide</w:t>
      </w:r>
    </w:p>
    <w:p>
      <w:pPr>
        <w:spacing w:after="120"/>
      </w:pPr>
      <w:r>
        <w:rPr>
          <w:rFonts w:ascii="Arial" w:cs="Arial" w:eastAsia="Arial" w:hAnsi="Arial"/>
          <w:sz w:val="22"/>
          <w:szCs w:val="22"/>
        </w:rPr>
        <w:t xml:space="preserve">Le positionnement 'comptabilite automatique rules-first avec dossier EC complet' est un differentiel reel. Aucun concurrent ne propose le workflow cloture-workpapers-OD-paquet de preuve-signoff EC. C'est un moat fonctionnel solide sur le segment TPE/freelance qui travaille avec un EC.</w:t>
      </w:r>
    </w:p>
    <w:p>
      <w:pPr>
        <w:spacing w:after="200"/>
      </w:pPr>
    </w:p>
    <w:p>
      <w:pPr>
        <w:pStyle w:val="Heading2"/>
      </w:pPr>
      <w:r>
        <w:t xml:space="preserve">6.2 Risques identifies</w:t>
      </w:r>
    </w:p>
    <w:p>
      <w:pPr>
        <w:spacing w:after="120"/>
      </w:pPr>
      <w:r>
        <w:rPr>
          <w:rFonts w:ascii="Arial" w:cs="Arial" w:eastAsia="Arial" w:hAnsi="Arial"/>
          <w:sz w:val="22"/>
          <w:szCs w:val="22"/>
        </w:rPr>
        <w:t xml:space="preserve">1. Absence d'offre gratuite : Indy et Tiime captent le haut de funnel avec le gratuit. Sans freemium, l'acquisition coute plus cher. A considerer : un plan gratuit limite (ex : 50 transactions/mois, FEC en lecture seule).</w:t>
      </w:r>
    </w:p>
    <w:p>
      <w:pPr>
        <w:spacing w:after="120"/>
      </w:pPr>
      <w:r>
        <w:rPr>
          <w:rFonts w:ascii="Arial" w:cs="Arial" w:eastAsia="Arial" w:hAnsi="Arial"/>
          <w:sz w:val="22"/>
          <w:szCs w:val="22"/>
        </w:rPr>
        <w:t xml:space="preserve">2. Pas d'emission de factures : c'est un frein a l'adoption pour les independants qui cherchent un outil tout-en-un. Risque de friction a l'onboarding.</w:t>
      </w:r>
    </w:p>
    <w:p>
      <w:pPr>
        <w:spacing w:after="120"/>
      </w:pPr>
      <w:r>
        <w:rPr>
          <w:rFonts w:ascii="Arial" w:cs="Arial" w:eastAsia="Arial" w:hAnsi="Arial"/>
          <w:sz w:val="22"/>
          <w:szCs w:val="22"/>
        </w:rPr>
        <w:t xml:space="preserve">3. Pas de teletransmission : la TVA et la liasse en brouillon local forcent un workflow supplementaire pour l'EC. C'est coherent avec la philosophie 'Qitus ne remplace pas l'EC', mais c'est un argument commercial a clarifier.</w:t>
      </w:r>
    </w:p>
    <w:p>
      <w:pPr>
        <w:spacing w:after="120"/>
      </w:pPr>
      <w:r>
        <w:rPr>
          <w:rFonts w:ascii="Arial" w:cs="Arial" w:eastAsia="Arial" w:hAnsi="Arial"/>
          <w:sz w:val="22"/>
          <w:szCs w:val="22"/>
        </w:rPr>
        <w:t xml:space="preserve">4. Pas de compte pro : Indy, Tiime et Pennylane integrent le compte bancaire. C'est un levier d'acquisition et de lock-in que Qitus n'a pas.</w:t>
      </w:r>
    </w:p>
    <w:p>
      <w:pPr>
        <w:spacing w:after="200"/>
      </w:pPr>
    </w:p>
    <w:p>
      <w:pPr>
        <w:pStyle w:val="Heading2"/>
      </w:pPr>
      <w:r>
        <w:t xml:space="preserve">6.3 Priorites post-beta</w:t>
      </w:r>
    </w:p>
    <w:p>
      <w:pPr>
        <w:spacing w:after="120"/>
      </w:pPr>
      <w:r>
        <w:rPr>
          <w:rFonts w:ascii="Arial" w:cs="Arial" w:eastAsia="Arial" w:hAnsi="Arial"/>
          <w:sz w:val="22"/>
          <w:szCs w:val="22"/>
        </w:rPr>
        <w:t xml:space="preserve">P0 (court terme) : consolider le moat fonctionnel — les features de cloture, workpapers, OD et paquet de preuve sont uniques et doivent etre impeccables avant d'elargir le perimetre.</w:t>
      </w:r>
    </w:p>
    <w:p>
      <w:pPr>
        <w:spacing w:after="120"/>
      </w:pPr>
      <w:r>
        <w:rPr>
          <w:rFonts w:ascii="Arial" w:cs="Arial" w:eastAsia="Arial" w:hAnsi="Arial"/>
          <w:sz w:val="22"/>
          <w:szCs w:val="22"/>
        </w:rPr>
        <w:t xml:space="preserve">P1 (moyen terme) : evaluer un plan freemium ultra-limite pour l'acquisition ; ajouter le multi-utilisateurs (bloquant pour les TPE 3-5 personnes) ; application mobile basique (consultation + photo justificatif).</w:t>
      </w:r>
    </w:p>
    <w:p>
      <w:pPr>
        <w:spacing w:after="120"/>
      </w:pPr>
      <w:r>
        <w:rPr>
          <w:rFonts w:ascii="Arial" w:cs="Arial" w:eastAsia="Arial" w:hAnsi="Arial"/>
          <w:sz w:val="22"/>
          <w:szCs w:val="22"/>
        </w:rPr>
        <w:t xml:space="preserve">P2 (a evaluer) : emission de factures clients (ou integration partenaire) ; teletransmission via partenaire ; compte pro via partenariat bancaire. Chaque ajout doit etre evalue en cout d'opportunite vs MRR incremental.</w:t>
      </w:r>
    </w:p>
    <w:p>
      <w:pPr>
        <w:spacing w:after="200"/>
      </w:pPr>
    </w:p>
    <w:p>
      <w:pPr>
        <w:pStyle w:val="Heading2"/>
      </w:pPr>
      <w:r>
        <w:t xml:space="preserve">6.4 Verdict pricing</w:t>
      </w:r>
    </w:p>
    <w:p>
      <w:pPr>
        <w:spacing w:after="120"/>
      </w:pPr>
      <w:r>
        <w:rPr>
          <w:rFonts w:ascii="Arial" w:cs="Arial" w:eastAsia="Arial" w:hAnsi="Arial"/>
          <w:sz w:val="22"/>
          <w:szCs w:val="22"/>
        </w:rPr>
        <w:t xml:space="preserve">Le pricing Scenario B (9,90 / 24,90 / 39 EUR) est coherent avec la valeur delivree. Le plan Pro a 24,90 EUR est le sweet spot : il inclut bilan, CR, liasse et validation EC collaborative pour un prix equivalent a Pennylane Essentiel (24 EUR) qui n'offre pas ces fonctions. C'est l'argument commercial le plus fort.</w:t>
      </w:r>
    </w:p>
    <w:p>
      <w:pPr>
        <w:spacing w:after="120"/>
      </w:pPr>
      <w:r>
        <w:rPr>
          <w:rFonts w:ascii="Arial" w:cs="Arial" w:eastAsia="Arial" w:hAnsi="Arial"/>
          <w:sz w:val="22"/>
          <w:szCs w:val="22"/>
        </w:rPr>
        <w:t xml:space="preserve">Recommandation : maintenir ce pricing en beta. Ne pas baisser pour rivaliser avec le gratuit d'Indy/Tiime — le gratuit attire des profils qui ne sont pas la cible (micro-entrepreneurs sans EC). Plutot investir dans la conversion de prospects qui ont deja un EC et qui cherchent a fiabiliser leur dossier comptable.</w:t>
      </w:r>
    </w:p>
    <w:p>
      <w:pPr>
        <w:spacing w:after="200"/>
      </w:pPr>
    </w:p>
    <w:p>
      <w:pPr>
        <w:pStyle w:val="Heading1"/>
      </w:pPr>
      <w:r>
        <w:t xml:space="preserve">7. Sources</w:t>
      </w:r>
    </w:p>
    <w:p>
      <w:pPr>
        <w:spacing w:after="120"/>
      </w:pPr>
      <w:r>
        <w:rPr>
          <w:rFonts w:ascii="Arial" w:cs="Arial" w:eastAsia="Arial" w:hAnsi="Arial"/>
          <w:sz w:val="22"/>
          <w:szCs w:val="22"/>
        </w:rPr>
        <w:t xml:space="preserve">Pennylane — pennylane.com/fr/tarifs, help.pennylane.com</w:t>
      </w:r>
    </w:p>
    <w:p>
      <w:pPr>
        <w:spacing w:after="120"/>
      </w:pPr>
      <w:r>
        <w:rPr>
          <w:rFonts w:ascii="Arial" w:cs="Arial" w:eastAsia="Arial" w:hAnsi="Arial"/>
          <w:sz w:val="22"/>
          <w:szCs w:val="22"/>
        </w:rPr>
        <w:t xml:space="preserve">Indy — indy.fr/prix, indy.fr/comptabilite-en-ligne</w:t>
      </w:r>
    </w:p>
    <w:p>
      <w:pPr>
        <w:spacing w:after="120"/>
      </w:pPr>
      <w:r>
        <w:rPr>
          <w:rFonts w:ascii="Arial" w:cs="Arial" w:eastAsia="Arial" w:hAnsi="Arial"/>
          <w:sz w:val="22"/>
          <w:szCs w:val="22"/>
        </w:rPr>
        <w:t xml:space="preserve">Tiime — tiime.fr/tarifs, tiime.fr</w:t>
      </w:r>
    </w:p>
    <w:p>
      <w:pPr>
        <w:spacing w:after="120"/>
      </w:pPr>
      <w:r>
        <w:rPr>
          <w:rFonts w:ascii="Arial" w:cs="Arial" w:eastAsia="Arial" w:hAnsi="Arial"/>
          <w:sz w:val="22"/>
          <w:szCs w:val="22"/>
        </w:rPr>
        <w:t xml:space="preserve">Qitus — Specification fonctionnelle v1.0, Landing page v0 (mai 2026)</w:t>
      </w:r>
    </w:p>
    <w:p>
      <w:pPr>
        <w:spacing w:after="120"/>
      </w:pPr>
      <w:r>
        <w:rPr>
          <w:rFonts w:ascii="Arial" w:cs="Arial" w:eastAsia="Arial" w:hAnsi="Arial"/>
          <w:sz w:val="22"/>
          <w:szCs w:val="22"/>
        </w:rPr>
        <w:t xml:space="preserve">Recherches web mai 2026 — stackindep.fr, tool-advisor.fr, comparatif-compta.fr, comparatif-facture.fr</w:t>
      </w:r>
    </w:p>
    <w:p>
      <w:pPr>
        <w:spacing w:after="200"/>
      </w:pPr>
    </w:p>
    <w:p>
      <w:pPr>
        <w:spacing w:after="120"/>
      </w:pPr>
      <w:r>
        <w:rPr>
          <w:rFonts w:ascii="Arial" w:cs="Arial" w:eastAsia="Arial" w:hAnsi="Arial"/>
          <w:i/>
          <w:iCs/>
          <w:color w:val="999999"/>
          <w:sz w:val="18"/>
          <w:szCs w:val="18"/>
        </w:rPr>
        <w:t xml:space="preserve">Donnees prix et features verifiees sur les sites officiels des editeurs. Les prix indiques sont HT sauf mention contraire. Les fonctionnalites correspondent aux offres en vigueur a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Benchmark Qitus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2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5F3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2026-05-23T08:49:20.755Z</dcterms:created>
  <dcterms:modified xsi:type="dcterms:W3CDTF">2026-05-23T08:49:20.755Z</dcterms:modified>
</cp:coreProperties>
</file>

<file path=docProps/custom.xml><?xml version="1.0" encoding="utf-8"?>
<Properties xmlns="http://schemas.openxmlformats.org/officeDocument/2006/custom-properties" xmlns:vt="http://schemas.openxmlformats.org/officeDocument/2006/docPropsVTypes"/>
</file>