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b w:val="1"/>
          <w:bCs w:val="1"/>
          <w:sz w:val="24"/>
          <w:szCs w:val="24"/>
        </w:rPr>
      </w:pPr>
      <w:r w:rsidDel="00000000" w:rsidR="00000000" w:rsidRPr="00000000">
        <w:rPr>
          <w:b w:val="1"/>
          <w:bCs w:val="1"/>
          <w:sz w:val="24"/>
          <w:szCs w:val="24"/>
          <w:rtl w:val="0"/>
        </w:rPr>
        <w:t xml:space="preserve">DATOS RAW¿LOS DATOS SON EL NUEVO PETRÓLEO?</w:t>
      </w:r>
    </w:p>
    <w:p w:rsidR="00000000" w:rsidDel="00000000" w:rsidP="00000000" w:rsidRDefault="00000000" w:rsidRPr="00000000" w14:paraId="00000002">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3">
      <w:pPr>
        <w:spacing w:line="360" w:lineRule="auto"/>
        <w:jc w:val="both"/>
        <w:rPr>
          <w:sz w:val="24"/>
          <w:szCs w:val="24"/>
        </w:rPr>
      </w:pPr>
      <w:r w:rsidDel="00000000" w:rsidR="00000000" w:rsidRPr="00000000">
        <w:rPr>
          <w:sz w:val="24"/>
          <w:szCs w:val="24"/>
          <w:rtl w:val="0"/>
        </w:rPr>
        <w:t xml:space="preserve">El proyecto evoluciona de un sistema estático hacia una entidad inteligente que recolecta, se retroalimenta y aprende de sus propios datos con el fin de razonar, predecir, entrenar y, finalmente, mejorar. Esta "fábrica de datos" se nutre de documentación, partidas, interacciones web y campañas, elementos que proporcionan tanto el dato puro como su contexto necesario. El almacenamiento inicial de esta información se denomina RAW, lo que implica que los datos se encuentran en crudo y sin filtrar. Técnicamente, este repositorio se organiza mediante un repositorio de GitHub para archivos PDF de documentación, Firebase para ficheros JSON de partidas y Supabase para ficheros SQL vinculados a la web y los datos de las partidas.</w:t>
      </w:r>
    </w:p>
    <w:p w:rsidR="00000000" w:rsidDel="00000000" w:rsidP="00000000" w:rsidRDefault="00000000" w:rsidRPr="00000000" w14:paraId="00000004">
      <w:pPr>
        <w:spacing w:line="360" w:lineRule="auto"/>
        <w:jc w:val="both"/>
        <w:rPr>
          <w:sz w:val="24"/>
          <w:szCs w:val="24"/>
        </w:rPr>
      </w:pPr>
      <w:r w:rsidDel="00000000" w:rsidR="00000000" w:rsidRPr="00000000">
        <w:rPr>
          <w:sz w:val="24"/>
          <w:szCs w:val="24"/>
          <w:rtl w:val="0"/>
        </w:rPr>
        <w:t xml:space="preserve">La construcción de estos sistemas inteligentes requiere el procesamiento de conjuntos masivos de datos que se obtienen de fuentes diversas como páginas web, libros, artículos de noticias y publicaciones en redes sociales. En su estado RAW, estos datos presentan desafíos significativos de seguridad y privacidad, ya que pueden contener información sensible o identificable, como direcciones o números de tarjetas de crédito. La infraestructura técnica para procesar esta información se basa fundamentalmente en la arquitectura Transformer, la cual puede configurarse en tres paradigmas principales: modelos de solo codificador (como BERT), optimizados para la comprensión; modelos de solo decodificador (como la serie GPT), especializados en la generación de texto; y modelos de codificador-decodificador (como T5 o BART). En esta etapa inicial, es crucial abordar la presencia de contenido tóxico, el cual se define como comentarios rudos o irrespetuosos que pueden categorizarse según su grado de agresividad, insultos, amenazas o sesgos dirigidos a grupos específicos. La gestión de estos datos en crudo debe considerar la seguridad desde el origen para evitar que el sistema aprenda comportamientos discriminatorios o inseguros.</w:t>
      </w:r>
    </w:p>
    <w:p w:rsidR="00000000" w:rsidDel="00000000" w:rsidP="00000000" w:rsidRDefault="00000000" w:rsidRPr="00000000" w14:paraId="00000005">
      <w:pPr>
        <w:spacing w:line="360" w:lineRule="auto"/>
        <w:jc w:val="both"/>
        <w:rPr>
          <w:sz w:val="24"/>
          <w:szCs w:val="24"/>
        </w:rPr>
      </w:pPr>
      <w:r w:rsidDel="00000000" w:rsidR="00000000" w:rsidRPr="00000000">
        <w:rPr>
          <w:rtl w:val="0"/>
        </w:rPr>
      </w:r>
    </w:p>
    <w:p w:rsidR="00000000" w:rsidDel="00000000" w:rsidP="00000000" w:rsidRDefault="00000000" w:rsidRPr="00000000" w14:paraId="00000006">
      <w:pPr>
        <w:spacing w:line="360" w:lineRule="auto"/>
        <w:jc w:val="both"/>
        <w:rPr>
          <w:b w:val="1"/>
          <w:bCs w:val="1"/>
          <w:sz w:val="24"/>
          <w:szCs w:val="24"/>
        </w:rPr>
      </w:pPr>
      <w:r w:rsidDel="00000000" w:rsidR="00000000" w:rsidRPr="00000000">
        <w:rPr>
          <w:b w:val="1"/>
          <w:bCs w:val="1"/>
          <w:sz w:val="24"/>
          <w:szCs w:val="24"/>
          <w:rtl w:val="0"/>
        </w:rPr>
        <w:t xml:space="preserve">LIMPIEZA DE DATOS: BRONCE, PLATA, ORO</w:t>
      </w:r>
    </w:p>
    <w:p w:rsidR="00000000" w:rsidDel="00000000" w:rsidP="00000000" w:rsidRDefault="00000000" w:rsidRPr="00000000" w14:paraId="00000007">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8">
      <w:pPr>
        <w:spacing w:line="360" w:lineRule="auto"/>
        <w:jc w:val="both"/>
        <w:rPr>
          <w:sz w:val="24"/>
          <w:szCs w:val="24"/>
        </w:rPr>
      </w:pPr>
      <w:r w:rsidDel="00000000" w:rsidR="00000000" w:rsidRPr="00000000">
        <w:rPr>
          <w:sz w:val="24"/>
          <w:szCs w:val="24"/>
          <w:rtl w:val="0"/>
        </w:rPr>
        <w:t xml:space="preserve">Para que los datos sean de utilidad pública o educativa, pueden subirse a plataformas como Kaggle. La calidad de la información se gestiona mediante una jerarquía de niveles: los datos en estado "oro" son aquellos que están filtrados, son fiables y están listos para ser procesados por la máquina. Este proceso se integra en el flujo de análisis descriptivo, el cual sigue una secuencia técnica rigurosa: carga, inspección, limpieza, agrupación y extracción de conclusiones. En este contexto, el RAG (Retrieval-Augmented Generation) se utiliza para transformar los documentos en palabras clave o "keys", estableciendo una relación semántica que conecta dichas claves con su contexto original.</w:t>
      </w:r>
    </w:p>
    <w:p w:rsidR="00000000" w:rsidDel="00000000" w:rsidP="00000000" w:rsidRDefault="00000000" w:rsidRPr="00000000" w14:paraId="00000009">
      <w:pPr>
        <w:spacing w:line="360" w:lineRule="auto"/>
        <w:jc w:val="both"/>
        <w:rPr>
          <w:sz w:val="24"/>
          <w:szCs w:val="24"/>
        </w:rPr>
      </w:pPr>
      <w:r w:rsidDel="00000000" w:rsidR="00000000" w:rsidRPr="00000000">
        <w:rPr>
          <w:sz w:val="24"/>
          <w:szCs w:val="24"/>
          <w:rtl w:val="0"/>
        </w:rPr>
        <w:t xml:space="preserve">El refinamiento de los datos hacia el estado "oro" potencia capacidades avanzadas como el Aprendizaje en Contexto (In-Context Learning o ICL). El ICL permite que los modelos infieran y aprendan a partir de un conjunto limitado de ejemplos presentados en el prompt, sin necesidad de actualizar los pesos mediante gradientes. Esto incluye metodologías de zero-shot, one-shot y few-shot, cuya eficacia mejora sustancialmente cuando los datos han pasado por una preparación previa que incluye marcos de meta-entrenamiento y ajuste de símbolos. Por su parte, la implementación de RAG garantiza que la generación de respuestas esté anclada en una base de conocimientos indexada, lo que reduce las alucinaciones bibliográficas y garantiza que la síntesis narrativa resultante sea articulada, conectada y extensa. Un dato refinado permite que la máquina genere discursos estructurados en apartados lógicos donde cada párrafo mantiene la coherencia con el anterior, facilitando la atribución de ideas a sus creadores originales a través de una capilaridad de fuentes precisa.</w:t>
      </w:r>
    </w:p>
    <w:p w:rsidR="00000000" w:rsidDel="00000000" w:rsidP="00000000" w:rsidRDefault="00000000" w:rsidRPr="00000000" w14:paraId="0000000A">
      <w:pPr>
        <w:spacing w:line="360" w:lineRule="auto"/>
        <w:jc w:val="both"/>
        <w:rPr>
          <w:sz w:val="24"/>
          <w:szCs w:val="24"/>
        </w:rPr>
      </w:pPr>
      <w:r w:rsidDel="00000000" w:rsidR="00000000" w:rsidRPr="00000000">
        <w:rPr>
          <w:rtl w:val="0"/>
        </w:rPr>
      </w:r>
    </w:p>
    <w:p w:rsidR="00000000" w:rsidDel="00000000" w:rsidP="00000000" w:rsidRDefault="00000000" w:rsidRPr="00000000" w14:paraId="0000000B">
      <w:pPr>
        <w:spacing w:line="360" w:lineRule="auto"/>
        <w:jc w:val="both"/>
        <w:rPr>
          <w:b w:val="1"/>
          <w:bCs w:val="1"/>
          <w:sz w:val="24"/>
          <w:szCs w:val="24"/>
        </w:rPr>
      </w:pPr>
      <w:r w:rsidDel="00000000" w:rsidR="00000000" w:rsidRPr="00000000">
        <w:rPr>
          <w:b w:val="1"/>
          <w:bCs w:val="1"/>
          <w:sz w:val="24"/>
          <w:szCs w:val="24"/>
          <w:rtl w:val="0"/>
        </w:rPr>
        <w:t xml:space="preserve">DATOS QUE VALEN DINERO</w:t>
      </w:r>
    </w:p>
    <w:p w:rsidR="00000000" w:rsidDel="00000000" w:rsidP="00000000" w:rsidRDefault="00000000" w:rsidRPr="00000000" w14:paraId="0000000C">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D">
      <w:pPr>
        <w:spacing w:line="360" w:lineRule="auto"/>
        <w:jc w:val="both"/>
        <w:rPr>
          <w:sz w:val="24"/>
          <w:szCs w:val="24"/>
        </w:rPr>
      </w:pPr>
      <w:r w:rsidDel="00000000" w:rsidR="00000000" w:rsidRPr="00000000">
        <w:rPr>
          <w:sz w:val="24"/>
          <w:szCs w:val="24"/>
          <w:rtl w:val="0"/>
        </w:rPr>
        <w:t xml:space="preserve">La información con valor económico es aquella capaz de responder a interrogantes fundamentales: ¿Dónde?, ¿Cuándo?, ¿Cómo?, ¿Por qué? y ¿Para qué?, describiendo sucesos que pueden presentar relaciones a largo plazo. La transformación técnica de estos datos para pasar de estado RAW a Bronce consiste en exportar los archivos (en formatos CSV, XLSX, SQL o PDF) a tablas locales. Para avanzar del nivel bronce al plata, es imperativo realizar un tratamiento de calidad que incluya rellenar los huecos o valores nulos en las tablas y la identificación y eliminación de registros duplicados. El resultado final de este análisis de todos los datos del sistema debe centralizarse en un Dashboard perfeccionado.</w:t>
      </w:r>
    </w:p>
    <w:p w:rsidR="00000000" w:rsidDel="00000000" w:rsidP="00000000" w:rsidRDefault="00000000" w:rsidRPr="00000000" w14:paraId="0000000E">
      <w:pPr>
        <w:spacing w:line="360" w:lineRule="auto"/>
        <w:jc w:val="both"/>
        <w:rPr>
          <w:sz w:val="24"/>
          <w:szCs w:val="24"/>
        </w:rPr>
      </w:pPr>
      <w:r w:rsidDel="00000000" w:rsidR="00000000" w:rsidRPr="00000000">
        <w:rPr>
          <w:sz w:val="24"/>
          <w:szCs w:val="24"/>
          <w:rtl w:val="0"/>
        </w:rPr>
        <w:t xml:space="preserve">El valor económico de los datos se mide técnicamente a través de su potencial de exposición a la IA generativa, clasificado en cuatro categorías: E0 para tareas sin exposición; E1 para exposición directa donde la IA puede reducir el tiempo de completado a la mitad; E2 para exposición mediante aplicaciones potenciadas por LLM que requieren software adicional para tareas complejas como el mantenimiento de bases de datos especializadas; y E3 para capacidades de imagen que permiten procesar PDFs y editar contenido visual. Estos datos impulsan la productividad laboral al permitir la automatización de tareas de baja fricción, como la redacción de correos o la síntesis de documentos extensos, y el aumento de capacidades humanas en áreas que requieren juicios expertos. El tratamiento técnico de eliminación de nulos y duplicados no es solo una tarea de limpieza, sino un paso crítico de integridad para asegurar que el Dashboard refleje métricas precisas que sustenten decisiones financieras, de salud o educativas sin sesgos derivados de información redundante o incompleta.</w:t>
      </w:r>
    </w:p>
    <w:p w:rsidR="00000000" w:rsidDel="00000000" w:rsidP="00000000" w:rsidRDefault="00000000" w:rsidRPr="00000000" w14:paraId="0000000F">
      <w:pPr>
        <w:spacing w:line="360" w:lineRule="auto"/>
        <w:jc w:val="both"/>
        <w:rPr>
          <w:sz w:val="24"/>
          <w:szCs w:val="24"/>
        </w:rPr>
      </w:pPr>
      <w:r w:rsidDel="00000000" w:rsidR="00000000" w:rsidRPr="00000000">
        <w:rPr>
          <w:rtl w:val="0"/>
        </w:rPr>
      </w:r>
    </w:p>
    <w:p w:rsidR="00000000" w:rsidDel="00000000" w:rsidP="00000000" w:rsidRDefault="00000000" w:rsidRPr="00000000" w14:paraId="00000010">
      <w:pPr>
        <w:spacing w:line="360" w:lineRule="auto"/>
        <w:jc w:val="both"/>
        <w:rPr>
          <w:b w:val="1"/>
          <w:bCs w:val="1"/>
          <w:sz w:val="24"/>
          <w:szCs w:val="24"/>
        </w:rPr>
      </w:pPr>
      <w:r w:rsidDel="00000000" w:rsidR="00000000" w:rsidRPr="00000000">
        <w:rPr>
          <w:b w:val="1"/>
          <w:bCs w:val="1"/>
          <w:sz w:val="24"/>
          <w:szCs w:val="24"/>
          <w:rtl w:val="0"/>
        </w:rPr>
        <w:t xml:space="preserve">EDA: EXPLORATORY DATA ANALYSIS</w:t>
      </w:r>
    </w:p>
    <w:p w:rsidR="00000000" w:rsidDel="00000000" w:rsidP="00000000" w:rsidRDefault="00000000" w:rsidRPr="00000000" w14:paraId="00000011">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2">
      <w:pPr>
        <w:spacing w:line="360" w:lineRule="auto"/>
        <w:jc w:val="both"/>
        <w:rPr>
          <w:sz w:val="24"/>
          <w:szCs w:val="24"/>
        </w:rPr>
      </w:pPr>
      <w:r w:rsidDel="00000000" w:rsidR="00000000" w:rsidRPr="00000000">
        <w:rPr>
          <w:sz w:val="24"/>
          <w:szCs w:val="24"/>
          <w:rtl w:val="0"/>
        </w:rPr>
        <w:t xml:space="preserve">El Análisis Exploratorio de Datos se fundamenta en el uso de medidas estadísticas, medianas y porcentajes. Los resultados numéricos obtenidos del EDA se convierten en un informe estructurado bajo las "5 W": Who (Quién), What (Qué), When (Cuándo), Where (Dónde) y Why (Por qué). Esta metodología constituye la base para la construcción de un dashboard eficaz. Dentro de este análisis, se aplica la regresión lineal como un criterio de selección: mediante la toma de muestras y la definición de condiciones, se determina que los datos por encima de la recta son válidos, mientras que los que quedan por debajo se descartan.</w:t>
      </w:r>
    </w:p>
    <w:p w:rsidR="00000000" w:rsidDel="00000000" w:rsidP="00000000" w:rsidRDefault="00000000" w:rsidRPr="00000000" w14:paraId="00000013">
      <w:pPr>
        <w:spacing w:line="360" w:lineRule="auto"/>
        <w:jc w:val="both"/>
        <w:rPr>
          <w:sz w:val="24"/>
          <w:szCs w:val="24"/>
        </w:rPr>
      </w:pPr>
      <w:r w:rsidDel="00000000" w:rsidR="00000000" w:rsidRPr="00000000">
        <w:rPr>
          <w:sz w:val="24"/>
          <w:szCs w:val="24"/>
          <w:rtl w:val="0"/>
        </w:rPr>
        <w:t xml:space="preserve">Este análisis previo es fundamental para detectar fallos comunes en los conjuntos de datos, como anotaciones humanas ruidosas o el sobreajuste por reutilización de conjuntos de prueba. Se utilizan métricas de precisión técnica como la puntuación F1, el recall y la exactitud para evaluar la calidad de los resultados. Sin embargo, en el análisis de modelos de lenguaje, el EDA debe ir más allá de la similitud sintáctica medida por métricas tradicionales como BLEU, ROUGE o METEOR. Estas métricas suelen fallar al evaluar respuestas extensas que, aunque precisas semánticamente, difieren en su estructura de la respuesta estándar. Por tanto, el EDA moderno integra protocolos de verificación de contenido y veracidad, como TruthfulQA, para asegurar que los datos no solo sigan una tendencia estadística, sino que sean factualmente correctos. La regresión lineal en este marco actúa como un filtro de confianza: los datos que se desvían excesivamente de la norma se inspeccionan como posibles fuentes de desinformación o errores de entrenamiento.</w:t>
      </w:r>
    </w:p>
    <w:p w:rsidR="00000000" w:rsidDel="00000000" w:rsidP="00000000" w:rsidRDefault="00000000" w:rsidRPr="00000000" w14:paraId="00000014">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5">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line="360" w:lineRule="auto"/>
        <w:jc w:val="both"/>
        <w:rPr>
          <w:b w:val="1"/>
          <w:bCs w:val="1"/>
          <w:sz w:val="24"/>
          <w:szCs w:val="24"/>
        </w:rPr>
      </w:pPr>
      <w:r w:rsidDel="00000000" w:rsidR="00000000" w:rsidRPr="00000000">
        <w:rPr>
          <w:b w:val="1"/>
          <w:bCs w:val="1"/>
          <w:sz w:val="24"/>
          <w:szCs w:val="24"/>
          <w:rtl w:val="0"/>
        </w:rPr>
        <w:t xml:space="preserve">IA Y ENTRENAMIENTO</w:t>
      </w:r>
    </w:p>
    <w:p w:rsidR="00000000" w:rsidDel="00000000" w:rsidP="00000000" w:rsidRDefault="00000000" w:rsidRPr="00000000" w14:paraId="00000018">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line="360" w:lineRule="auto"/>
        <w:jc w:val="both"/>
        <w:rPr>
          <w:sz w:val="24"/>
          <w:szCs w:val="24"/>
        </w:rPr>
      </w:pPr>
      <w:r w:rsidDel="00000000" w:rsidR="00000000" w:rsidRPr="00000000">
        <w:rPr>
          <w:sz w:val="24"/>
          <w:szCs w:val="24"/>
          <w:rtl w:val="0"/>
        </w:rPr>
        <w:t xml:space="preserve">La limpieza de datos es un paso crítico para garantizar que los resultados de la IA, específicamente en el caso de un chatbot, sean precisos. El proceso de entrenamiento requiere reservar entre un 20% y un 30% de los datos. Para la generación de métricas de rendimiento y ajuste, se emplean medias, medianas, Regresión Lineal (RL), MAE y RNSE. Es necesario comparar diferentes modelos para identificar el que mejor se ajusta a las necesidades, evitando tanto el subentrenamiento como el sobreentrenamiento. Entre las herramientas mencionadas para este fin se encuentra XG Boost.</w:t>
      </w:r>
    </w:p>
    <w:p w:rsidR="00000000" w:rsidDel="00000000" w:rsidP="00000000" w:rsidRDefault="00000000" w:rsidRPr="00000000" w14:paraId="0000001A">
      <w:pPr>
        <w:spacing w:line="360" w:lineRule="auto"/>
        <w:jc w:val="both"/>
        <w:rPr>
          <w:sz w:val="24"/>
          <w:szCs w:val="24"/>
        </w:rPr>
      </w:pPr>
      <w:r w:rsidDel="00000000" w:rsidR="00000000" w:rsidRPr="00000000">
        <w:rPr>
          <w:sz w:val="24"/>
          <w:szCs w:val="24"/>
          <w:rtl w:val="0"/>
        </w:rPr>
        <w:t xml:space="preserve">Para optimizar el entrenamiento en entornos con limitaciones de hardware, se emplean técnicas de Ajuste Fino Eficiente en Parámetros (PEFT). Una de las más destacadas es LoRA (Low-Rank Adaptation), que consiste en congelar los pesos del modelo preentrenado e inyectar matrices entrenables de bajo rango en las capas de atención, reduciendo drásticamente la carga computacional. Esto se puede potenciar mediante la cuantización (QLoRA) de 8 o 4 bits, permitiendo entrenar modelos de gran escala (hasta 34B de parámetros) en una sola GPU de 24GB de VRAM. Durante este proceso, se deben aplicar estrategias para mitigar el olvido catastrófico, como la consolidación de pesos elásticos (EWC) o métodos de repetición de memoria. El alineamiento final del modelo se logra mediante Aprendizaje por Refuerzo a partir de Retroalimentación Humana (RLHF) para asegurar que las respuestas sigan valores humanos de utilidad y honestidad, o mediante técnicas más eficientes como DPO (Direct Preference Optimization). Este entrenamiento riguroso debe complementarse con una transparencia absoluta en el reporte de uso de IA, detallando el modelo, la versión y los prompts utilizados para garantizar la trazabilidad y la integridad académica del sistema final.</w:t>
      </w:r>
    </w:p>
    <w:p w:rsidR="00000000" w:rsidDel="00000000" w:rsidP="00000000" w:rsidRDefault="00000000" w:rsidRPr="00000000" w14:paraId="0000001B">
      <w:pPr>
        <w:spacing w:line="360" w:lineRule="auto"/>
        <w:jc w:val="both"/>
        <w:rPr>
          <w:sz w:val="24"/>
          <w:szCs w:val="24"/>
        </w:rPr>
      </w:pPr>
      <w:r w:rsidDel="00000000" w:rsidR="00000000" w:rsidRPr="00000000">
        <w:rPr>
          <w:sz w:val="24"/>
          <w:szCs w:val="24"/>
          <w:rtl w:val="0"/>
        </w:rPr>
        <w:t xml:space="preserve">¿Te gustaría que generara un informe detallado sobre las técnicas de ajuste fino (PEFT) mencionadas para profundizar en la optimización de modelos con pocos recursos?</w:t>
      </w:r>
    </w:p>
    <w:p w:rsidR="00000000" w:rsidDel="00000000" w:rsidP="00000000" w:rsidRDefault="00000000" w:rsidRPr="00000000" w14:paraId="0000001C">
      <w:pPr>
        <w:spacing w:line="360" w:lineRule="auto"/>
        <w:jc w:val="both"/>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