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0"/>
        <w:jc w:val="center"/>
      </w:pPr>
      <w:r>
        <w:rPr>
          <w:rFonts w:ascii="Arial" w:cs="Arial" w:eastAsia="Arial" w:hAnsi="Arial"/>
          <w:b/>
          <w:bCs/>
          <w:color w:val="1F3864"/>
          <w:sz w:val="32"/>
          <w:szCs w:val="32"/>
        </w:rPr>
        <w:t xml:space="preserve">TriCube: Experimental Evaluation of a Tetrahedral/Cube-Connected Hash and XOF Primitive</w:t>
      </w:r>
    </w:p>
    <w:p>
      <w:pPr>
        <w:spacing w:after="60" w:before="0"/>
        <w:jc w:val="center"/>
      </w:pPr>
      <w:r>
        <w:rPr>
          <w:rFonts w:ascii="Arial" w:cs="Arial" w:eastAsia="Arial" w:hAnsi="Arial"/>
          <w:i/>
          <w:iCs/>
          <w:color w:val="666666"/>
          <w:sz w:val="22"/>
          <w:szCs w:val="22"/>
        </w:rPr>
        <w:t xml:space="preserve">Preliminary Technical Manuscript -- Public Review Draft</w:t>
      </w:r>
    </w:p>
    <w:p>
      <w:pPr>
        <w:spacing w:after="40" w:before="0"/>
        <w:jc w:val="center"/>
      </w:pPr>
      <w:r>
        <w:rPr>
          <w:rFonts w:ascii="Arial" w:cs="Arial" w:eastAsia="Arial" w:hAnsi="Arial"/>
          <w:sz w:val="22"/>
          <w:szCs w:val="22"/>
        </w:rPr>
        <w:t xml:space="preserve">Steven Reid  |  Independent Researcher  |  sreid1118@gmail.com</w:t>
      </w:r>
    </w:p>
    <w:p>
      <w:pPr>
        <w:spacing w:after="200" w:before="0"/>
        <w:jc w:val="center"/>
      </w:pPr>
      <w:r>
        <w:rPr>
          <w:rFonts w:ascii="Arial" w:cs="Arial" w:eastAsia="Arial" w:hAnsi="Arial"/>
          <w:color w:val="888888"/>
          <w:sz w:val="20"/>
          <w:szCs w:val="20"/>
        </w:rPr>
        <w:t xml:space="preserve">May 20, 2026  |  Apple M4 Pro / macOS 15.5  |  Python 3.13/3.14  |  Apple clang 17.0.0</w:t>
      </w:r>
    </w:p>
    <w:p>
      <w:pPr>
        <w:pStyle w:val="Heading1"/>
        <w:spacing w:after="120" w:before="280"/>
      </w:pPr>
      <w:r>
        <w:rPr>
          <w:rFonts w:ascii="Arial" w:cs="Arial" w:eastAsia="Arial" w:hAnsi="Arial"/>
          <w:b/>
          <w:bCs/>
          <w:color w:val="1F3864"/>
          <w:sz w:val="28"/>
          <w:szCs w:val="28"/>
        </w:rPr>
        <w:t xml:space="preserve">Abstract</w:t>
      </w:r>
    </w:p>
    <w:p>
      <w:pPr>
        <w:spacing w:after="100" w:before="60"/>
        <w:jc w:val="both"/>
      </w:pPr>
      <w:r>
        <w:rPr>
          <w:rFonts w:ascii="Arial" w:cs="Arial" w:eastAsia="Arial" w:hAnsi="Arial"/>
          <w:sz w:val="22"/>
          <w:szCs w:val="22"/>
        </w:rPr>
        <w:t xml:space="preserve">We report the design and experimental evaluation of TriCube, a candidate hash function and extendable-output function (XOF) based on tetrahedral/cube-connected state evolution. The current public baseline uses a 2048-bit state with thirty-two 64-bit lanes: twenty-seven vertex lanes in a 3x3x3 grid and five shell/global lanes for additional coupling. The eight cube cells of the grid are decomposed into six tetrahedra each, giving 48 tetrahedral neighborhoods per full pass. Each round combines local tetrahedral ARX mixing, grid-edge coupling, shell/global coupling, and a deterministic lane permutation.</w:t>
      </w:r>
    </w:p>
    <w:p>
      <w:pPr>
        <w:spacing w:after="100" w:before="60"/>
        <w:jc w:val="both"/>
      </w:pPr>
      <w:r>
        <w:rPr>
          <w:rFonts w:ascii="Arial" w:cs="Arial" w:eastAsia="Arial" w:hAnsi="Arial"/>
          <w:sz w:val="22"/>
          <w:szCs w:val="22"/>
        </w:rPr>
        <w:t xml:space="preserve">Evaluation covers unit tests and vector agreement, internal statistical benchmarks, black-box development probes, a first word-level white-box schedule model, and external statistical batteries. The standalone C baseline passed complete Dieharder (109P/2W/0F), full TestU01 Crush (144 tests, all passed), and short PractRand runs. A 1 GiB PractRand run produced real NS3 low-bit anomalies at 1 MiB and 512 MiB that remain unresolved; this result is classified WARN and requires follow-up.</w:t>
      </w:r>
    </w:p>
    <w:p>
      <w:pPr>
        <w:spacing w:after="100" w:before="60"/>
        <w:jc w:val="both"/>
      </w:pPr>
      <w:r>
        <w:rPr>
          <w:rFonts w:ascii="Arial" w:cs="Arial" w:eastAsia="Arial" w:hAnsi="Arial"/>
          <w:sz w:val="22"/>
          <w:szCs w:val="22"/>
        </w:rPr>
        <w:t xml:space="preserve">The evidence supports continued review and engineering work. It does not establish collision resistance, preimage resistance, pseudorandomness, or security for deployment.</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Keywords:</w:t>
      </w:r>
      <w:r>
        <w:rPr>
          <w:rFonts w:ascii="Arial" w:cs="Arial" w:eastAsia="Arial" w:hAnsi="Arial"/>
          <w:sz w:val="22"/>
          <w:szCs w:val="22"/>
        </w:rPr>
        <w:t xml:space="preserve"> hash function, XOF, geometric primitive, tetrahedral decomposition, cube-connected state, sponge construction, PractRand, TestU01, black-box development probes</w:t>
      </w:r>
    </w:p>
    <w:p>
      <w:pPr>
        <w:spacing w:after="80" w:before="0"/>
      </w:pPr>
    </w:p>
    <w:p>
      <w:pPr>
        <w:pStyle w:val="Heading1"/>
        <w:spacing w:after="120" w:before="280"/>
      </w:pPr>
      <w:r>
        <w:rPr>
          <w:rFonts w:ascii="Arial" w:cs="Arial" w:eastAsia="Arial" w:hAnsi="Arial"/>
          <w:b/>
          <w:bCs/>
          <w:color w:val="1F3864"/>
          <w:sz w:val="28"/>
          <w:szCs w:val="28"/>
        </w:rPr>
        <w:t xml:space="preserve">1. Introduction</w:t>
      </w:r>
    </w:p>
    <w:p>
      <w:pPr>
        <w:spacing w:after="100" w:before="60"/>
        <w:jc w:val="both"/>
      </w:pPr>
      <w:r>
        <w:rPr>
          <w:rFonts w:ascii="Arial" w:cs="Arial" w:eastAsia="Arial" w:hAnsi="Arial"/>
          <w:sz w:val="22"/>
          <w:szCs w:val="22"/>
        </w:rPr>
        <w:t xml:space="preserve">The design of cryptographic hash functions is a mature but active area. SHA-2 [1], SHA-3 (Keccak) [2], BLAKE2 [3], and BLAKE3 [4] have undergone extensive public cryptanalysis and are widely deployed. The dominant paradigm for efficient software hash designs is ARX: Add-Rotate-XOR, which combines modular addition, bitwise rotation, and exclusive-or to achieve diffusion and non-linearity within a fixed state.</w:t>
      </w:r>
    </w:p>
    <w:p>
      <w:pPr>
        <w:spacing w:after="100" w:before="60"/>
        <w:jc w:val="both"/>
      </w:pPr>
      <w:r>
        <w:rPr>
          <w:rFonts w:ascii="Arial" w:cs="Arial" w:eastAsia="Arial" w:hAnsi="Arial"/>
          <w:sz w:val="22"/>
          <w:szCs w:val="22"/>
        </w:rPr>
        <w:t xml:space="preserve">TriCube explores a geometric alternative. The current public baseline maps a 2048-bit state onto a 3x3x3 cube-vertex grid plus five shell/global lanes. State advancement uses local tetrahedral mixing over 48 tetrahedral neighborhoods, edge-coupling passes over 54 grid-adjacent vertex pairs, shell/global coupling, and a deterministic lane permutation. The construction is intended to be inspectable and testable as a geometric structure.</w:t>
      </w:r>
    </w:p>
    <w:p>
      <w:pPr>
        <w:spacing w:after="100" w:before="60"/>
        <w:jc w:val="both"/>
      </w:pPr>
      <w:r>
        <w:rPr>
          <w:rFonts w:ascii="Arial" w:cs="Arial" w:eastAsia="Arial" w:hAnsi="Arial"/>
          <w:sz w:val="22"/>
          <w:szCs w:val="22"/>
        </w:rPr>
        <w:t xml:space="preserve">The motivation is exploratory. We do not claim any advantage in security or efficiency over established designs. The results are a development snapshot as of May 19, 2026: encouraging as a first filter, but insufficient to support any cryptographic security claim. Formal cryptanalysis, independent reimplementation, and multi-seed extended PractRand testing remain future work.</w:t>
      </w:r>
    </w:p>
    <w:p>
      <w:pPr>
        <w:spacing w:after="80" w:before="0"/>
      </w:pPr>
    </w:p>
    <w:p>
      <w:pPr>
        <w:pStyle w:val="Heading1"/>
        <w:spacing w:after="120" w:before="280"/>
      </w:pPr>
      <w:r>
        <w:rPr>
          <w:rFonts w:ascii="Arial" w:cs="Arial" w:eastAsia="Arial" w:hAnsi="Arial"/>
          <w:b/>
          <w:bCs/>
          <w:color w:val="1F3864"/>
          <w:sz w:val="28"/>
          <w:szCs w:val="28"/>
        </w:rPr>
        <w:t xml:space="preserve">2. Related Work</w:t>
      </w:r>
    </w:p>
    <w:p>
      <w:pPr>
        <w:spacing w:after="100" w:before="60"/>
        <w:jc w:val="both"/>
      </w:pPr>
      <w:r>
        <w:rPr>
          <w:rFonts w:ascii="Arial" w:cs="Arial" w:eastAsia="Arial" w:hAnsi="Arial"/>
          <w:sz w:val="22"/>
          <w:szCs w:val="22"/>
        </w:rPr>
        <w:t xml:space="preserve">The established hash landscape is dominated by ARX and permutation-based designs. SHA-2 [1] uses Merkle-Damgard with an ARX compression function. SHA-3 (Keccak) [2] is a sponge construction over a 1600-bit state organized as a 5x5 matrix of 64-bit lanes, using bitwise permutation steps. BLAKE2/BLAKE3 [3][4] are ARX designs derived from ChaCha with tree-hashing modes for parallelism. Ascon [21][22] specifies exact state size, round transformations, constants, modes, rates, and padding; it is an example of how documentation and cryptanalytic review together support scheme-level claims.</w:t>
      </w:r>
    </w:p>
    <w:p>
      <w:pPr>
        <w:spacing w:after="100" w:before="60"/>
        <w:jc w:val="both"/>
      </w:pPr>
      <w:r>
        <w:rPr>
          <w:rFonts w:ascii="Arial" w:cs="Arial" w:eastAsia="Arial" w:hAnsi="Arial"/>
          <w:sz w:val="22"/>
          <w:szCs w:val="22"/>
        </w:rPr>
        <w:t xml:space="preserve">CubeHash [5] is the closest named comparison due to shared cube terminology, though its state layout and round function differ substantially from TriCube. The sponge framework [9] underpins Keccak, SHAKE, KangarooTwelve [8], and Xoodyak [7]; TriCube uses an absorb-finalize-squeeze structure in the same tradition. The application of geometric decomposition to hash function internals is less common than its use in lattice or isogeny-based public-key schemes; this work is an engineering exploration and makes no reduction to a geometric hardness assumption.</w:t>
      </w:r>
    </w:p>
    <w:p>
      <w:pPr>
        <w:spacing w:after="80" w:before="0"/>
      </w:pPr>
    </w:p>
    <w:p>
      <w:pPr>
        <w:pStyle w:val="Heading1"/>
        <w:spacing w:after="120" w:before="280"/>
      </w:pPr>
      <w:r>
        <w:rPr>
          <w:rFonts w:ascii="Arial" w:cs="Arial" w:eastAsia="Arial" w:hAnsi="Arial"/>
          <w:b/>
          <w:bCs/>
          <w:color w:val="1F3864"/>
          <w:sz w:val="28"/>
          <w:szCs w:val="28"/>
        </w:rPr>
        <w:t xml:space="preserve">3. TriCube Construction</w:t>
      </w:r>
    </w:p>
    <w:p>
      <w:pPr>
        <w:pStyle w:val="Heading2"/>
        <w:spacing w:after="80" w:before="200"/>
      </w:pPr>
      <w:r>
        <w:rPr>
          <w:rFonts w:ascii="Arial" w:cs="Arial" w:eastAsia="Arial" w:hAnsi="Arial"/>
          <w:b/>
          <w:bCs/>
          <w:color w:val="2E5FA3"/>
          <w:sz w:val="24"/>
          <w:szCs w:val="24"/>
        </w:rPr>
        <w:t xml:space="preserve">3.1 State Representation</w:t>
      </w:r>
    </w:p>
    <w:p>
      <w:pPr>
        <w:spacing w:after="100" w:before="60"/>
        <w:jc w:val="both"/>
      </w:pPr>
      <w:r>
        <w:rPr>
          <w:rFonts w:ascii="Arial" w:cs="Arial" w:eastAsia="Arial" w:hAnsi="Arial"/>
          <w:sz w:val="22"/>
          <w:szCs w:val="22"/>
        </w:rPr>
        <w:t xml:space="preserve">The current public TriCube baseline uses a 2048-bit state represented as thirty-two 64-bit words S[0] through S[31]. Lanes S[0] through S[26] are vertex lanes in a 3x3x3 grid; coordinates x, y, z in {0,1,2} map to lane index x + 3(y + 3z). Lanes S[27] through S[31] are shell/global lanes used for global coupling and metadata mixing; they are state words, not external entropy sources.</w:t>
      </w:r>
    </w:p>
    <w:p>
      <w:pPr>
        <w:spacing w:after="100" w:before="60"/>
        <w:jc w:val="both"/>
      </w:pPr>
      <w:r>
        <w:rPr>
          <w:rFonts w:ascii="Arial" w:cs="Arial" w:eastAsia="Arial" w:hAnsi="Arial"/>
          <w:sz w:val="22"/>
          <w:szCs w:val="22"/>
        </w:rPr>
        <w:t xml:space="preserve">All words are interpreted little-endian when absorbing or emitting bytes. All 64-bit additions are modulo 2^64. ROTL64(x,r) denotes a left rotation by r mod 64 bits.</w:t>
      </w:r>
    </w:p>
    <w:p>
      <w:pPr>
        <w:spacing w:after="40" w:before="120"/>
        <w:jc w:val="center"/>
      </w:pPr>
      <w:r>
        <w:drawing>
          <wp:inline distT="0" distB="0" distL="0" distR="0">
            <wp:extent cx="5334000" cy="2933700"/>
            <wp:effectExtent t="0" r="0" b="0" l="0"/>
            <wp:docPr id="1" name="Figure 1. TriCube 3x3x3 vertex grid (left) and 32-lane state layout showing vertex lanes S[0]-S[26] and shell/global lanes S[27]-S[31] (right)." descr="Figure 1. TriCube 3x3x3 vertex grid (left) and 32-lane state layout showing vertex lanes S[0]-S[26] and shell/global lanes S[27]-S[31] (right)." title="Figure 1. TriCube 3x3x3 vertex grid (left) and 32-lane state layout showing vertex lanes S[0]-S[26] and shell/global lanes S[27]-S[31]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337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1. TriCube 3x3x3 vertex grid (left) and 32-lane state layout showing vertex lanes S[0]-S[26] and shell/global lanes S[27]-S[31] (right).</w:t>
      </w:r>
    </w:p>
    <w:p>
      <w:pPr>
        <w:spacing w:after="80" w:before="0"/>
      </w:pPr>
    </w:p>
    <w:p>
      <w:pPr>
        <w:pStyle w:val="Heading2"/>
        <w:spacing w:after="80" w:before="200"/>
      </w:pPr>
      <w:r>
        <w:rPr>
          <w:rFonts w:ascii="Arial" w:cs="Arial" w:eastAsia="Arial" w:hAnsi="Arial"/>
          <w:b/>
          <w:bCs/>
          <w:color w:val="2E5FA3"/>
          <w:sz w:val="24"/>
          <w:szCs w:val="24"/>
        </w:rPr>
        <w:t xml:space="preserve">3.2 Tetrahedral Decomposition</w:t>
      </w:r>
    </w:p>
    <w:p>
      <w:pPr>
        <w:spacing w:after="100" w:before="60"/>
        <w:jc w:val="both"/>
      </w:pPr>
      <w:r>
        <w:rPr>
          <w:rFonts w:ascii="Arial" w:cs="Arial" w:eastAsia="Arial" w:hAnsi="Arial"/>
          <w:sz w:val="22"/>
          <w:szCs w:val="22"/>
        </w:rPr>
        <w:t xml:space="preserve">The 3x3x3 vertex grid contains eight unit cube cells. For a cube at cell coordinate (cx,cy,cz), the local vertices are v0=(cx,cy,cz) through v7=(cx+1,cy+1,cz+1), mapped through the lane-index formula above.</w:t>
      </w:r>
    </w:p>
    <w:p>
      <w:pPr>
        <w:spacing w:after="100" w:before="60"/>
        <w:jc w:val="both"/>
      </w:pPr>
      <w:r>
        <w:rPr>
          <w:rFonts w:ascii="Arial" w:cs="Arial" w:eastAsia="Arial" w:hAnsi="Arial"/>
          <w:sz w:val="22"/>
          <w:szCs w:val="22"/>
        </w:rPr>
        <w:t xml:space="preserve">Each cube cell is decomposed into six tetrahedral neighborhoods: (v0,v1,v3,v7), (v0,v3,v2,v7), (v0,v2,v6,v7), (v0,v6,v4,v7), (v0,v4,v5,v7), and (v0,v5,v1,v7). Across eight cube cells this gives 48 tetrahedral neighborhoods per full pass. The tetrahedra share vertices and are updated in a deterministic order; the in-place update order is part of the construction.</w:t>
      </w:r>
    </w:p>
    <w:p>
      <w:pPr>
        <w:spacing w:after="40" w:before="120"/>
        <w:jc w:val="center"/>
      </w:pPr>
      <w:r>
        <w:drawing>
          <wp:inline distT="0" distB="0" distL="0" distR="0">
            <wp:extent cx="5334000" cy="2933700"/>
            <wp:effectExtent t="0" r="0" b="0" l="0"/>
            <wp:docPr id="1" name="Figure 2. Six-tetrahedron decomposition of one unit cube cell. Each panel shows a distinct tetrahedron (T0-T3 of 6 shown); vertices are color-coded by lane index." descr="Figure 2. Six-tetrahedron decomposition of one unit cube cell. Each panel shows a distinct tetrahedron (T0-T3 of 6 shown); vertices are color-coded by lane index." title="Figure 2. Six-tetrahedron decomposition of one unit cube cell. Each panel shows a distinct tetrahedron (T0-T3 of 6 shown); vertices are color-coded by lan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337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2. Six-tetrahedron decomposition of one unit cube cell. Each panel shows a distinct tetrahedron (T0-T3 of 6 shown); vertices are color-coded by lane index.</w:t>
      </w:r>
    </w:p>
    <w:p>
      <w:pPr>
        <w:spacing w:after="80" w:before="0"/>
      </w:pPr>
    </w:p>
    <w:p>
      <w:pPr>
        <w:pStyle w:val="Heading2"/>
        <w:spacing w:after="80" w:before="200"/>
      </w:pPr>
      <w:r>
        <w:rPr>
          <w:rFonts w:ascii="Arial" w:cs="Arial" w:eastAsia="Arial" w:hAnsi="Arial"/>
          <w:b/>
          <w:bCs/>
          <w:color w:val="2E5FA3"/>
          <w:sz w:val="24"/>
          <w:szCs w:val="24"/>
        </w:rPr>
        <w:t xml:space="preserve">3.3 Round Function</w:t>
      </w:r>
    </w:p>
    <w:p>
      <w:pPr>
        <w:spacing w:after="100" w:before="60"/>
        <w:jc w:val="both"/>
      </w:pPr>
      <w:r>
        <w:rPr>
          <w:rFonts w:ascii="Arial" w:cs="Arial" w:eastAsia="Arial" w:hAnsi="Arial"/>
          <w:sz w:val="22"/>
          <w:szCs w:val="22"/>
        </w:rPr>
        <w:t xml:space="preserve">A TriCube round applies four layers in sequence: tetrahedral local mixing, grid-edge coupling, shell/global coupling, and lane permutation with constant injection. The implementation precomputes a 24-round schedule for speed, but the schedule is derived from the deterministic rules in docs/specification.md and must not change the public output.</w:t>
      </w:r>
    </w:p>
    <w:p>
      <w:pPr>
        <w:spacing w:after="40" w:before="120"/>
        <w:jc w:val="center"/>
      </w:pPr>
      <w:r>
        <w:drawing>
          <wp:inline distT="0" distB="0" distL="0" distR="0">
            <wp:extent cx="4000500" cy="2200275"/>
            <wp:effectExtent t="0" r="0" b="0" l="0"/>
            <wp:docPr id="1" name="Figure 3. TriCube round function: four sequential layers applied per round. Repeat arrow indicates R rounds total." descr="Figure 3. TriCube round function: four sequential layers applied per round. Repeat arrow indicates R rounds total." title="Figure 3. TriCube round function: four sequential layers applied per round. Repeat arrow indicates R round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0027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 TriCube round function: four sequential layers applied per round. Repeat arrow indicates R rounds total.</w:t>
      </w:r>
    </w:p>
    <w:p>
      <w:pPr>
        <w:spacing w:after="80" w:before="0"/>
      </w:pPr>
    </w:p>
    <w:p>
      <w:pPr>
        <w:spacing w:after="80" w:before="80"/>
      </w:pPr>
      <w:r>
        <w:rPr>
          <w:rFonts w:ascii="Arial" w:cs="Arial" w:eastAsia="Arial" w:hAnsi="Arial"/>
          <w:i/>
          <w:iCs/>
          <w:sz w:val="22"/>
          <w:szCs w:val="22"/>
        </w:rPr>
        <w:t xml:space="preserve">Round pseudocode (R rounds):</w:t>
      </w:r>
    </w:p>
    <w:p>
      <w:pPr>
        <w:spacing w:after="40" w:before="40"/>
        <w:ind w:left="360" w:right="360"/>
      </w:pPr>
      <w:r>
        <w:rPr>
          <w:rFonts w:ascii="Courier New" w:cs="Courier New" w:eastAsia="Courier New" w:hAnsi="Courier New"/>
          <w:color w:val="333333"/>
          <w:sz w:val="18"/>
          <w:szCs w:val="18"/>
        </w:rPr>
        <w:t xml:space="preserve">for round r in 0..R-1:</w:t>
      </w:r>
    </w:p>
    <w:p>
      <w:pPr>
        <w:spacing w:after="40" w:before="40"/>
        <w:ind w:left="360" w:right="360"/>
      </w:pPr>
      <w:r>
        <w:rPr>
          <w:rFonts w:ascii="Courier New" w:cs="Courier New" w:eastAsia="Courier New" w:hAnsi="Courier New"/>
          <w:color w:val="333333"/>
          <w:sz w:val="18"/>
          <w:szCs w:val="18"/>
        </w:rPr>
        <w:t xml:space="preserve">    for each tetrahedron t in deterministic order:</w:t>
      </w:r>
    </w:p>
    <w:p>
      <w:pPr>
        <w:spacing w:after="40" w:before="40"/>
        <w:ind w:left="360" w:right="360"/>
      </w:pPr>
      <w:r>
        <w:rPr>
          <w:rFonts w:ascii="Courier New" w:cs="Courier New" w:eastAsia="Courier New" w:hAnsi="Courier New"/>
          <w:color w:val="333333"/>
          <w:sz w:val="18"/>
          <w:szCs w:val="18"/>
        </w:rPr>
        <w:t xml:space="preserve">        apply orientation-dependent four-lane ARX mix in place</w:t>
      </w:r>
    </w:p>
    <w:p>
      <w:pPr>
        <w:spacing w:after="40" w:before="40"/>
        <w:ind w:left="360" w:right="360"/>
      </w:pPr>
      <w:r>
        <w:rPr>
          <w:rFonts w:ascii="Courier New" w:cs="Courier New" w:eastAsia="Courier New" w:hAnsi="Courier New"/>
          <w:color w:val="333333"/>
          <w:sz w:val="18"/>
          <w:szCs w:val="18"/>
        </w:rPr>
        <w:t xml:space="preserve">    for each axis-adjacent grid edge e in deterministic order:</w:t>
      </w:r>
    </w:p>
    <w:p>
      <w:pPr>
        <w:spacing w:after="40" w:before="40"/>
        <w:ind w:left="360" w:right="360"/>
      </w:pPr>
      <w:r>
        <w:rPr>
          <w:rFonts w:ascii="Courier New" w:cs="Courier New" w:eastAsia="Courier New" w:hAnsi="Courier New"/>
          <w:color w:val="333333"/>
          <w:sz w:val="18"/>
          <w:szCs w:val="18"/>
        </w:rPr>
        <w:t xml:space="preserve">        couple the two endpoint lanes in place</w:t>
      </w:r>
    </w:p>
    <w:p>
      <w:pPr>
        <w:spacing w:after="40" w:before="40"/>
        <w:ind w:left="360" w:right="360"/>
      </w:pPr>
      <w:r>
        <w:rPr>
          <w:rFonts w:ascii="Courier New" w:cs="Courier New" w:eastAsia="Courier New" w:hAnsi="Courier New"/>
          <w:color w:val="333333"/>
          <w:sz w:val="18"/>
          <w:szCs w:val="18"/>
        </w:rPr>
        <w:t xml:space="preserve">    for each shell/global lane j in 0..4:</w:t>
      </w:r>
    </w:p>
    <w:p>
      <w:pPr>
        <w:spacing w:after="40" w:before="40"/>
        <w:ind w:left="360" w:right="360"/>
      </w:pPr>
      <w:r>
        <w:rPr>
          <w:rFonts w:ascii="Courier New" w:cs="Courier New" w:eastAsia="Courier New" w:hAnsi="Courier New"/>
          <w:color w:val="333333"/>
          <w:sz w:val="18"/>
          <w:szCs w:val="18"/>
        </w:rPr>
        <w:t xml:space="preserve">        mix shell lane S[27+j] with a scheduled vertex and opposite vertex</w:t>
      </w:r>
    </w:p>
    <w:p>
      <w:pPr>
        <w:spacing w:after="40" w:before="40"/>
        <w:ind w:left="360" w:right="360"/>
      </w:pPr>
      <w:r>
        <w:rPr>
          <w:rFonts w:ascii="Courier New" w:cs="Courier New" w:eastAsia="Courier New" w:hAnsi="Courier New"/>
          <w:color w:val="333333"/>
          <w:sz w:val="18"/>
          <w:szCs w:val="18"/>
        </w:rPr>
        <w:t xml:space="preserve">    permute all 32 lanes by T[i] = S[(9*i + 5) mod 32]</w:t>
      </w:r>
    </w:p>
    <w:p>
      <w:pPr>
        <w:spacing w:after="40" w:before="40"/>
        <w:ind w:left="360" w:right="360"/>
      </w:pPr>
      <w:r>
        <w:rPr>
          <w:rFonts w:ascii="Courier New" w:cs="Courier New" w:eastAsia="Courier New" w:hAnsi="Courier New"/>
          <w:color w:val="333333"/>
          <w:sz w:val="18"/>
          <w:szCs w:val="18"/>
        </w:rPr>
        <w:t xml:space="preserve">    xor a round-dependent rotated constant into each lane</w:t>
      </w:r>
    </w:p>
    <w:p>
      <w:pPr>
        <w:spacing w:after="80" w:before="0"/>
      </w:pPr>
    </w:p>
    <w:p>
      <w:pPr>
        <w:spacing w:after="100" w:before="60"/>
        <w:jc w:val="both"/>
      </w:pPr>
      <w:r>
        <w:rPr>
          <w:rFonts w:ascii="Arial" w:cs="Arial" w:eastAsia="Arial" w:hAnsi="Arial"/>
          <w:sz w:val="22"/>
          <w:szCs w:val="22"/>
        </w:rPr>
        <w:t xml:space="preserve">The tetrahedral ARX layer uses rotation sets (17,29,41,53), (23,31,47,59), (19,37,43,61), and (13,27,39,55), selected by round and tetrahedron index. Round constants are generated by a SplitMix64 stream from fixed seeds and are specified normatively by the generator rule rather than by listing all 768 constants here.</w:t>
      </w:r>
    </w:p>
    <w:p>
      <w:pPr>
        <w:pStyle w:val="Heading2"/>
        <w:spacing w:after="80" w:before="200"/>
      </w:pPr>
      <w:r>
        <w:rPr>
          <w:rFonts w:ascii="Arial" w:cs="Arial" w:eastAsia="Arial" w:hAnsi="Arial"/>
          <w:b/>
          <w:bCs/>
          <w:color w:val="2E5FA3"/>
          <w:sz w:val="24"/>
          <w:szCs w:val="24"/>
        </w:rPr>
        <w:t xml:space="preserve">3.4 Absorb, Finalize, and Squeeze</w:t>
      </w:r>
    </w:p>
    <w:p>
      <w:pPr>
        <w:spacing w:after="100" w:before="60"/>
        <w:jc w:val="both"/>
      </w:pPr>
      <w:r>
        <w:rPr>
          <w:rFonts w:ascii="Arial" w:cs="Arial" w:eastAsia="Arial" w:hAnsi="Arial"/>
          <w:sz w:val="22"/>
          <w:szCs w:val="22"/>
        </w:rPr>
        <w:t xml:space="preserve">Hash mode uses domain tag TC-TETRA256-V2, a 64-byte message absorb block, a 33-byte finalization trailer, and a 16-round final permutation before squeezing a 256-bit digest. The V2 substring is a legacy compatibility tag in the domain string and does not change the project name.</w:t>
      </w:r>
    </w:p>
    <w:p>
      <w:pPr>
        <w:spacing w:after="100" w:before="60"/>
        <w:jc w:val="both"/>
      </w:pPr>
      <w:r>
        <w:rPr>
          <w:rFonts w:ascii="Arial" w:cs="Arial" w:eastAsia="Arial" w:hAnsi="Arial"/>
          <w:sz w:val="22"/>
          <w:szCs w:val="22"/>
        </w:rPr>
        <w:t xml:space="preserve">The finalization trailer contains the little-endian message length, encoded output length, message-block count, and a final 0x80 marker. XOF mode uses the same construction with encoded output length zero and produces output in chunks of up to 192 bytes. Stream mode uses a separate domain tag and a 64-bit little-endian seed tweak.</w:t>
      </w:r>
    </w:p>
    <w:p>
      <w:pPr>
        <w:pStyle w:val="Heading2"/>
        <w:spacing w:after="80" w:before="200"/>
      </w:pPr>
      <w:r>
        <w:rPr>
          <w:rFonts w:ascii="Arial" w:cs="Arial" w:eastAsia="Arial" w:hAnsi="Arial"/>
          <w:b/>
          <w:bCs/>
          <w:color w:val="2E5FA3"/>
          <w:sz w:val="24"/>
          <w:szCs w:val="24"/>
        </w:rPr>
        <w:t xml:space="preserve">3.5 Domain Separation</w:t>
      </w:r>
    </w:p>
    <w:p>
      <w:pPr>
        <w:spacing w:after="100" w:before="60"/>
        <w:jc w:val="both"/>
      </w:pPr>
      <w:r>
        <w:rPr>
          <w:rFonts w:ascii="Arial" w:cs="Arial" w:eastAsia="Arial" w:hAnsi="Arial"/>
          <w:sz w:val="22"/>
          <w:szCs w:val="22"/>
        </w:rPr>
        <w:t xml:space="preserve">The baseline hash, XOF, and stream paths are separated by distinct domain tags. The experimental fast8x stream variant uses its own separate stream domain tag and must be requested explicitly. Baseline hash and XOF vectors are unchanged by the fast8x addition.</w:t>
      </w:r>
    </w:p>
    <w:p>
      <w:pPr>
        <w:spacing w:after="100" w:before="60"/>
        <w:jc w:val="both"/>
      </w:pPr>
      <w:r>
        <w:rPr>
          <w:rFonts w:ascii="Arial" w:cs="Arial" w:eastAsia="Arial" w:hAnsi="Arial"/>
          <w:sz w:val="22"/>
          <w:szCs w:val="22"/>
        </w:rPr>
        <w:t xml:space="preserve">The exact parameter table, lane table, tetrahedron schedule, round pseudocode, absorb/finalize/squeeze rules, endianness, padding, domain separation, and test vectors are maintained in docs/specification.md, which is the reference specification for independent reimplementation.</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20" w:before="280"/>
      </w:pPr>
      <w:r>
        <w:rPr>
          <w:rFonts w:ascii="Arial" w:cs="Arial" w:eastAsia="Arial" w:hAnsi="Arial"/>
          <w:b/>
          <w:bCs/>
          <w:color w:val="1F3864"/>
          <w:sz w:val="28"/>
          <w:szCs w:val="28"/>
        </w:rPr>
        <w:t xml:space="preserve">4. Implementation and Evaluation Methodology</w:t>
      </w:r>
    </w:p>
    <w:p>
      <w:pPr>
        <w:pStyle w:val="Heading2"/>
        <w:spacing w:after="80" w:before="200"/>
      </w:pPr>
      <w:r>
        <w:rPr>
          <w:rFonts w:ascii="Arial" w:cs="Arial" w:eastAsia="Arial" w:hAnsi="Arial"/>
          <w:b/>
          <w:bCs/>
          <w:color w:val="2E5FA3"/>
          <w:sz w:val="24"/>
          <w:szCs w:val="24"/>
        </w:rPr>
        <w:t xml:space="preserve">4.1 Implementation</w:t>
      </w:r>
    </w:p>
    <w:p>
      <w:pPr>
        <w:spacing w:after="100" w:before="60"/>
        <w:jc w:val="both"/>
      </w:pPr>
      <w:r>
        <w:rPr>
          <w:rFonts w:ascii="Arial" w:cs="Arial" w:eastAsia="Arial" w:hAnsi="Arial"/>
          <w:sz w:val="22"/>
          <w:szCs w:val="22"/>
        </w:rPr>
        <w:t xml:space="preserve">The public repository (https://github.com/RRG314/tricube-hash) is organized around a standalone C11 implementation and a small Python package. The C implementation in c/src/tricube.c is the reference for the public baseline. The public header c/include/tricube.h exposes fixed 256-bit digest mode, XOF mode, context-style update/finalize/squeeze functions, deterministic stream generation, and self-test support. Build: make -C c all.</w:t>
      </w:r>
    </w:p>
    <w:p>
      <w:pPr>
        <w:spacing w:after="100" w:before="60"/>
        <w:jc w:val="both"/>
      </w:pPr>
      <w:r>
        <w:rPr>
          <w:rFonts w:ascii="Arial" w:cs="Arial" w:eastAsia="Arial" w:hAnsi="Arial"/>
          <w:sz w:val="22"/>
          <w:szCs w:val="22"/>
        </w:rPr>
        <w:t xml:space="preserve">The Python package exposes tricube.hash, tricube.hexdigest, tricube.xof, tricube.stream, tricube.self_test, and security_notice. The Python path is intended for scripting and vector checks; the C path is the primary implementation for battery testing and throughput work.</w:t>
      </w:r>
    </w:p>
    <w:p>
      <w:pPr>
        <w:spacing w:after="100" w:before="60"/>
        <w:jc w:val="both"/>
      </w:pPr>
      <w:r>
        <w:rPr>
          <w:rFonts w:ascii="Arial" w:cs="Arial" w:eastAsia="Arial" w:hAnsi="Arial"/>
          <w:sz w:val="22"/>
          <w:szCs w:val="22"/>
        </w:rPr>
        <w:t xml:space="preserve">The experimental fast8x stream entry points are implemented as a named opt-in variant in c/src/tricube_fast8x.c. They use 8 initialization rounds, 4 per-block stream rounds, a 256-byte stream rate, and an additional TriCube-family output mixing layer. Fast variants that reintroduced repeatable low-bit PractRand warnings were not promoted; see Section 6.4.</w:t>
      </w:r>
    </w:p>
    <w:p>
      <w:pPr>
        <w:pStyle w:val="Heading2"/>
        <w:spacing w:after="80" w:before="200"/>
      </w:pPr>
      <w:r>
        <w:rPr>
          <w:rFonts w:ascii="Arial" w:cs="Arial" w:eastAsia="Arial" w:hAnsi="Arial"/>
          <w:b/>
          <w:bCs/>
          <w:color w:val="2E5FA3"/>
          <w:sz w:val="24"/>
          <w:szCs w:val="24"/>
        </w:rPr>
        <w:t xml:space="preserve">4.2 Test Environment</w:t>
      </w:r>
    </w:p>
    <w:p>
      <w:pPr>
        <w:spacing w:after="100" w:before="60"/>
        <w:jc w:val="both"/>
      </w:pPr>
      <w:r>
        <w:rPr>
          <w:rFonts w:ascii="Arial" w:cs="Arial" w:eastAsia="Arial" w:hAnsi="Arial"/>
          <w:sz w:val="22"/>
          <w:szCs w:val="22"/>
        </w:rPr>
        <w:t xml:space="preserve">All results were collected on an Apple M4 Pro machine running macOS 15.5 (later local checks on macOS with Python 3.14). Full environment details are in Table 1. Throughput figures are specific to this hardware; statistical results should be consistent within sampling variance across platforms.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Parameter</w:t>
            </w:r>
          </w:p>
        </w:tc>
        <w:tc>
          <w:tcPr>
            <w:tcW w:type="dxa" w:w="76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Value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CPU</w:t>
            </w:r>
          </w:p>
        </w:tc>
        <w:tc>
          <w:tcPr>
            <w:tcW w:type="dxa" w:w="7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Apple M4 Pro (arm64), 12 logical / 12 physical cores</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Memory</w:t>
            </w:r>
          </w:p>
        </w:tc>
        <w:tc>
          <w:tcPr>
            <w:tcW w:type="dxa" w:w="76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48 GiB</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 Compiler</w:t>
            </w:r>
          </w:p>
        </w:tc>
        <w:tc>
          <w:tcPr>
            <w:tcW w:type="dxa" w:w="7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Apple clang 17.0.0, -std=c11 -O3 -DNDEBUG</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Python</w:t>
            </w:r>
          </w:p>
        </w:tc>
        <w:tc>
          <w:tcPr>
            <w:tcW w:type="dxa" w:w="76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CPython 3.13.2 (original runs); 3.14.3 (later checks)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pytest</w:t>
            </w:r>
          </w:p>
        </w:tc>
        <w:tc>
          <w:tcPr>
            <w:tcW w:type="dxa" w:w="7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9.0.3</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Test date</w:t>
            </w:r>
          </w:p>
        </w:tc>
        <w:tc>
          <w:tcPr>
            <w:tcW w:type="dxa" w:w="76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May 19-20, 2026</w:t>
            </w:r>
          </w:p>
        </w:tc>
      </w:tr>
    </w:tbl>
    <w:p>
      <w:pPr>
        <w:spacing w:after="160" w:before="60"/>
        <w:jc w:val="center"/>
      </w:pPr>
      <w:r>
        <w:rPr>
          <w:rFonts w:ascii="Arial" w:cs="Arial" w:eastAsia="Arial" w:hAnsi="Arial"/>
          <w:i/>
          <w:iCs/>
          <w:sz w:val="20"/>
          <w:szCs w:val="20"/>
        </w:rPr>
        <w:t xml:space="preserve">Table 1. Test environment summary.</w:t>
      </w:r>
    </w:p>
    <w:p>
      <w:pPr>
        <w:spacing w:after="100" w:before="60"/>
        <w:jc w:val="both"/>
      </w:pPr>
      <w:r>
        <w:rPr>
          <w:rFonts w:ascii="Arial" w:cs="Arial" w:eastAsia="Arial" w:hAnsi="Arial"/>
          <w:sz w:val="22"/>
          <w:szCs w:val="22"/>
        </w:rPr>
        <w:t xml:space="preserve">Key reproduction commands (relative to repository root):</w:t>
      </w:r>
    </w:p>
    <w:p>
      <w:pPr>
        <w:spacing w:after="40" w:before="40"/>
        <w:ind w:left="360" w:right="360"/>
      </w:pPr>
      <w:r>
        <w:rPr>
          <w:rFonts w:ascii="Courier New" w:cs="Courier New" w:eastAsia="Courier New" w:hAnsi="Courier New"/>
          <w:color w:val="333333"/>
          <w:sz w:val="18"/>
          <w:szCs w:val="18"/>
        </w:rPr>
        <w:t xml:space="preserve">.venv/bin/python -m pytest -q</w:t>
      </w:r>
    </w:p>
    <w:p>
      <w:pPr>
        <w:spacing w:after="40" w:before="40"/>
        <w:ind w:left="360" w:right="360"/>
      </w:pPr>
      <w:r>
        <w:rPr>
          <w:rFonts w:ascii="Courier New" w:cs="Courier New" w:eastAsia="Courier New" w:hAnsi="Courier New"/>
          <w:color w:val="333333"/>
          <w:sz w:val="18"/>
          <w:szCs w:val="18"/>
        </w:rPr>
        <w:t xml:space="preserve">python benchmarks/bench_stream.py --bytes 104857600</w:t>
      </w:r>
    </w:p>
    <w:p>
      <w:pPr>
        <w:spacing w:after="40" w:before="40"/>
        <w:ind w:left="360" w:right="360"/>
      </w:pPr>
      <w:r>
        <w:rPr>
          <w:rFonts w:ascii="Courier New" w:cs="Courier New" w:eastAsia="Courier New" w:hAnsi="Courier New"/>
          <w:color w:val="333333"/>
          <w:sz w:val="18"/>
          <w:szCs w:val="18"/>
        </w:rPr>
        <w:t xml:space="preserve">make -C c all</w:t>
      </w:r>
    </w:p>
    <w:p>
      <w:pPr>
        <w:spacing w:after="40" w:before="40"/>
        <w:ind w:left="360" w:right="360"/>
      </w:pPr>
      <w:r>
        <w:rPr>
          <w:rFonts w:ascii="Courier New" w:cs="Courier New" w:eastAsia="Courier New" w:hAnsi="Courier New"/>
          <w:color w:val="333333"/>
          <w:sz w:val="18"/>
          <w:szCs w:val="18"/>
        </w:rPr>
        <w:t xml:space="preserve">tools/run_practrand.sh 1073741824</w:t>
      </w:r>
    </w:p>
    <w:p>
      <w:pPr>
        <w:spacing w:after="100" w:before="60"/>
        <w:jc w:val="both"/>
      </w:pPr>
      <w:r>
        <w:rPr>
          <w:rFonts w:ascii="Arial" w:cs="Arial" w:eastAsia="Arial" w:hAnsi="Arial"/>
          <w:sz w:val="22"/>
          <w:szCs w:val="22"/>
        </w:rPr>
        <w:t xml:space="preserve">Full command listings and probe invocations are in Appendix A and in docs/testing.md.</w:t>
      </w:r>
    </w:p>
    <w:p>
      <w:pPr>
        <w:spacing w:after="80" w:before="0"/>
      </w:pPr>
    </w:p>
    <w:p>
      <w:pPr>
        <w:pStyle w:val="Heading1"/>
        <w:spacing w:after="120" w:before="280"/>
      </w:pPr>
      <w:r>
        <w:rPr>
          <w:rFonts w:ascii="Arial" w:cs="Arial" w:eastAsia="Arial" w:hAnsi="Arial"/>
          <w:b/>
          <w:bCs/>
          <w:color w:val="1F3864"/>
          <w:sz w:val="28"/>
          <w:szCs w:val="28"/>
        </w:rPr>
        <w:t xml:space="preserve">5. Empirical Evaluation</w:t>
      </w:r>
    </w:p>
    <w:p>
      <w:pPr>
        <w:pStyle w:val="Heading2"/>
        <w:spacing w:after="80" w:before="200"/>
      </w:pPr>
      <w:r>
        <w:rPr>
          <w:rFonts w:ascii="Arial" w:cs="Arial" w:eastAsia="Arial" w:hAnsi="Arial"/>
          <w:b/>
          <w:bCs/>
          <w:color w:val="2E5FA3"/>
          <w:sz w:val="24"/>
          <w:szCs w:val="24"/>
        </w:rPr>
        <w:t xml:space="preserve">5.1 Unit Tests</w:t>
      </w:r>
    </w:p>
    <w:p>
      <w:pPr>
        <w:spacing w:after="100" w:before="60"/>
        <w:jc w:val="both"/>
      </w:pPr>
      <w:r>
        <w:rPr>
          <w:rFonts w:ascii="Arial" w:cs="Arial" w:eastAsia="Arial" w:hAnsi="Arial"/>
          <w:sz w:val="22"/>
          <w:szCs w:val="22"/>
        </w:rPr>
        <w:t xml:space="preserve">The Python and C test suites verify byte-level correctness against expected-output test vectors: expected outputs for all implementation variants, byte-by-byte agreement between the Python and C paths, and invariant properties (non-zero output, distinct seeds produce distinct output, correct output length). Result: 15 tests passed in 4.90 seconds; no failures, errors, or skips.</w:t>
      </w:r>
    </w:p>
    <w:p>
      <w:pPr>
        <w:pStyle w:val="Heading2"/>
        <w:spacing w:after="80" w:before="200"/>
      </w:pPr>
      <w:r>
        <w:rPr>
          <w:rFonts w:ascii="Arial" w:cs="Arial" w:eastAsia="Arial" w:hAnsi="Arial"/>
          <w:b/>
          <w:bCs/>
          <w:color w:val="2E5FA3"/>
          <w:sz w:val="24"/>
          <w:szCs w:val="24"/>
        </w:rPr>
        <w:t xml:space="preserve">5.2 Internal Statistical Benchmarks</w:t>
      </w:r>
    </w:p>
    <w:p>
      <w:pPr>
        <w:spacing w:after="100" w:before="60"/>
        <w:jc w:val="both"/>
      </w:pPr>
      <w:r>
        <w:rPr>
          <w:rFonts w:ascii="Arial" w:cs="Arial" w:eastAsia="Arial" w:hAnsi="Arial"/>
          <w:sz w:val="22"/>
          <w:szCs w:val="22"/>
        </w:rPr>
        <w:t xml:space="preserve">The internal benchmark measures throughput, byte entropy (Shannon H(X) over all 256 byte values; maximum 8.000 bits/byte), bit balance, serial correlation at lag 1 (Pearson rho1), and avalanche mean. Slow reference paths were capped at 65,536 bytes; production paths at 1,048,576 bytes; the fast8x entry at 16,777,216 bytes.</w:t>
      </w:r>
    </w:p>
    <w:p>
      <w:pPr>
        <w:spacing w:after="100" w:before="60"/>
        <w:jc w:val="both"/>
      </w:pPr>
      <w:r>
        <w:rPr>
          <w:rFonts w:ascii="Arial" w:cs="Arial" w:eastAsia="Arial" w:hAnsi="Arial"/>
          <w:sz w:val="22"/>
          <w:szCs w:val="22"/>
        </w:rPr>
        <w:t xml:space="preserve">All variants passed all sanity gates. Entropy ranged 7.997-8.000 bits/byte; bit balance was within 0.001 of 0.5; |rho1| was below 0.005; avalanche mean ranged 0.495-0.504; no repeated 32-byte blocks were observed. Table 2 shows the full results.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700"/>
        <w:gridCol w:w="700"/>
        <w:gridCol w:w="700"/>
        <w:gridCol w:w="700"/>
        <w:gridCol w:w="800"/>
      </w:tblGrid>
      <w:tr>
        <w:tc>
          <w:tcPr>
            <w:tcW w:type="dxa" w:w="24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Generator</w:t>
            </w:r>
          </w:p>
        </w:tc>
        <w:tc>
          <w:tcPr>
            <w:tcW w:type="dxa" w:w="9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Bytes</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MiB/s</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Entropy</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Bit Bal.</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Serial r</w:t>
            </w:r>
          </w:p>
        </w:tc>
        <w:tc>
          <w:tcPr>
            <w:tcW w:type="dxa" w:w="8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Avalanche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tricube_tc256_xof</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65,536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22.37</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7.9969</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0.4998</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0.000985</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tricube_tc256_xof_fast</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74.90</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0.4999</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0.000759</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0.502</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tricube_geo256_chain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65,536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0.12</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7.9972</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0.4997</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0.001813</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0.495</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tricube_geo256_chain_fast</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62.35</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0.5000</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0.000753</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tricube_tetra_block256_chain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10.67</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0.4998</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-0.000870</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0.504</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tricube_tetra_block256_fast</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57.67</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0.5001</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0.000616</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tricube_tetra_block256_native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65,536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0.059</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7.9969</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0.4993</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-0.004718</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0.504</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legacy native prototype</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0.23</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0.4999</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-0.001290</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0.501</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standalone C baseline</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44.30</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0.4999</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-0.001290</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0.501</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sha256_counter_chain (ctrl)</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1,048,576</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48.11</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7.9998</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0.5001</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0.000219</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tricube_fast8x_stream_c</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16,777,216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132.65</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7.9999</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0.499993</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0.000102</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0.500</w:t>
            </w:r>
          </w:p>
        </w:tc>
      </w:tr>
    </w:tbl>
    <w:p>
      <w:pPr>
        <w:spacing w:after="160" w:before="60"/>
        <w:jc w:val="center"/>
      </w:pPr>
      <w:r>
        <w:rPr>
          <w:rFonts w:ascii="Arial" w:cs="Arial" w:eastAsia="Arial" w:hAnsi="Arial"/>
          <w:i/>
          <w:iCs/>
          <w:sz w:val="20"/>
          <w:szCs w:val="20"/>
        </w:rPr>
        <w:t xml:space="preserve">Table 2. Internal statistical benchmark. All variants passed. Entropy rounded to 4 decimal places; full precision in the artifact record.</w:t>
      </w:r>
    </w:p>
    <w:p>
      <w:pPr>
        <w:pStyle w:val="Heading2"/>
        <w:spacing w:after="80" w:before="200"/>
      </w:pPr>
      <w:r>
        <w:rPr>
          <w:rFonts w:ascii="Arial" w:cs="Arial" w:eastAsia="Arial" w:hAnsi="Arial"/>
          <w:b/>
          <w:bCs/>
          <w:color w:val="2E5FA3"/>
          <w:sz w:val="24"/>
          <w:szCs w:val="24"/>
        </w:rPr>
        <w:t xml:space="preserve">5.3 Throughput</w:t>
      </w:r>
    </w:p>
    <w:p>
      <w:pPr>
        <w:spacing w:after="100" w:before="60"/>
        <w:jc w:val="both"/>
      </w:pPr>
      <w:r>
        <w:rPr>
          <w:rFonts w:ascii="Arial" w:cs="Arial" w:eastAsia="Arial" w:hAnsi="Arial"/>
          <w:sz w:val="22"/>
          <w:szCs w:val="22"/>
        </w:rPr>
        <w:t xml:space="preserve">The released C baseline measured 69.796 MiB/s and the experimental fast8x stream variant measured 132.655 MiB/s, both on a 256 MiB stream run in the C ablation harness on the Apple M4 Pro. A 64 MiB branch smoke check measured 73.067 MiB/s (baseline) and 130.940 MiB/s (fast8x). Earlier Python-harness runs (100 MiB) are recorded in the artifact index (Appendix B) for provenance; the fastest Python variant (tricube_tc256_xof_fast) measured 82.219 MiB/s in that harness, compared with 48.598 MiB/s for the sha256_counter_chain control. Those figures reflect Python-path overhead and are not comparable to native C throughput. Optimized production implementations of BLAKE3, SHA-2, and SHA-3 operate well above these figures.</w:t>
      </w:r>
    </w:p>
    <w:p>
      <w:pPr>
        <w:pStyle w:val="Heading2"/>
        <w:spacing w:after="80" w:before="200"/>
      </w:pPr>
      <w:r>
        <w:rPr>
          <w:rFonts w:ascii="Arial" w:cs="Arial" w:eastAsia="Arial" w:hAnsi="Arial"/>
          <w:b/>
          <w:bCs/>
          <w:color w:val="2E5FA3"/>
          <w:sz w:val="24"/>
          <w:szCs w:val="24"/>
        </w:rPr>
        <w:t xml:space="preserve">5.4 fast8x Stream Variant</w:t>
      </w:r>
    </w:p>
    <w:p>
      <w:pPr>
        <w:spacing w:after="100" w:before="60"/>
        <w:jc w:val="both"/>
      </w:pPr>
      <w:r>
        <w:rPr>
          <w:rFonts w:ascii="Arial" w:cs="Arial" w:eastAsia="Arial" w:hAnsi="Arial"/>
          <w:sz w:val="22"/>
          <w:szCs w:val="22"/>
        </w:rPr>
        <w:t xml:space="preserve">After the original evaluation, a private ablation pass tested faster stream/XOF paths. fast8x is the only optimized candidate added to the public branch. It uses a separate stream domain tag and must be requested explicitly with --variant fast8x.</w:t>
      </w:r>
    </w:p>
    <w:p>
      <w:pPr>
        <w:spacing w:after="100" w:before="60"/>
        <w:jc w:val="both"/>
      </w:pPr>
      <w:r>
        <w:rPr>
          <w:rFonts w:ascii="Arial" w:cs="Arial" w:eastAsia="Arial" w:hAnsi="Arial"/>
          <w:sz w:val="22"/>
          <w:szCs w:val="22"/>
        </w:rPr>
        <w:t xml:space="preserve">The ablation record lists fast8x as clean through PractRand 1 GiB (one seed), SmokeRand express 7/7, TestU01 SmallCrush 15/15, and 16 MiB internal sanity probes with no repeated 32-byte blocks. Multi-seed 10 GiB PractRand testing has not been done and is a required next step before any stronger claim. Faster variants that failed low-bit PractRand screens were not promoted: fast8x_batch (311.98 MiB/s, FPF low-bit failures), fast8x_wide (285.71 MiB/s, very suspicious low-bit rows), and fast8x512 (230.74 MiB/s, recurring low-bit warnings).</w:t>
      </w:r>
    </w:p>
    <w:p>
      <w:pPr>
        <w:pStyle w:val="Heading2"/>
        <w:spacing w:after="80" w:before="200"/>
      </w:pPr>
      <w:r>
        <w:rPr>
          <w:rFonts w:ascii="Arial" w:cs="Arial" w:eastAsia="Arial" w:hAnsi="Arial"/>
          <w:b/>
          <w:bCs/>
          <w:color w:val="2E5FA3"/>
          <w:sz w:val="24"/>
          <w:szCs w:val="24"/>
        </w:rPr>
        <w:t xml:space="preserve">5.5 Structural Gap Checks</w:t>
      </w:r>
    </w:p>
    <w:p>
      <w:pPr>
        <w:spacing w:after="100" w:before="60"/>
        <w:jc w:val="both"/>
      </w:pPr>
      <w:r>
        <w:rPr>
          <w:rFonts w:ascii="Arial" w:cs="Arial" w:eastAsia="Arial" w:hAnsi="Arial"/>
          <w:sz w:val="22"/>
          <w:szCs w:val="22"/>
        </w:rPr>
        <w:t xml:space="preserve">Structural property checks were run on the Python path. All passed under the tested budgets (Table 3).</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980"/>
      </w:tblGrid>
      <w:tr>
        <w:tc>
          <w:tcPr>
            <w:tcW w:type="dxa" w:w="24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Check</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Result</w:t>
            </w:r>
          </w:p>
        </w:tc>
        <w:tc>
          <w:tcPr>
            <w:tcW w:type="dxa" w:w="69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Key Measurement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Full-digest collision smoke</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6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20,000 pairs; 0 full collisions, 0 prefix-64 collisions (73.98 s)</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Low-weight input</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69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2,561 unique outputs; Hamming min/mean/max = 103/128.3/150 (9.42 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Sampled near-collision dist.</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6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4,096 pairs; delta-bits min/mean/max = 103/128.2/157 (33.64 s)</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Domain-tweak separation</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69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5 tweaks; min pairwise Hamming = 121</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Bit-influence spread</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6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mean flip p = 0.501; range 0.426-0.570</w:t>
            </w:r>
          </w:p>
        </w:tc>
      </w:tr>
      <w:tr>
        <w:tc>
          <w:tcPr>
            <w:tcW w:type="dxa" w:w="2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Overlap/fork stream uniqueness</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69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 streams x 262,144 blocks; 0 overlapping 32-byte blocks (0.26 s)</w:t>
            </w:r>
          </w:p>
        </w:tc>
      </w:tr>
    </w:tbl>
    <w:p>
      <w:pPr>
        <w:spacing w:after="160" w:before="60"/>
        <w:jc w:val="center"/>
      </w:pPr>
      <w:r>
        <w:rPr>
          <w:rFonts w:ascii="Arial" w:cs="Arial" w:eastAsia="Arial" w:hAnsi="Arial"/>
          <w:i/>
          <w:iCs/>
          <w:sz w:val="20"/>
          <w:szCs w:val="20"/>
        </w:rPr>
        <w:t xml:space="preserve">Table 3. Structural gap checks. These are sanity screens; they do not model differential trails or provide security bounds.</w:t>
      </w:r>
    </w:p>
    <w:p>
      <w:pPr>
        <w:pStyle w:val="Heading2"/>
        <w:spacing w:after="80" w:before="200"/>
      </w:pPr>
      <w:r>
        <w:rPr>
          <w:rFonts w:ascii="Arial" w:cs="Arial" w:eastAsia="Arial" w:hAnsi="Arial"/>
          <w:b/>
          <w:bCs/>
          <w:color w:val="2E5FA3"/>
          <w:sz w:val="24"/>
          <w:szCs w:val="24"/>
        </w:rPr>
        <w:t xml:space="preserve">5.6 Black-Box Development Probes</w:t>
      </w:r>
    </w:p>
    <w:p>
      <w:pPr>
        <w:spacing w:after="100" w:before="60"/>
        <w:jc w:val="both"/>
      </w:pPr>
      <w:r>
        <w:rPr>
          <w:rFonts w:ascii="Arial" w:cs="Arial" w:eastAsia="Arial" w:hAnsi="Arial"/>
          <w:sz w:val="22"/>
          <w:szCs w:val="22"/>
        </w:rPr>
        <w:t xml:space="preserve">The probes below use observable input/output behavior only. They detect gross structural weaknesses but do not bound differential trail probability, prove rotational security, perform SAT/MILP or algebraic analysis, or prove state-recovery resistance. That context applies to all results in this subsection and is not repeated per table.</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Differential diffusion and rotational relation.</w:t>
      </w:r>
      <w:r>
        <w:rPr>
          <w:rFonts w:ascii="Arial" w:cs="Arial" w:eastAsia="Arial" w:hAnsi="Arial"/>
          <w:sz w:val="22"/>
          <w:szCs w:val="22"/>
        </w:rPr>
        <w:t xml:space="preserve"> Both probes ran 36 cases each (6 delta patterns or rotation amounts x 6 round counts, 2,048 samples per case). Results are in Table 4.</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2000"/>
        <w:gridCol w:w="2680"/>
        <w:gridCol w:w="700"/>
      </w:tblGrid>
      <w:tr>
        <w:tc>
          <w:tcPr>
            <w:tcW w:type="dxa" w:w="21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Probe</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Cases</w:t>
            </w:r>
          </w:p>
        </w:tc>
        <w:tc>
          <w:tcPr>
            <w:tcW w:type="dxa" w:w="20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Mean Distance Range</w:t>
            </w:r>
          </w:p>
        </w:tc>
        <w:tc>
          <w:tcPr>
            <w:tcW w:type="dxa" w:w="26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Extreme Events</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Runtime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Differential diffusion (delta-bits)</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127.7-128.3 bits</w:t>
            </w:r>
          </w:p>
        </w:tc>
        <w:tc>
          <w:tcPr>
            <w:tcW w:type="dxa" w:w="2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max bias 0.043; 0 repeated diffs</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386.5 s</w:t>
            </w:r>
          </w:p>
        </w:tc>
      </w:tr>
      <w:tr>
        <w:tc>
          <w:tcPr>
            <w:tcW w:type="dxa" w:w="21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Rotational relation</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36</w:t>
            </w:r>
          </w:p>
        </w:tc>
        <w:tc>
          <w:tcPr>
            <w:tcW w:type="dxa" w:w="2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127.6-128.3 bits</w:t>
            </w:r>
          </w:p>
        </w:tc>
        <w:tc>
          <w:tcPr>
            <w:tcW w:type="dxa" w:w="26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 exact rotational relations</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393.8 s</w:t>
            </w:r>
          </w:p>
        </w:tc>
      </w:tr>
    </w:tbl>
    <w:p>
      <w:pPr>
        <w:spacing w:after="160" w:before="60"/>
        <w:jc w:val="center"/>
      </w:pPr>
      <w:r>
        <w:rPr>
          <w:rFonts w:ascii="Arial" w:cs="Arial" w:eastAsia="Arial" w:hAnsi="Arial"/>
          <w:i/>
          <w:iCs/>
          <w:sz w:val="20"/>
          <w:szCs w:val="20"/>
        </w:rPr>
        <w:t xml:space="preserve">Table 4. Black-box differential diffusion and rotational relation probes, both PASS. Combined reduced-round screen across 72 cases also returned all PASS.</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Algebraic degree screen.</w:t>
      </w:r>
      <w:r>
        <w:rPr>
          <w:rFonts w:ascii="Arial" w:cs="Arial" w:eastAsia="Arial" w:hAnsi="Arial"/>
          <w:sz w:val="22"/>
          <w:szCs w:val="22"/>
        </w:rPr>
        <w:t xml:space="preserve"> Sampled Boolean degree over 10 input variables at six round counts. Degree was near the 10-variable ceiling at all rounds; zero low-degree outputs were detected (Table 5).</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200"/>
        <w:gridCol w:w="1500"/>
        <w:gridCol w:w="4180"/>
      </w:tblGrid>
      <w:tr>
        <w:tc>
          <w:tcPr>
            <w:tcW w:type="dxa" w:w="9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Rounds</w:t>
            </w:r>
          </w:p>
        </w:tc>
        <w:tc>
          <w:tcPr>
            <w:tcW w:type="dxa" w:w="11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Min Degree</w:t>
            </w:r>
          </w:p>
        </w:tc>
        <w:tc>
          <w:tcPr>
            <w:tcW w:type="dxa" w:w="1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Mean Degree</w:t>
            </w:r>
          </w:p>
        </w:tc>
        <w:tc>
          <w:tcPr>
            <w:tcW w:type="dxa" w:w="1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Max Degree</w:t>
            </w:r>
          </w:p>
        </w:tc>
        <w:tc>
          <w:tcPr>
            <w:tcW w:type="dxa" w:w="15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Low-deg Outputs</w:t>
            </w:r>
          </w:p>
        </w:tc>
        <w:tc>
          <w:tcPr>
            <w:tcW w:type="dxa" w:w="41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Runtime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9.578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4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1.66 s</w:t>
            </w:r>
          </w:p>
        </w:tc>
      </w:tr>
      <w:tr>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11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9.531</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5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41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1.78 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9.516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4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2.06 s</w:t>
            </w:r>
          </w:p>
        </w:tc>
      </w:tr>
      <w:tr>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8</w:t>
            </w:r>
          </w:p>
        </w:tc>
        <w:tc>
          <w:tcPr>
            <w:tcW w:type="dxa" w:w="11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9.531</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5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41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2.61 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9.523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4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3.20 s</w:t>
            </w:r>
          </w:p>
        </w:tc>
      </w:tr>
      <w:tr>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16</w:t>
            </w:r>
          </w:p>
        </w:tc>
        <w:tc>
          <w:tcPr>
            <w:tcW w:type="dxa" w:w="11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9.359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5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41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4.04 s</w:t>
            </w:r>
          </w:p>
        </w:tc>
      </w:tr>
    </w:tbl>
    <w:p>
      <w:pPr>
        <w:spacing w:after="160" w:before="60"/>
        <w:jc w:val="center"/>
      </w:pPr>
      <w:r>
        <w:rPr>
          <w:rFonts w:ascii="Arial" w:cs="Arial" w:eastAsia="Arial" w:hAnsi="Arial"/>
          <w:i/>
          <w:iCs/>
          <w:sz w:val="20"/>
          <w:szCs w:val="20"/>
        </w:rPr>
        <w:t xml:space="preserve">Table 5. Small black-box algebraic degree screen (10 variables, 128 output bits). All rounds passed; 10 variables is a coarse budget.</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State-recovery/predictability screen.</w:t>
      </w:r>
      <w:r>
        <w:rPr>
          <w:rFonts w:ascii="Arial" w:cs="Arial" w:eastAsia="Arial" w:hAnsi="Arial"/>
          <w:sz w:val="22"/>
          <w:szCs w:val="22"/>
        </w:rPr>
        <w:t xml:space="preserve"> A next-byte predictor trained on 2 MiB achieved accuracy 0.00396 (chance baseline 1/256 = 0.00391). Bit accuracy was 0.50009. Berlekamp-Massey linear complexity ratio was 0.5000, consistent with a non-linear sequence.</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Overlap/fork extended screen.</w:t>
      </w:r>
      <w:r>
        <w:rPr>
          <w:rFonts w:ascii="Arial" w:cs="Arial" w:eastAsia="Arial" w:hAnsi="Arial"/>
          <w:sz w:val="22"/>
          <w:szCs w:val="22"/>
        </w:rPr>
        <w:t xml:space="preserve"> No overlapping 32-byte blocks across 4 streams x 524,288 blocks (4 MiB each); mean prefix Hamming was 4,074 bits.</w:t>
      </w:r>
    </w:p>
    <w:p>
      <w:pPr>
        <w:spacing w:after="40" w:before="120"/>
        <w:jc w:val="center"/>
      </w:pPr>
      <w:r>
        <w:drawing>
          <wp:inline distT="0" distB="0" distL="0" distR="0">
            <wp:extent cx="5334000" cy="2933700"/>
            <wp:effectExtent t="0" r="0" b="0" l="0"/>
            <wp:docPr id="1" name="Figure 4. Black-box probe dashboard: six panels covering differential diffusion, rotational relation, algebraic degree, state-recovery, PractRand R-stat timeline (with WARN annotation), and probe summary (all PASS)." descr="Figure 4. Black-box probe dashboard: six panels covering differential diffusion, rotational relation, algebraic degree, state-recovery, PractRand R-stat timeline (with WARN annotation), and probe summary (all PASS)." title="Figure 4. Black-box probe dashboard: six panels covering differential diffusion, rotational relation, algebraic degree, state-recovery, PractRand R-stat timeline (with WARN annotation), and probe summary (all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337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4. Black-box probe dashboard: six panels covering differential diffusion, rotational relation, algebraic degree, state-recovery, PractRand R-stat timeline (with WARN annotation), and probe summary (all PASS).</w:t>
      </w:r>
    </w:p>
    <w:p>
      <w:pPr>
        <w:spacing w:after="80" w:before="0"/>
      </w:pPr>
    </w:p>
    <w:p>
      <w:pPr>
        <w:pStyle w:val="Heading2"/>
        <w:spacing w:after="80" w:before="200"/>
      </w:pPr>
      <w:r>
        <w:rPr>
          <w:rFonts w:ascii="Arial" w:cs="Arial" w:eastAsia="Arial" w:hAnsi="Arial"/>
          <w:b/>
          <w:bCs/>
          <w:color w:val="2E5FA3"/>
          <w:sz w:val="24"/>
          <w:szCs w:val="24"/>
        </w:rPr>
        <w:t xml:space="preserve">5.7 White-Box Round-Model Check</w:t>
      </w:r>
    </w:p>
    <w:p>
      <w:pPr>
        <w:spacing w:after="100" w:before="60"/>
        <w:jc w:val="both"/>
      </w:pPr>
      <w:r>
        <w:rPr>
          <w:rFonts w:ascii="Arial" w:cs="Arial" w:eastAsia="Arial" w:hAnsi="Arial"/>
          <w:sz w:val="22"/>
          <w:szCs w:val="22"/>
        </w:rPr>
        <w:t xml:space="preserve">The branch includes a first white-box schedule model in tests/crypto_analysis/screens/whitebox_round_model.py. Unlike the black-box probes, this script reads the specified tetrahedron, edge, shell, and lane-permutation rules directly and tracks word-level dependency: which original 64-bit lanes can influence which later lanes after each round.</w:t>
      </w:r>
    </w:p>
    <w:p>
      <w:pPr>
        <w:spacing w:after="100" w:before="60"/>
        <w:jc w:val="both"/>
      </w:pPr>
      <w:r>
        <w:rPr>
          <w:rFonts w:ascii="Arial" w:cs="Arial" w:eastAsia="Arial" w:hAnsi="Arial"/>
          <w:sz w:val="22"/>
          <w:szCs w:val="22"/>
        </w:rPr>
        <w:t xml:space="preserve">The 24-round local run reports 48 tetrahedral neighborhoods and 54 edge neighborhoods per round. All tracked state lanes reached full 32-lane dependency by round 2; the first 32 output bytes also reached full 32-lane dependency by round 2. Shell vertex and opposite-lane schedules touch all 27 vertex lanes over the 24-round schedule period; edge and permutation layers use all rotation counts 1 through 61.</w:t>
      </w:r>
    </w:p>
    <w:p>
      <w:pPr>
        <w:spacing w:after="100" w:before="60"/>
        <w:jc w:val="both"/>
      </w:pPr>
      <w:r>
        <w:rPr>
          <w:rFonts w:ascii="Arial" w:cs="Arial" w:eastAsia="Arial" w:hAnsi="Arial"/>
          <w:sz w:val="22"/>
          <w:szCs w:val="22"/>
        </w:rPr>
        <w:t xml:space="preserve">This is word-level reachability evidence, useful for confirming that the schedule has no obvious coverage gaps. It is not a differential trail search, rotational analysis, algebraic model, SAT/MILP result, or state-recovery bound.</w:t>
      </w:r>
    </w:p>
    <w:p>
      <w:pPr>
        <w:pStyle w:val="Heading2"/>
        <w:spacing w:after="80" w:before="200"/>
      </w:pPr>
      <w:r>
        <w:rPr>
          <w:rFonts w:ascii="Arial" w:cs="Arial" w:eastAsia="Arial" w:hAnsi="Arial"/>
          <w:b/>
          <w:bCs/>
          <w:color w:val="2E5FA3"/>
          <w:sz w:val="24"/>
          <w:szCs w:val="24"/>
        </w:rPr>
        <w:t xml:space="preserve">5.8 External Statistical Batteries</w:t>
      </w:r>
    </w:p>
    <w:p>
      <w:pPr>
        <w:spacing w:after="100" w:before="60"/>
        <w:jc w:val="both"/>
      </w:pPr>
      <w:r>
        <w:rPr>
          <w:rFonts w:ascii="Arial" w:cs="Arial" w:eastAsia="Arial" w:hAnsi="Arial"/>
          <w:sz w:val="22"/>
          <w:szCs w:val="22"/>
        </w:rPr>
        <w:t xml:space="preserve">External statistical batteries check for deviations from true-random behavior at increasing data volumes. Passing batteries at moderate volumes is consistent with, but does not establish, cryptographic quality [10]. All primary battery runs used the standalone C binary via stdin32 adapter.</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900"/>
        <w:gridCol w:w="800"/>
        <w:gridCol w:w="2280"/>
      </w:tblGrid>
      <w:tr>
        <w:tc>
          <w:tcPr>
            <w:tcW w:type="dxa" w:w="18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Battery</w:t>
            </w:r>
          </w:p>
        </w:tc>
        <w:tc>
          <w:tcPr>
            <w:tcW w:type="dxa" w:w="1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Generator</w:t>
            </w:r>
          </w:p>
        </w:tc>
        <w:tc>
          <w:tcPr>
            <w:tcW w:type="dxa" w:w="7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Status</w:t>
            </w:r>
          </w:p>
        </w:tc>
        <w:tc>
          <w:tcPr>
            <w:tcW w:type="dxa" w:w="9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Volume</w:t>
            </w:r>
          </w:p>
        </w:tc>
        <w:tc>
          <w:tcPr>
            <w:tcW w:type="dxa" w:w="8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Runtime</w:t>
            </w:r>
          </w:p>
        </w:tc>
        <w:tc>
          <w:tcPr>
            <w:tcW w:type="dxa" w:w="22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Summary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Dieharder (full)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 baseline</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TiB</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~75 s</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109P / 2W / 0F across 111 assessments</w:t>
            </w:r>
          </w:p>
        </w:tc>
      </w:tr>
      <w:tr>
        <w:tc>
          <w:tcPr>
            <w:tcW w:type="dxa" w:w="1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TestU01 Crush</w:t>
            </w:r>
          </w:p>
        </w:tc>
        <w:tc>
          <w:tcPr>
            <w:tcW w:type="dxa" w:w="1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 baseline</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~multi-GiB</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26m 22s</w:t>
            </w:r>
          </w:p>
        </w:tc>
        <w:tc>
          <w:tcPr>
            <w:tcW w:type="dxa" w:w="22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144 tests, 186 p-values, 0 failed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PractRand 128 MiB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 baseline</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128 MiB</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3.1 s</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 stdout anomalies; SIGPIPE exit only</w:t>
            </w:r>
          </w:p>
        </w:tc>
      </w:tr>
      <w:tr>
        <w:tc>
          <w:tcPr>
            <w:tcW w:type="dxa" w:w="1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PractRand 1 GiB</w:t>
            </w:r>
          </w:p>
        </w:tc>
        <w:tc>
          <w:tcPr>
            <w:tcW w:type="dxa" w:w="1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 baseline</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WARN</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GiB</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152 s</w:t>
            </w:r>
          </w:p>
        </w:tc>
        <w:tc>
          <w:tcPr>
            <w:tcW w:type="dxa" w:w="22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Real NS3 low-bit anomalies at 1 MiB and 512 MiB</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PractRand 64 MiB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tricube_geo256_fast</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64 MiB</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1.8 s</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 anomalies</w:t>
            </w:r>
          </w:p>
        </w:tc>
      </w:tr>
      <w:tr>
        <w:tc>
          <w:tcPr>
            <w:tcW w:type="dxa" w:w="1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PractRand 64 MiB</w:t>
            </w:r>
          </w:p>
        </w:tc>
        <w:tc>
          <w:tcPr>
            <w:tcW w:type="dxa" w:w="1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sha256_counter_chain</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64 MiB</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1.9 s</w:t>
            </w:r>
          </w:p>
        </w:tc>
        <w:tc>
          <w:tcPr>
            <w:tcW w:type="dxa" w:w="22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No stdout anomalies; SIGPIPE exit only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PractRand 1 GiB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fast8x</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GiB</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ablation</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Single seed; multi-seed extended testing not done</w:t>
            </w:r>
          </w:p>
        </w:tc>
      </w:tr>
      <w:tr>
        <w:tc>
          <w:tcPr>
            <w:tcW w:type="dxa" w:w="1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SmokeRand express</w:t>
            </w:r>
          </w:p>
        </w:tc>
        <w:tc>
          <w:tcPr>
            <w:tcW w:type="dxa" w:w="1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fast8x</w:t>
            </w:r>
          </w:p>
        </w:tc>
        <w:tc>
          <w:tcPr>
            <w:tcW w:type="dxa" w:w="7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express</w:t>
            </w:r>
          </w:p>
        </w:tc>
        <w:tc>
          <w:tcPr>
            <w:tcW w:type="dxa" w:w="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ablation</w:t>
            </w:r>
          </w:p>
        </w:tc>
        <w:tc>
          <w:tcPr>
            <w:tcW w:type="dxa" w:w="22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7/7 tests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TestU01 SmallCrush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fast8x</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15 tests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ablation</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15/15 tests</w:t>
            </w:r>
          </w:p>
        </w:tc>
      </w:tr>
    </w:tbl>
    <w:p>
      <w:pPr>
        <w:spacing w:after="160" w:before="60"/>
        <w:jc w:val="center"/>
      </w:pPr>
      <w:r>
        <w:rPr>
          <w:rFonts w:ascii="Arial" w:cs="Arial" w:eastAsia="Arial" w:hAnsi="Arial"/>
          <w:i/>
          <w:iCs/>
          <w:sz w:val="20"/>
          <w:szCs w:val="20"/>
        </w:rPr>
        <w:t xml:space="preserve">Table 6. External battery summary. PASS* = no statistical anomalies; WARN exit from SIGPIPE is a harness artifact. The PractRand 1 GiB WARN is a real statistical finding.</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Dieharder.</w:t>
      </w:r>
      <w:r>
        <w:rPr>
          <w:rFonts w:ascii="Arial" w:cs="Arial" w:eastAsia="Arial" w:hAnsi="Arial"/>
          <w:sz w:val="22"/>
          <w:szCs w:val="22"/>
        </w:rPr>
        <w:t xml:space="preserve"> The complete run (3.31.2beta, ~1 TiB input) produced 109 PASSED, 2 WEAK, 0 FAILED across 111 assessments. Both WEAK results are sts_serial at ntuple 15 (p=0.99994) and ntuple 16 (p=0.99636). With 111 tests at a 0.005 tail threshold, the expected count of WEAK results is approximately 1.1; observing 2 is within normal variation. Mean p-value: 0.2299 (stddev 0.1487, error rate 0.0). The per-test-family breakdown is in Appendix B.</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TestU01 Crush.</w:t>
      </w:r>
      <w:r>
        <w:rPr>
          <w:rFonts w:ascii="Arial" w:cs="Arial" w:eastAsia="Arial" w:hAnsi="Arial"/>
          <w:sz w:val="22"/>
          <w:szCs w:val="22"/>
        </w:rPr>
        <w:t xml:space="preserve"> Full Crush (144 tests) was completed. Of 186 individual p-values, none fell below 0.001 or above 0.999 (range: 0.003-0.998). CPU time: 26m 22s. The battery reported "All tests were passed."</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PractRand 1 GiB -- WARN.</w:t>
      </w:r>
      <w:r>
        <w:rPr>
          <w:rFonts w:ascii="Arial" w:cs="Arial" w:eastAsia="Arial" w:hAnsi="Arial"/>
          <w:sz w:val="22"/>
          <w:szCs w:val="22"/>
        </w:rPr>
        <w:t xml:space="preserve"> The 1 GiB run produced the anomalies shown in Table 7. The final 1 GiB checkpoint was clean, but that does not resolve the intermediate findings: PractRand can show anomalies at intermediate volumes when the statistical signal is weak relative to the sample size at larger checkpoints.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900"/>
        <w:gridCol w:w="1580"/>
      </w:tblGrid>
      <w:tr>
        <w:tc>
          <w:tcPr>
            <w:tcW w:type="dxa" w:w="9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Data Level</w:t>
            </w:r>
          </w:p>
        </w:tc>
        <w:tc>
          <w:tcPr>
            <w:tcW w:type="dxa" w:w="28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Test ID</w:t>
            </w:r>
          </w:p>
        </w:tc>
        <w:tc>
          <w:tcPr>
            <w:tcW w:type="dxa" w:w="9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Statistic</w:t>
            </w:r>
          </w:p>
        </w:tc>
        <w:tc>
          <w:tcPr>
            <w:tcW w:type="dxa" w:w="9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p-value</w:t>
            </w:r>
          </w:p>
        </w:tc>
        <w:tc>
          <w:tcPr>
            <w:tcW w:type="dxa" w:w="15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Assessment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MiB</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[Low1/64]NS3[2:hw:both]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R=+5.1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~1.4e-7</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suspicious</w:t>
            </w:r>
          </w:p>
        </w:tc>
      </w:tr>
      <w:tr>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MiB</w:t>
            </w:r>
          </w:p>
        </w:tc>
        <w:tc>
          <w:tcPr>
            <w:tcW w:type="dxa" w:w="2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[Low1/64]NS3[2:hw:all-]</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R=+4.4</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~1.9e-6</w:t>
            </w:r>
          </w:p>
        </w:tc>
        <w:tc>
          <w:tcPr>
            <w:tcW w:type="dxa" w:w="15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unusual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MiB</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[Low4/32]NS3[4:hw:both]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R=+4.9</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~3.8e-7</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mildly suspicious</w:t>
            </w:r>
          </w:p>
        </w:tc>
      </w:tr>
      <w:tr>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MiB</w:t>
            </w:r>
          </w:p>
        </w:tc>
        <w:tc>
          <w:tcPr>
            <w:tcW w:type="dxa" w:w="2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[Low4/32]NS3[4:hw:all-]</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R=+4.0</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~1.2e-5</w:t>
            </w:r>
          </w:p>
        </w:tc>
        <w:tc>
          <w:tcPr>
            <w:tcW w:type="dxa" w:w="15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unusual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 MiB</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[Low1/64]NS3[2:hw:both]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R=+4.1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~1.7e-5</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unusual</w:t>
            </w:r>
          </w:p>
        </w:tc>
      </w:tr>
      <w:tr>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512 MiB</w:t>
            </w:r>
          </w:p>
        </w:tc>
        <w:tc>
          <w:tcPr>
            <w:tcW w:type="dxa" w:w="28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[Low1/32]NS3[1:pd:both]</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R=+4.0</w:t>
            </w:r>
          </w:p>
        </w:tc>
        <w:tc>
          <w:tcPr>
            <w:tcW w:type="dxa" w:w="9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~3.5e-5</w:t>
            </w:r>
          </w:p>
        </w:tc>
        <w:tc>
          <w:tcPr>
            <w:tcW w:type="dxa" w:w="15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unusual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 GiB</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(final checkpoint)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no anomalies in 2050 test results</w:t>
            </w:r>
          </w:p>
        </w:tc>
      </w:tr>
    </w:tbl>
    <w:p>
      <w:pPr>
        <w:spacing w:after="160" w:before="60"/>
        <w:jc w:val="center"/>
      </w:pPr>
      <w:r>
        <w:rPr>
          <w:rFonts w:ascii="Arial" w:cs="Arial" w:eastAsia="Arial" w:hAnsi="Arial"/>
          <w:i/>
          <w:iCs/>
          <w:sz w:val="20"/>
          <w:szCs w:val="20"/>
        </w:rPr>
        <w:t xml:space="preserve">Table 7. PractRand 1 GiB anomaly detail. NS3 tests localized to lowest bits of 64-bit and 32-bit output words. The final checkpoint being clean does not dismiss the intermediate anomalies.</w:t>
      </w:r>
    </w:p>
    <w:p>
      <w:pPr>
        <w:spacing w:after="40" w:before="120"/>
        <w:jc w:val="center"/>
      </w:pPr>
      <w:r>
        <w:drawing>
          <wp:inline distT="0" distB="0" distL="0" distR="0">
            <wp:extent cx="5334000" cy="2933700"/>
            <wp:effectExtent t="0" r="0" b="0" l="0"/>
            <wp:docPr id="1" name="Figure 5. External battery summary: Dieharder result distribution (left), TestU01 Crush p-value histogram (center), and PractRand checkpoint timeline with NS3 R-stat and WARN annotation (right)." descr="Figure 5. External battery summary: Dieharder result distribution (left), TestU01 Crush p-value histogram (center), and PractRand checkpoint timeline with NS3 R-stat and WARN annotation (right)." title="Figure 5. External battery summary: Dieharder result distribution (left), TestU01 Crush p-value histogram (center), and PractRand checkpoint timeline with NS3 R-stat and WARN annota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337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5. External battery summary: Dieharder result distribution (left), TestU01 Crush p-value histogram (center), and PractRand checkpoint timeline with NS3 R-stat and WARN annotation (right).</w:t>
      </w:r>
    </w:p>
    <w:p>
      <w:pPr>
        <w:spacing w:after="80" w:before="0"/>
      </w:pPr>
    </w:p>
    <w:p>
      <w:pPr>
        <w:pStyle w:val="Heading1"/>
        <w:spacing w:after="120" w:before="280"/>
      </w:pPr>
      <w:r>
        <w:rPr>
          <w:rFonts w:ascii="Arial" w:cs="Arial" w:eastAsia="Arial" w:hAnsi="Arial"/>
          <w:b/>
          <w:bCs/>
          <w:color w:val="1F3864"/>
          <w:sz w:val="28"/>
          <w:szCs w:val="28"/>
        </w:rPr>
        <w:t xml:space="preserve">6. Discussion and Limitations</w:t>
      </w:r>
    </w:p>
    <w:p>
      <w:pPr>
        <w:pStyle w:val="Heading2"/>
        <w:spacing w:after="80" w:before="200"/>
      </w:pPr>
      <w:r>
        <w:rPr>
          <w:rFonts w:ascii="Arial" w:cs="Arial" w:eastAsia="Arial" w:hAnsi="Arial"/>
          <w:b/>
          <w:bCs/>
          <w:color w:val="2E5FA3"/>
          <w:sz w:val="24"/>
          <w:szCs w:val="24"/>
        </w:rPr>
        <w:t xml:space="preserve">6.1 What the Evidence Supports and Does Not Support</w:t>
      </w:r>
    </w:p>
    <w:p>
      <w:pPr>
        <w:spacing w:after="100" w:before="60"/>
        <w:jc w:val="both"/>
      </w:pPr>
      <w:r>
        <w:rPr>
          <w:rFonts w:ascii="Arial" w:cs="Arial" w:eastAsia="Arial" w:hAnsi="Arial"/>
          <w:sz w:val="22"/>
          <w:szCs w:val="22"/>
        </w:rPr>
        <w:t xml:space="preserve">The accumulated evidence is consistent with TriCube producing statistically near-uniform output over the tested volumes and probe budgets. No gross structural defect was detected by any of the tests run. The complete Dieharder and full TestU01 Crush results are the strongest positive statistical evidence.</w:t>
      </w:r>
    </w:p>
    <w:p>
      <w:pPr>
        <w:spacing w:after="100" w:before="60"/>
        <w:jc w:val="both"/>
      </w:pPr>
      <w:r>
        <w:rPr>
          <w:rFonts w:ascii="Arial" w:cs="Arial" w:eastAsia="Arial" w:hAnsi="Arial"/>
          <w:sz w:val="22"/>
          <w:szCs w:val="22"/>
        </w:rPr>
        <w:t xml:space="preserve">The evidence does not establish: cryptographic security of any kind (collision resistance, preimage resistance, pseudorandomness, or indistinguishability from a random oracle); clean PractRand passage for the C baseline stream path, because the 1 GiB NS3 anomalies remain unresolved; resistance to formal differential, rotational, algebraic, or state-recovery attack; or performance parity with mature optimized hash libraries.</w:t>
      </w:r>
    </w:p>
    <w:p>
      <w:pPr>
        <w:pStyle w:val="Heading2"/>
        <w:spacing w:after="80" w:before="200"/>
      </w:pPr>
      <w:r>
        <w:rPr>
          <w:rFonts w:ascii="Arial" w:cs="Arial" w:eastAsia="Arial" w:hAnsi="Arial"/>
          <w:b/>
          <w:bCs/>
          <w:color w:val="2E5FA3"/>
          <w:sz w:val="24"/>
          <w:szCs w:val="24"/>
        </w:rPr>
        <w:t xml:space="preserve">6.2 PractRand Low-Bit Anomalies</w:t>
      </w:r>
    </w:p>
    <w:p>
      <w:pPr>
        <w:spacing w:after="100" w:before="60"/>
        <w:jc w:val="both"/>
      </w:pPr>
      <w:r>
        <w:rPr>
          <w:rFonts w:ascii="Arial" w:cs="Arial" w:eastAsia="Arial" w:hAnsi="Arial"/>
          <w:sz w:val="22"/>
          <w:szCs w:val="22"/>
        </w:rPr>
        <w:t xml:space="preserve">The NS3 anomalies at 1 MiB and 512 MiB are localized to the lowest bits of 64-bit and 32-bit output words. Low-bit anomalies in NS3 are a known indicator of insufficient low-bit diffusion in the round function, which can arise when the edge-coupling or rotation constants do not propagate low-bit differences uniformly. The clean final 1 GiB checkpoint is consistent with a weak signal that dilutes at larger volumes, but does not rule out genuine low-bit structure. Resolution requires a multi-seed campaign at 10 GiB or more and targeted low-bit diagnostics.</w:t>
      </w:r>
    </w:p>
    <w:p>
      <w:pPr>
        <w:spacing w:after="100" w:before="60"/>
        <w:jc w:val="both"/>
      </w:pPr>
      <w:r>
        <w:rPr>
          <w:rFonts w:ascii="Arial" w:cs="Arial" w:eastAsia="Arial" w:hAnsi="Arial"/>
          <w:sz w:val="22"/>
          <w:szCs w:val="22"/>
        </w:rPr>
        <w:t xml:space="preserve">fast8x passed a single 1 GiB PractRand run, but that result was obtained under ablation-lab conditions and has not been confirmed across multiple seeds. It is preliminary evidence only.</w:t>
      </w:r>
    </w:p>
    <w:p>
      <w:pPr>
        <w:pStyle w:val="Heading2"/>
        <w:spacing w:after="80" w:before="200"/>
      </w:pPr>
      <w:r>
        <w:rPr>
          <w:rFonts w:ascii="Arial" w:cs="Arial" w:eastAsia="Arial" w:hAnsi="Arial"/>
          <w:b/>
          <w:bCs/>
          <w:color w:val="2E5FA3"/>
          <w:sz w:val="24"/>
          <w:szCs w:val="24"/>
        </w:rPr>
        <w:t xml:space="preserve">6.3 Design Observations</w:t>
      </w:r>
    </w:p>
    <w:p>
      <w:pPr>
        <w:spacing w:after="100" w:before="60"/>
        <w:jc w:val="both"/>
      </w:pPr>
      <w:r>
        <w:rPr>
          <w:rFonts w:ascii="Arial" w:cs="Arial" w:eastAsia="Arial" w:hAnsi="Arial"/>
          <w:sz w:val="22"/>
          <w:szCs w:val="22"/>
        </w:rPr>
        <w:t xml:space="preserve">The geometric structure gives TriCube a different algebraic surface than BLAKE or Keccak. Tetrahedral mixing with edge-coupling produces a local interaction pattern that is distinct from the G-function of BLAKE or the bitwise step functions of Keccak. Whether this difference results in a more or less analyzable structure under formal cryptanalysis is an open question. The word-level schedule model (Section 5.7) confirms that reachability is broad within 2 rounds, which is useful schedule evidence. It does not bound attack complexity.</w:t>
      </w:r>
    </w:p>
    <w:p>
      <w:pPr>
        <w:spacing w:after="100" w:before="60"/>
        <w:jc w:val="both"/>
      </w:pPr>
      <w:r>
        <w:rPr>
          <w:rFonts w:ascii="Arial" w:cs="Arial" w:eastAsia="Arial" w:hAnsi="Arial"/>
          <w:sz w:val="22"/>
          <w:szCs w:val="22"/>
        </w:rPr>
        <w:t xml:space="preserve">The primary engineering gaps are: the unresolved PractRand low-bit warning, the absence of formal white-box cryptanalysis, the need for independent reimplementation from the specification, and throughput that is well below mature optimized libraries.</w:t>
      </w:r>
    </w:p>
    <w:p>
      <w:pPr>
        <w:spacing w:after="80" w:before="0"/>
      </w:pPr>
    </w:p>
    <w:p>
      <w:pPr>
        <w:pStyle w:val="Heading1"/>
        <w:spacing w:after="120" w:before="280"/>
      </w:pPr>
      <w:r>
        <w:rPr>
          <w:rFonts w:ascii="Arial" w:cs="Arial" w:eastAsia="Arial" w:hAnsi="Arial"/>
          <w:b/>
          <w:bCs/>
          <w:color w:val="1F3864"/>
          <w:sz w:val="28"/>
          <w:szCs w:val="28"/>
        </w:rPr>
        <w:t xml:space="preserve">7. Future Work</w:t>
      </w:r>
    </w:p>
    <w:p>
      <w:pPr>
        <w:spacing w:after="100" w:before="60"/>
        <w:jc w:val="both"/>
      </w:pPr>
      <w:r>
        <w:rPr>
          <w:rFonts w:ascii="Arial" w:cs="Arial" w:eastAsia="Arial" w:hAnsi="Arial"/>
          <w:sz w:val="22"/>
          <w:szCs w:val="22"/>
        </w:rPr>
        <w:t xml:space="preserve">The next steps are ordered by priority.</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PractRand low-bit campaign (highest priority).</w:t>
      </w:r>
      <w:r>
        <w:rPr>
          <w:rFonts w:ascii="Arial" w:cs="Arial" w:eastAsia="Arial" w:hAnsi="Arial"/>
          <w:sz w:val="22"/>
          <w:szCs w:val="22"/>
        </w:rPr>
        <w:t xml:space="preserve"> Run at least three independent seeds to 10 GiB. Apply focused low-bit diagnostics to isolate which output bit plane drives the NS3 signal. If anomalies repeat, audit edge-coupling rotation constants for low-bit diffusion deficiency.</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Reduced-round white-box model.</w:t>
      </w:r>
      <w:r>
        <w:rPr>
          <w:rFonts w:ascii="Arial" w:cs="Arial" w:eastAsia="Arial" w:hAnsi="Arial"/>
          <w:sz w:val="22"/>
          <w:szCs w:val="22"/>
        </w:rPr>
        <w:t xml:space="preserve"> Extend the existing word-level schedule model into a reduced-round differential model that tracks modular-addition carry behavior and rotation propagation explicitly. This is the minimal prerequisite for a meaningful differential trail search.</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Algebraic and SAT/SMT/MILP modeling.</w:t>
      </w:r>
      <w:r>
        <w:rPr>
          <w:rFonts w:ascii="Arial" w:cs="Arial" w:eastAsia="Arial" w:hAnsi="Arial"/>
          <w:sz w:val="22"/>
          <w:szCs w:val="22"/>
        </w:rPr>
        <w:t xml:space="preserve"> Build a verified reduced-round TriCube encoding for a standard solver framework (Z3, CryptoMiniSat, SageMath, or an ARX-oriented framework such as CLAASP or CryptoSMT where the tetrahedral schedule can be represented).</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Independent reimplementation.</w:t>
      </w:r>
      <w:r>
        <w:rPr>
          <w:rFonts w:ascii="Arial" w:cs="Arial" w:eastAsia="Arial" w:hAnsi="Arial"/>
          <w:sz w:val="22"/>
          <w:szCs w:val="22"/>
        </w:rPr>
        <w:t xml:space="preserve"> A reviewer should implement TriCube from docs/specification.md without reading c/src/tricube.c, compare against the fixed vectors, and report any ambiguity in the specification.</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Benchmark comparisons.</w:t>
      </w:r>
      <w:r>
        <w:rPr>
          <w:rFonts w:ascii="Arial" w:cs="Arial" w:eastAsia="Arial" w:hAnsi="Arial"/>
          <w:sz w:val="22"/>
          <w:szCs w:val="22"/>
        </w:rPr>
        <w:t xml:space="preserve"> Benchmark the C implementation against BLAKE3, SHA-256, SHA-512, and SHA-3 under equivalent methodology. Speed improvements that reintroduce low-bit PractRand warnings remain excluded.</w:t>
      </w:r>
    </w:p>
    <w:p>
      <w:pPr>
        <w:spacing w:after="80" w:before="0"/>
      </w:pPr>
    </w:p>
    <w:p>
      <w:pPr>
        <w:pStyle w:val="Heading1"/>
        <w:spacing w:after="120" w:before="280"/>
      </w:pPr>
      <w:r>
        <w:rPr>
          <w:rFonts w:ascii="Arial" w:cs="Arial" w:eastAsia="Arial" w:hAnsi="Arial"/>
          <w:b/>
          <w:bCs/>
          <w:color w:val="1F3864"/>
          <w:sz w:val="28"/>
          <w:szCs w:val="28"/>
        </w:rPr>
        <w:t xml:space="preserve">8. Conclusion</w:t>
      </w:r>
    </w:p>
    <w:p>
      <w:pPr>
        <w:spacing w:after="100" w:before="60"/>
        <w:jc w:val="both"/>
      </w:pPr>
      <w:r>
        <w:rPr>
          <w:rFonts w:ascii="Arial" w:cs="Arial" w:eastAsia="Arial" w:hAnsi="Arial"/>
          <w:sz w:val="22"/>
          <w:szCs w:val="22"/>
        </w:rPr>
        <w:t xml:space="preserve">TriCube is an experimental hash function and XOF whose current public baseline is defined by tetrahedral/cube-connected evolution over a 2048-bit state. The May 2026 evaluation produced positive statistical evidence from complete Dieharder and full TestU01 Crush runs, a clear PractRand 1 GiB low-bit warning that requires follow-up, and a first word-level white-box schedule model confirming broad reachability. The experimental fast8x stream variant shows a promising throughput profile and preliminary battery results, but multi-seed extended PractRand testing has not been done. The correct conclusion is continued review and hardening, not security deployment.</w:t>
      </w:r>
    </w:p>
    <w:p>
      <w:pPr>
        <w:spacing w:after="80" w:before="0"/>
      </w:pPr>
    </w:p>
    <w:p>
      <w:pPr>
        <w:pStyle w:val="Heading1"/>
        <w:spacing w:after="120" w:before="280"/>
      </w:pPr>
      <w:r>
        <w:rPr>
          <w:rFonts w:ascii="Arial" w:cs="Arial" w:eastAsia="Arial" w:hAnsi="Arial"/>
          <w:b/>
          <w:bCs/>
          <w:color w:val="1F3864"/>
          <w:sz w:val="28"/>
          <w:szCs w:val="28"/>
        </w:rPr>
        <w:t xml:space="preserve">Acknowledgements</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Funding:</w:t>
      </w:r>
      <w:r>
        <w:rPr>
          <w:rFonts w:ascii="Arial" w:cs="Arial" w:eastAsia="Arial" w:hAnsi="Arial"/>
          <w:sz w:val="22"/>
          <w:szCs w:val="22"/>
        </w:rPr>
        <w:t xml:space="preserve"> This work received no external funding.</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Conflicts of interest:</w:t>
      </w:r>
      <w:r>
        <w:rPr>
          <w:rFonts w:ascii="Arial" w:cs="Arial" w:eastAsia="Arial" w:hAnsi="Arial"/>
          <w:sz w:val="22"/>
          <w:szCs w:val="22"/>
        </w:rPr>
        <w:t xml:space="preserve"> The author declares none.</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AI assistance:</w:t>
      </w:r>
      <w:r>
        <w:rPr>
          <w:rFonts w:ascii="Arial" w:cs="Arial" w:eastAsia="Arial" w:hAnsi="Arial"/>
          <w:sz w:val="22"/>
          <w:szCs w:val="22"/>
        </w:rPr>
        <w:t xml:space="preserve"> AI-assisted tooling was used during implementation, testing orchestration, and manuscript preparation. All benchmark outputs and experimental results reflect actual execution on the hardware described in Section 4.2. All interpretations and claim boundaries were reviewed by the author through direct inspection of machine-generated artifacts. The AI tooling did not generate, fabricate, or modify any benchmark data.</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Data and code availability:</w:t>
      </w:r>
      <w:r>
        <w:rPr>
          <w:rFonts w:ascii="Arial" w:cs="Arial" w:eastAsia="Arial" w:hAnsi="Arial"/>
          <w:sz w:val="22"/>
          <w:szCs w:val="22"/>
        </w:rPr>
        <w:t xml:space="preserve"> The source code and result artifacts are maintained in a public GitHub repository at https://github.com/RRG314/tricube-hash. Reproduction commands are in Appendix A. Probe scripts from the original private archive must be cleaned before public inclusion; public summaries are in docs/testing.md and results/consolidated-results-2026-05-19.md.</w:t>
      </w:r>
    </w:p>
    <w:p>
      <w:pPr>
        <w:spacing w:after="80" w:before="0"/>
      </w:pPr>
    </w:p>
    <w:p>
      <w:pPr>
        <w:pStyle w:val="Heading1"/>
        <w:spacing w:after="120" w:before="280"/>
      </w:pPr>
      <w:r>
        <w:rPr>
          <w:rFonts w:ascii="Arial" w:cs="Arial" w:eastAsia="Arial" w:hAnsi="Arial"/>
          <w:b/>
          <w:bCs/>
          <w:color w:val="1F3864"/>
          <w:sz w:val="28"/>
          <w:szCs w:val="28"/>
        </w:rPr>
        <w:t xml:space="preserve">References</w:t>
      </w:r>
    </w:p>
    <w:p>
      <w:pPr>
        <w:spacing w:after="60" w:before="40"/>
        <w:ind w:left="360" w:hanging="360"/>
      </w:pPr>
      <w:r>
        <w:rPr>
          <w:rFonts w:ascii="Arial" w:cs="Arial" w:eastAsia="Arial" w:hAnsi="Arial"/>
          <w:sz w:val="20"/>
          <w:szCs w:val="20"/>
        </w:rPr>
        <w:t xml:space="preserve">[1] NIST. FIPS 180-4: Secure Hash Standard. 2015.</w:t>
      </w:r>
    </w:p>
    <w:p>
      <w:pPr>
        <w:spacing w:after="60" w:before="40"/>
        <w:ind w:left="360" w:hanging="360"/>
      </w:pPr>
      <w:r>
        <w:rPr>
          <w:rFonts w:ascii="Arial" w:cs="Arial" w:eastAsia="Arial" w:hAnsi="Arial"/>
          <w:sz w:val="20"/>
          <w:szCs w:val="20"/>
        </w:rPr>
        <w:t xml:space="preserve">[2] NIST. FIPS 202: SHA-3 Standard -- Permutation-Based Hash and XOF. 2015.</w:t>
      </w:r>
    </w:p>
    <w:p>
      <w:pPr>
        <w:spacing w:after="60" w:before="40"/>
        <w:ind w:left="360" w:hanging="360"/>
      </w:pPr>
      <w:r>
        <w:rPr>
          <w:rFonts w:ascii="Arial" w:cs="Arial" w:eastAsia="Arial" w:hAnsi="Arial"/>
          <w:sz w:val="20"/>
          <w:szCs w:val="20"/>
        </w:rPr>
        <w:t xml:space="preserve">[3] Aumasson et al. BLAKE2: Simpler, Smaller, Fast as MD5. RFC 7693, IETF, 2015.</w:t>
      </w:r>
    </w:p>
    <w:p>
      <w:pPr>
        <w:spacing w:after="60" w:before="40"/>
        <w:ind w:left="360" w:hanging="360"/>
      </w:pPr>
      <w:r>
        <w:rPr>
          <w:rFonts w:ascii="Arial" w:cs="Arial" w:eastAsia="Arial" w:hAnsi="Arial"/>
          <w:sz w:val="20"/>
          <w:szCs w:val="20"/>
        </w:rPr>
        <w:t xml:space="preserve">[4] O'Brien et al. BLAKE3 One Function, Fast Everywhere. GitHub/IACR, 2020.</w:t>
      </w:r>
    </w:p>
    <w:p>
      <w:pPr>
        <w:spacing w:after="60" w:before="40"/>
        <w:ind w:left="360" w:hanging="360"/>
      </w:pPr>
      <w:r>
        <w:rPr>
          <w:rFonts w:ascii="Arial" w:cs="Arial" w:eastAsia="Arial" w:hAnsi="Arial"/>
          <w:sz w:val="20"/>
          <w:szCs w:val="20"/>
        </w:rPr>
        <w:t xml:space="preserve">[5] Bernstein. CubeHash specification (2.B.1). NIST SHA-3 Submission, 2009.</w:t>
      </w:r>
    </w:p>
    <w:p>
      <w:pPr>
        <w:spacing w:after="60" w:before="40"/>
        <w:ind w:left="360" w:hanging="360"/>
      </w:pPr>
      <w:r>
        <w:rPr>
          <w:rFonts w:ascii="Arial" w:cs="Arial" w:eastAsia="Arial" w:hAnsi="Arial"/>
          <w:sz w:val="20"/>
          <w:szCs w:val="20"/>
        </w:rPr>
        <w:t xml:space="preserve">[6] Bertoni, Daemen et al. Keccak reference 3.0. SHA-3 Submission, 2011.</w:t>
      </w:r>
    </w:p>
    <w:p>
      <w:pPr>
        <w:spacing w:after="60" w:before="40"/>
        <w:ind w:left="360" w:hanging="360"/>
      </w:pPr>
      <w:r>
        <w:rPr>
          <w:rFonts w:ascii="Arial" w:cs="Arial" w:eastAsia="Arial" w:hAnsi="Arial"/>
          <w:sz w:val="20"/>
          <w:szCs w:val="20"/>
        </w:rPr>
        <w:t xml:space="preserve">[7] Daemen et al. Xoodyak, a Lightweight Cryptographic Scheme. IACR ToSC 2020(4).</w:t>
      </w:r>
    </w:p>
    <w:p>
      <w:pPr>
        <w:spacing w:after="60" w:before="40"/>
        <w:ind w:left="360" w:hanging="360"/>
      </w:pPr>
      <w:r>
        <w:rPr>
          <w:rFonts w:ascii="Arial" w:cs="Arial" w:eastAsia="Arial" w:hAnsi="Arial"/>
          <w:sz w:val="20"/>
          <w:szCs w:val="20"/>
        </w:rPr>
        <w:t xml:space="preserve">[8] Bertoni et al. KangarooTwelve: Fast Hashing Based on Keccak-p. ACNS 2018.</w:t>
      </w:r>
    </w:p>
    <w:p>
      <w:pPr>
        <w:spacing w:after="60" w:before="40"/>
        <w:ind w:left="360" w:hanging="360"/>
      </w:pPr>
      <w:r>
        <w:rPr>
          <w:rFonts w:ascii="Arial" w:cs="Arial" w:eastAsia="Arial" w:hAnsi="Arial"/>
          <w:sz w:val="20"/>
          <w:szCs w:val="20"/>
        </w:rPr>
        <w:t xml:space="preserve">[9] Bertoni et al. Sponge Functions. ECRYPT Hash Workshop, 2007.</w:t>
      </w:r>
    </w:p>
    <w:p>
      <w:pPr>
        <w:spacing w:after="60" w:before="40"/>
        <w:ind w:left="360" w:hanging="360"/>
      </w:pPr>
      <w:r>
        <w:rPr>
          <w:rFonts w:ascii="Arial" w:cs="Arial" w:eastAsia="Arial" w:hAnsi="Arial"/>
          <w:sz w:val="20"/>
          <w:szCs w:val="20"/>
        </w:rPr>
        <w:t xml:space="preserve">[10] Hellekalek &amp; Wegenkittl. Empirical Evidence Concerning AES. ACM TOMACS, 2003.</w:t>
      </w:r>
    </w:p>
    <w:p>
      <w:pPr>
        <w:spacing w:after="60" w:before="40"/>
        <w:ind w:left="360" w:hanging="360"/>
      </w:pPr>
      <w:r>
        <w:rPr>
          <w:rFonts w:ascii="Arial" w:cs="Arial" w:eastAsia="Arial" w:hAnsi="Arial"/>
          <w:sz w:val="20"/>
          <w:szCs w:val="20"/>
        </w:rPr>
        <w:t xml:space="preserve">[11] Dworkin (NIST). SP 800-22 Rev. 1a: NIST Statistical Test Suite. 2010.</w:t>
      </w:r>
    </w:p>
    <w:p>
      <w:pPr>
        <w:spacing w:after="60" w:before="40"/>
        <w:ind w:left="360" w:hanging="360"/>
      </w:pPr>
      <w:r>
        <w:rPr>
          <w:rFonts w:ascii="Arial" w:cs="Arial" w:eastAsia="Arial" w:hAnsi="Arial"/>
          <w:sz w:val="20"/>
          <w:szCs w:val="20"/>
        </w:rPr>
        <w:t xml:space="preserve">[12] Brown. PractRand: Practical tests for random number generators. pracrand.sourceforge.net, 2010--.</w:t>
      </w:r>
    </w:p>
    <w:p>
      <w:pPr>
        <w:spacing w:after="60" w:before="40"/>
        <w:ind w:left="360" w:hanging="360"/>
      </w:pPr>
      <w:r>
        <w:rPr>
          <w:rFonts w:ascii="Arial" w:cs="Arial" w:eastAsia="Arial" w:hAnsi="Arial"/>
          <w:sz w:val="20"/>
          <w:szCs w:val="20"/>
        </w:rPr>
        <w:t xml:space="preserve">[13] Marsaglia. Dieharder: A random number test suite. Duke University.</w:t>
      </w:r>
    </w:p>
    <w:p>
      <w:pPr>
        <w:spacing w:after="60" w:before="40"/>
        <w:ind w:left="360" w:hanging="360"/>
      </w:pPr>
      <w:r>
        <w:rPr>
          <w:rFonts w:ascii="Arial" w:cs="Arial" w:eastAsia="Arial" w:hAnsi="Arial"/>
          <w:sz w:val="20"/>
          <w:szCs w:val="20"/>
        </w:rPr>
        <w:t xml:space="preserve">[14] L'Ecuyer &amp; Simard. TestU01: A C Library for Empirical Testing of RNGs. ACM TOMS 33(4), 2007.</w:t>
      </w:r>
    </w:p>
    <w:p>
      <w:pPr>
        <w:spacing w:after="60" w:before="40"/>
        <w:ind w:left="360" w:hanging="360"/>
      </w:pPr>
      <w:r>
        <w:rPr>
          <w:rFonts w:ascii="Arial" w:cs="Arial" w:eastAsia="Arial" w:hAnsi="Arial"/>
          <w:sz w:val="20"/>
          <w:szCs w:val="20"/>
        </w:rPr>
        <w:t xml:space="preserve">[15] Biham &amp; Shamir. Differential Cryptanalysis of DES-like Cryptosystems. J. Cryptology 4(1), 1991.</w:t>
      </w:r>
    </w:p>
    <w:p>
      <w:pPr>
        <w:spacing w:after="60" w:before="40"/>
        <w:ind w:left="360" w:hanging="360"/>
      </w:pPr>
      <w:r>
        <w:rPr>
          <w:rFonts w:ascii="Arial" w:cs="Arial" w:eastAsia="Arial" w:hAnsi="Arial"/>
          <w:sz w:val="20"/>
          <w:szCs w:val="20"/>
        </w:rPr>
        <w:t xml:space="preserve">[16] Webster &amp; Tavares. On the Design of S-boxes (SAC). CRYPTO 1985, LNCS 218.</w:t>
      </w:r>
    </w:p>
    <w:p>
      <w:pPr>
        <w:spacing w:after="60" w:before="40"/>
        <w:ind w:left="360" w:hanging="360"/>
      </w:pPr>
      <w:r>
        <w:rPr>
          <w:rFonts w:ascii="Arial" w:cs="Arial" w:eastAsia="Arial" w:hAnsi="Arial"/>
          <w:sz w:val="20"/>
          <w:szCs w:val="20"/>
        </w:rPr>
        <w:t xml:space="preserve">[17] Daemen &amp; Rijmen. The Design of Rijndael. Springer, 2002.</w:t>
      </w:r>
    </w:p>
    <w:p>
      <w:pPr>
        <w:spacing w:after="60" w:before="40"/>
        <w:ind w:left="360" w:hanging="360"/>
      </w:pPr>
      <w:r>
        <w:rPr>
          <w:rFonts w:ascii="Arial" w:cs="Arial" w:eastAsia="Arial" w:hAnsi="Arial"/>
          <w:sz w:val="20"/>
          <w:szCs w:val="20"/>
        </w:rPr>
        <w:t xml:space="preserve">[18] Aumasson &amp; Meier. Zero-sum Distinguishers for Reduced Keccak-f. Rump CRYPTO 2009.</w:t>
      </w:r>
    </w:p>
    <w:p>
      <w:pPr>
        <w:spacing w:after="60" w:before="40"/>
        <w:ind w:left="360" w:hanging="360"/>
      </w:pPr>
      <w:r>
        <w:rPr>
          <w:rFonts w:ascii="Arial" w:cs="Arial" w:eastAsia="Arial" w:hAnsi="Arial"/>
          <w:sz w:val="20"/>
          <w:szCs w:val="20"/>
        </w:rPr>
        <w:t xml:space="preserve">[19] Courtois &amp; Pieprzyk. Cryptanalysis of Block Ciphers with Overdefined Systems. ASIACRYPT 2002.</w:t>
      </w:r>
    </w:p>
    <w:p>
      <w:pPr>
        <w:spacing w:after="60" w:before="40"/>
        <w:ind w:left="360" w:hanging="360"/>
      </w:pPr>
      <w:r>
        <w:rPr>
          <w:rFonts w:ascii="Arial" w:cs="Arial" w:eastAsia="Arial" w:hAnsi="Arial"/>
          <w:sz w:val="20"/>
          <w:szCs w:val="20"/>
        </w:rPr>
        <w:t xml:space="preserve">[20] Khovratovich &amp; Nikolic. Rotational Cryptanalysis of ARX. FSE 2010.</w:t>
      </w:r>
    </w:p>
    <w:p>
      <w:pPr>
        <w:spacing w:after="60" w:before="40"/>
        <w:ind w:left="360" w:hanging="360"/>
      </w:pPr>
      <w:r>
        <w:rPr>
          <w:rFonts w:ascii="Arial" w:cs="Arial" w:eastAsia="Arial" w:hAnsi="Arial"/>
          <w:sz w:val="20"/>
          <w:szCs w:val="20"/>
        </w:rPr>
        <w:t xml:space="preserve">[21] NIST. SP 800-232: Ascon-Based Lightweight Cryptography Standards. 2025.</w:t>
      </w:r>
    </w:p>
    <w:p>
      <w:pPr>
        <w:spacing w:after="60" w:before="40"/>
        <w:ind w:left="360" w:hanging="360"/>
      </w:pPr>
      <w:r>
        <w:rPr>
          <w:rFonts w:ascii="Arial" w:cs="Arial" w:eastAsia="Arial" w:hAnsi="Arial"/>
          <w:sz w:val="20"/>
          <w:szCs w:val="20"/>
        </w:rPr>
        <w:t xml:space="preserve">[22] Dobraunig, Eichlseder, Mendel, Schlaffer. Ascon v1.2. Journal of Cryptology, 2021.</w:t>
      </w:r>
    </w:p>
    <w:p>
      <w:pPr>
        <w:spacing w:after="80" w:before="0"/>
      </w:pPr>
    </w:p>
    <w:p>
      <w:r>
        <w:br w:type="page"/>
      </w:r>
    </w:p>
    <w:p>
      <w:pPr>
        <w:pStyle w:val="Heading1"/>
        <w:spacing w:after="120" w:before="280"/>
      </w:pPr>
      <w:r>
        <w:rPr>
          <w:rFonts w:ascii="Arial" w:cs="Arial" w:eastAsia="Arial" w:hAnsi="Arial"/>
          <w:b/>
          <w:bCs/>
          <w:color w:val="1F3864"/>
          <w:sz w:val="28"/>
          <w:szCs w:val="28"/>
        </w:rPr>
        <w:t xml:space="preserve">Appendix A: Reproduction Command Index</w:t>
      </w:r>
    </w:p>
    <w:p>
      <w:pPr>
        <w:spacing w:after="100" w:before="60"/>
        <w:jc w:val="both"/>
      </w:pPr>
      <w:r>
        <w:rPr>
          <w:rFonts w:ascii="Arial" w:cs="Arial" w:eastAsia="Arial" w:hAnsi="Arial"/>
          <w:sz w:val="22"/>
          <w:szCs w:val="22"/>
        </w:rPr>
        <w:t xml:space="preserve">All paths are relative to the repository root. Commands were executed during the May 19-20, 2026 test session.</w:t>
      </w:r>
    </w:p>
    <w:p>
      <w:pPr>
        <w:spacing w:after="40" w:before="80"/>
      </w:pPr>
      <w:r>
        <w:rPr>
          <w:rFonts w:ascii="Arial" w:cs="Arial" w:eastAsia="Arial" w:hAnsi="Arial"/>
          <w:b/>
          <w:bCs/>
          <w:sz w:val="22"/>
          <w:szCs w:val="22"/>
        </w:rPr>
        <w:t xml:space="preserve">Unit tests:</w:t>
      </w:r>
    </w:p>
    <w:p>
      <w:pPr>
        <w:spacing w:after="40" w:before="40"/>
        <w:ind w:left="360" w:right="360"/>
      </w:pPr>
      <w:r>
        <w:rPr>
          <w:rFonts w:ascii="Courier New" w:cs="Courier New" w:eastAsia="Courier New" w:hAnsi="Courier New"/>
          <w:color w:val="333333"/>
          <w:sz w:val="18"/>
          <w:szCs w:val="18"/>
        </w:rPr>
        <w:t xml:space="preserve">.venv/bin/python -m pytest -q</w:t>
      </w:r>
    </w:p>
    <w:p>
      <w:pPr>
        <w:spacing w:after="40" w:before="80"/>
      </w:pPr>
      <w:r>
        <w:rPr>
          <w:rFonts w:ascii="Arial" w:cs="Arial" w:eastAsia="Arial" w:hAnsi="Arial"/>
          <w:b/>
          <w:bCs/>
          <w:sz w:val="22"/>
          <w:szCs w:val="22"/>
        </w:rPr>
        <w:t xml:space="preserve">Internal statistical benchmark:</w:t>
      </w:r>
    </w:p>
    <w:p>
      <w:pPr>
        <w:spacing w:after="40" w:before="40"/>
        <w:ind w:left="360" w:right="360"/>
      </w:pPr>
      <w:r>
        <w:rPr>
          <w:rFonts w:ascii="Courier New" w:cs="Courier New" w:eastAsia="Courier New" w:hAnsi="Courier New"/>
          <w:color w:val="333333"/>
          <w:sz w:val="18"/>
          <w:szCs w:val="18"/>
        </w:rPr>
        <w:t xml:space="preserve">.venv/bin/python benchmarks/bench_tricube.py --out-dir results/tricube_internal_refresh_2026-05-19</w:t>
      </w:r>
    </w:p>
    <w:p>
      <w:pPr>
        <w:spacing w:after="40" w:before="80"/>
      </w:pPr>
      <w:r>
        <w:rPr>
          <w:rFonts w:ascii="Arial" w:cs="Arial" w:eastAsia="Arial" w:hAnsi="Arial"/>
          <w:b/>
          <w:bCs/>
          <w:sz w:val="22"/>
          <w:szCs w:val="22"/>
        </w:rPr>
        <w:t xml:space="preserve">Stream benchmark (100 MiB):</w:t>
      </w:r>
    </w:p>
    <w:p>
      <w:pPr>
        <w:spacing w:after="40" w:before="40"/>
        <w:ind w:left="360" w:right="360"/>
      </w:pPr>
      <w:r>
        <w:rPr>
          <w:rFonts w:ascii="Courier New" w:cs="Courier New" w:eastAsia="Courier New" w:hAnsi="Courier New"/>
          <w:color w:val="333333"/>
          <w:sz w:val="18"/>
          <w:szCs w:val="18"/>
        </w:rPr>
        <w:t xml:space="preserve">python benchmarks/bench_stream.py --bytes 104857600</w:t>
      </w:r>
    </w:p>
    <w:p>
      <w:pPr>
        <w:spacing w:after="40" w:before="80"/>
      </w:pPr>
      <w:r>
        <w:rPr>
          <w:rFonts w:ascii="Arial" w:cs="Arial" w:eastAsia="Arial" w:hAnsi="Arial"/>
          <w:b/>
          <w:bCs/>
          <w:sz w:val="22"/>
          <w:szCs w:val="22"/>
        </w:rPr>
        <w:t xml:space="preserve">C binary build:</w:t>
      </w:r>
    </w:p>
    <w:p>
      <w:pPr>
        <w:spacing w:after="40" w:before="40"/>
        <w:ind w:left="360" w:right="360"/>
      </w:pPr>
      <w:r>
        <w:rPr>
          <w:rFonts w:ascii="Courier New" w:cs="Courier New" w:eastAsia="Courier New" w:hAnsi="Courier New"/>
          <w:color w:val="333333"/>
          <w:sz w:val="18"/>
          <w:szCs w:val="18"/>
        </w:rPr>
        <w:t xml:space="preserve">make -C c all</w:t>
      </w:r>
    </w:p>
    <w:p>
      <w:pPr>
        <w:spacing w:after="40" w:before="80"/>
      </w:pPr>
      <w:r>
        <w:rPr>
          <w:rFonts w:ascii="Arial" w:cs="Arial" w:eastAsia="Arial" w:hAnsi="Arial"/>
          <w:b/>
          <w:bCs/>
          <w:sz w:val="22"/>
          <w:szCs w:val="22"/>
        </w:rPr>
        <w:t xml:space="preserve">PractRand 1 GiB:</w:t>
      </w:r>
    </w:p>
    <w:p>
      <w:pPr>
        <w:spacing w:after="40" w:before="40"/>
        <w:ind w:left="360" w:right="360"/>
      </w:pPr>
      <w:r>
        <w:rPr>
          <w:rFonts w:ascii="Courier New" w:cs="Courier New" w:eastAsia="Courier New" w:hAnsi="Courier New"/>
          <w:color w:val="333333"/>
          <w:sz w:val="18"/>
          <w:szCs w:val="18"/>
        </w:rPr>
        <w:t xml:space="preserve">tools/run_practrand.sh 1073741824</w:t>
      </w:r>
    </w:p>
    <w:p>
      <w:pPr>
        <w:spacing w:after="100" w:before="60"/>
        <w:jc w:val="both"/>
      </w:pPr>
      <w:r>
        <w:rPr>
          <w:rFonts w:ascii="Arial" w:cs="Arial" w:eastAsia="Arial" w:hAnsi="Arial"/>
          <w:sz w:val="22"/>
          <w:szCs w:val="22"/>
        </w:rPr>
        <w:t xml:space="preserve">Differential diffusion, rotational relation, algebraic degree, overlap-fork, state-recovery, and reduced-round probe scripts require cleaning before public inclusion. Public summaries are in docs/testing.md and results/consolidated-results-2026-05-19.md.</w:t>
      </w:r>
    </w:p>
    <w:p>
      <w:pPr>
        <w:spacing w:after="80" w:before="0"/>
      </w:pPr>
    </w:p>
    <w:p>
      <w:pPr>
        <w:pStyle w:val="Heading1"/>
        <w:spacing w:after="120" w:before="280"/>
      </w:pPr>
      <w:r>
        <w:rPr>
          <w:rFonts w:ascii="Arial" w:cs="Arial" w:eastAsia="Arial" w:hAnsi="Arial"/>
          <w:b/>
          <w:bCs/>
          <w:color w:val="1F3864"/>
          <w:sz w:val="28"/>
          <w:szCs w:val="28"/>
        </w:rPr>
        <w:t xml:space="preserve">Appendix B: Dieharder Breakdown and Artifact Index</w:t>
      </w: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Dieharder full-run breakdown</w:t>
      </w:r>
      <w:r>
        <w:rPr>
          <w:rFonts w:ascii="Arial" w:cs="Arial" w:eastAsia="Arial" w:hAnsi="Arial"/>
          <w:sz w:val="22"/>
          <w:szCs w:val="22"/>
        </w:rPr>
        <w:t xml:space="preserve"> (109 PASSED, 2 WEAK, 0 FAILED across 111 assessments):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0"/>
        <w:gridCol w:w="1400"/>
        <w:gridCol w:w="600"/>
        <w:gridCol w:w="600"/>
        <w:gridCol w:w="600"/>
      </w:tblGrid>
      <w:tr>
        <w:tc>
          <w:tcPr>
            <w:tcW w:type="dxa" w:w="68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Test Family</w:t>
            </w:r>
          </w:p>
        </w:tc>
        <w:tc>
          <w:tcPr>
            <w:tcW w:type="dxa" w:w="14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Assessments</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P</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W</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F</w:t>
            </w:r>
          </w:p>
        </w:tc>
      </w:tr>
      <w:tr>
        <w:tc>
          <w:tcPr>
            <w:tcW w:type="dxa" w:w="6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diehard_* (classic: birthdays, operm5, rank, bitstream, opso, oqso, dna, count_1s, parking_lot, 2dsphere, 3dsphere)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13</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13</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diehard_squeeze, diehard_runs (x2), diehard_craps (x2)</w:t>
            </w:r>
          </w:p>
        </w:tc>
        <w:tc>
          <w:tcPr>
            <w:tcW w:type="dxa" w:w="1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marsaglia_tsang_gcd (x2)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sts_monobit, sts_runs, sts_serial (ntup 1-16)</w:t>
            </w:r>
          </w:p>
        </w:tc>
        <w:tc>
          <w:tcPr>
            <w:tcW w:type="dxa" w:w="1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35</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33</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2</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rgb_bitdist (ntup 1-12)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rgb_minimum_distance (dim 2-5)</w:t>
            </w:r>
          </w:p>
        </w:tc>
        <w:tc>
          <w:tcPr>
            <w:tcW w:type="dxa" w:w="1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rgb_permutations (ntup 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rgb_lagged_sum (lag 0-32)</w:t>
            </w:r>
          </w:p>
        </w:tc>
        <w:tc>
          <w:tcPr>
            <w:tcW w:type="dxa" w:w="1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33</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33</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rgb_kstest_test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dab_bytedistrib, dab_dct, dab_filltree2 (ntup 0-1), dab_monobit2</w:t>
            </w:r>
          </w:p>
        </w:tc>
        <w:tc>
          <w:tcPr>
            <w:tcW w:type="dxa" w:w="14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c>
          <w:tcPr>
            <w:tcW w:type="dxa" w:w="6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68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TOTAL</w:t>
            </w:r>
          </w:p>
        </w:tc>
        <w:tc>
          <w:tcPr>
            <w:tcW w:type="dxa" w:w="14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111</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109</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2</w:t>
            </w:r>
          </w:p>
        </w:tc>
        <w:tc>
          <w:tcPr>
            <w:tcW w:type="dxa" w:w="6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0</w:t>
            </w:r>
          </w:p>
        </w:tc>
      </w:tr>
    </w:tbl>
    <w:p>
      <w:pPr>
        <w:spacing w:after="120" w:before="60"/>
        <w:jc w:val="center"/>
      </w:pPr>
      <w:r>
        <w:rPr>
          <w:rFonts w:ascii="Arial" w:cs="Arial" w:eastAsia="Arial" w:hAnsi="Arial"/>
          <w:i/>
          <w:iCs/>
          <w:sz w:val="20"/>
          <w:szCs w:val="20"/>
        </w:rPr>
        <w:t xml:space="preserve">Appendix B Table 1. Dieharder test-family breakdown. WEAK entries: sts_serial ntup=15 (p=0.99994) and ntup=16 (p=0.99636). Mean p-value: 0.2299, stddev: 0.1487.</w:t>
      </w:r>
    </w:p>
    <w:p>
      <w:pPr>
        <w:spacing w:after="80" w:before="0"/>
      </w:pPr>
    </w:p>
    <w:p>
      <w:pPr>
        <w:spacing w:after="100" w:before="60"/>
        <w:jc w:val="both"/>
      </w:pPr>
      <w:r>
        <w:rPr>
          <w:rFonts w:ascii="Arial" w:cs="Arial" w:eastAsia="Arial" w:hAnsi="Arial"/>
          <w:sz w:val="22"/>
          <w:szCs w:val="22"/>
        </w:rPr>
        <w:t xml:space="preserve"/>
      </w:r>
      <w:r>
        <w:rPr>
          <w:rFonts w:ascii="Arial" w:cs="Arial" w:eastAsia="Arial" w:hAnsi="Arial"/>
          <w:b/>
          <w:bCs/>
          <w:sz w:val="22"/>
          <w:szCs w:val="22"/>
        </w:rPr>
        <w:t xml:space="preserve">Result artifact index:</w:t>
      </w:r>
      <w:r>
        <w:rPr>
          <w:rFonts w:ascii="Arial" w:cs="Arial" w:eastAsia="Arial" w:hAnsi="Arial"/>
          <w:sz w:val="22"/>
          <w:szCs w:val="22"/>
        </w:rPr>
        <w:t xml:space="preserve"/>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880"/>
      </w:tblGrid>
      <w:tr>
        <w:tc>
          <w:tcPr>
            <w:tcW w:type="dxa" w:w="30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Artifact</w:t>
            </w:r>
          </w:p>
        </w:tc>
        <w:tc>
          <w:tcPr>
            <w:tcW w:type="dxa" w:w="1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Location</w:t>
            </w:r>
          </w:p>
        </w:tc>
        <w:tc>
          <w:tcPr>
            <w:tcW w:type="dxa" w:w="588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Covers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tricube_internal_refresh_2026-05-19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5.2: Internal Benchmark</w:t>
            </w:r>
          </w:p>
        </w:tc>
      </w:tr>
      <w:tr>
        <w:tc>
          <w:tcPr>
            <w:tcW w:type="dxa" w:w="3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tricube_structural_gaps_standard_2026-05-19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5.5: Structural Gap Checks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tricube_attack_differential_standard_2026-05-19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5.6: Differential Probe</w:t>
            </w:r>
          </w:p>
        </w:tc>
      </w:tr>
      <w:tr>
        <w:tc>
          <w:tcPr>
            <w:tcW w:type="dxa" w:w="3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tricube_attack_rotational_standard_2026-05-19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5.6: Rotational Probe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tricube_attack_algebraic_standard_2026-05-19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5.6: Algebraic Degree Screen</w:t>
            </w:r>
          </w:p>
        </w:tc>
      </w:tr>
      <w:tr>
        <w:tc>
          <w:tcPr>
            <w:tcW w:type="dxa" w:w="3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tricube_attack_overlap_fork_standard_2026-05-19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5.6: Overlap/Fork Screen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tricube_attack_state_recovery_standard_2026-05-19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5.6: State-Recovery Screen</w:t>
            </w:r>
          </w:p>
        </w:tc>
      </w:tr>
      <w:tr>
        <w:tc>
          <w:tcPr>
            <w:tcW w:type="dxa" w:w="3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tricube_attack_reduced_round_standard_2026-05-19</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5.6: Reduced-Round Probe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manual_dieharder_1tb_full-e7244043.log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5.8: Full Dieharder</w:t>
            </w:r>
          </w:p>
        </w:tc>
      </w:tr>
      <w:tr>
        <w:tc>
          <w:tcPr>
            <w:tcW w:type="dxa" w:w="3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crush_stdout-89028ed3.txt</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5.8: TestU01 Crush</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external_batteries_practrand_2026-05-19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5.8: Short PractRand Runs</w:t>
            </w:r>
          </w:p>
        </w:tc>
      </w:tr>
      <w:tr>
        <w:tc>
          <w:tcPr>
            <w:tcW w:type="dxa" w:w="30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practrand_1gb_20260519_193201</w:t>
            </w:r>
          </w:p>
        </w:tc>
        <w:tc>
          <w:tcPr>
            <w:tcW w:type="dxa" w:w="120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EEF2FA"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5.8: PractRand 1 GiB (WARN)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tricube_stream_benchmark_100mb_2026-05-19.txt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results/</w:t>
            </w:r>
          </w:p>
        </w:tc>
        <w:tc>
          <w:tcPr>
            <w:tcW w:type="dxa" w:w="5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8"/>
                <w:szCs w:val="18"/>
              </w:rPr>
              <w:t xml:space="preserve">Section 5.3: 100 MiB Throughput</w:t>
            </w:r>
          </w:p>
        </w:tc>
      </w:tr>
    </w:tbl>
    <w:p>
      <w:pPr>
        <w:spacing w:after="160" w:before="60"/>
        <w:jc w:val="center"/>
      </w:pPr>
      <w:r>
        <w:rPr>
          <w:rFonts w:ascii="Arial" w:cs="Arial" w:eastAsia="Arial" w:hAnsi="Arial"/>
          <w:i/>
          <w:iCs/>
          <w:sz w:val="20"/>
          <w:szCs w:val="20"/>
        </w:rPr>
        <w:t xml:space="preserve">Appendix B Table 2. Result artifact index.</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Public Review Draft -- May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Public Review Draft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jc w:val="right"/>
    </w:pPr>
    <w:r>
      <w:rPr>
        <w:rFonts w:ascii="Arial" w:cs="Arial" w:eastAsia="Arial" w:hAnsi="Arial"/>
        <w:color w:val="888888"/>
        <w:sz w:val="18"/>
        <w:szCs w:val="18"/>
      </w:rPr>
      <w:t xml:space="preserve">TriCube: Experimental Evaluation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jc w:val="right"/>
    </w:pPr>
    <w:r>
      <w:rPr>
        <w:rFonts w:ascii="Arial" w:cs="Arial" w:eastAsia="Arial" w:hAnsi="Arial"/>
        <w:color w:val="888888"/>
        <w:sz w:val="18"/>
        <w:szCs w:val="18"/>
      </w:rPr>
      <w:t xml:space="preserve">TriCube: Experimental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785a511b6407a0ce47cb2176fcddd0da2b2637d.png"/><Relationship Id="rId12" Type="http://schemas.openxmlformats.org/officeDocument/2006/relationships/image" Target="media/a543031777ada909f51a3c4f77757e76fce942bd.png"/><Relationship Id="rId13" Type="http://schemas.openxmlformats.org/officeDocument/2006/relationships/image" Target="media/66eb28959769ada50e4b718ab09309d155aa0612.png"/><Relationship Id="rId14" Type="http://schemas.openxmlformats.org/officeDocument/2006/relationships/image" Target="media/b7eae47e6d3926c876bf47b65e6bc24e3384061a.png"/><Relationship Id="rId15" Type="http://schemas.openxmlformats.org/officeDocument/2006/relationships/image" Target="media/45371641b9ed895339a66dd807e253212e4bc9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2026-05-21T00:40:52.943Z</dcterms:created>
  <dcterms:modified xsi:type="dcterms:W3CDTF">2026-05-21T00:40:52.944Z</dcterms:modified>
</cp:coreProperties>
</file>

<file path=docProps/custom.xml><?xml version="1.0" encoding="utf-8"?>
<Properties xmlns="http://schemas.openxmlformats.org/officeDocument/2006/custom-properties" xmlns:vt="http://schemas.openxmlformats.org/officeDocument/2006/docPropsVTypes"/>
</file>