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b/>
          <w:bCs/>
          <w:color w:val="375623"/>
          <w:sz w:val="36"/>
          <w:szCs w:val="36"/>
        </w:rPr>
        <w:t xml:space="preserve">PAPER READING TEMPLATE</w:t>
      </w:r>
    </w:p>
    <w:p>
      <w:pPr>
        <w:spacing w:before="0" w:after="200"/>
        <w:jc w:val="center"/>
      </w:pPr>
      <w:r>
        <w:rPr>
          <w:color w:val="538135"/>
          <w:sz w:val="24"/>
          <w:szCs w:val="24"/>
        </w:rPr>
        <w:t xml:space="preserve">EHR-Based Pre-Consultation Medical Documentation System</w:t>
      </w:r>
    </w:p>
    <w:p>
      <w:pPr>
        <w:pBdr>
          <w:bottom w:val="single" w:color="538135" w:sz="6" w:space="1"/>
        </w:pBdr>
        <w:spacing w:before="120" w:after="120"/>
      </w:pPr>
    </w:p>
    <w:p>
      <w:pPr>
        <w:pStyle w:val="Heading1"/>
        <w:spacing w:before="280" w:after="120"/>
      </w:pPr>
      <w:r>
        <w:rPr>
          <w:b/>
          <w:bCs/>
          <w:color w:val="375623"/>
          <w:sz w:val="28"/>
          <w:szCs w:val="28"/>
        </w:rPr>
        <w:t xml:space="preserve">1. Basic Information</w:t>
      </w:r>
    </w:p>
    <w:p>
      <w:pPr>
        <w:spacing w:before="60" w:after="60"/>
      </w:pPr>
      <w:r>
        <w:rPr>
          <w:b/>
          <w:bCs/>
          <w:color w:val="375623"/>
          <w:sz w:val="22"/>
          <w:szCs w:val="22"/>
        </w:rPr>
        <w:t xml:space="preserve">Title: </w:t>
      </w:r>
      <w:r>
        <w:rPr>
          <w:color w:val="000000"/>
          <w:sz w:val="22"/>
          <w:szCs w:val="22"/>
        </w:rPr>
        <w:t xml:space="preserve">A multi-country study comparing typed to automatic speech recognition-based medical documentation speeds among Low- and Middle-Income Country Trained Clinicians</w:t>
      </w:r>
    </w:p>
    <w:p>
      <w:pPr>
        <w:spacing w:before="60" w:after="60"/>
      </w:pPr>
      <w:r>
        <w:rPr>
          <w:b/>
          <w:bCs/>
          <w:color w:val="375623"/>
          <w:sz w:val="22"/>
          <w:szCs w:val="22"/>
        </w:rPr>
        <w:t xml:space="preserve">Authors: </w:t>
      </w:r>
      <w:r>
        <w:rPr>
          <w:color w:val="000000"/>
          <w:sz w:val="22"/>
          <w:szCs w:val="22"/>
        </w:rPr>
        <w:t xml:space="preserve">Dr. Tobi Olatunji, Chinemelu Aka, Chibuzor Okocha, Dr. Gloria Katuka, Amina Tassallah, Naome Etori, Dr. Lukman Ismaila, Prof. Bilal A. Mateen, Prof Rebecca Weintraub</w:t>
      </w:r>
    </w:p>
    <w:p>
      <w:pPr>
        <w:spacing w:before="60" w:after="60"/>
      </w:pPr>
      <w:r>
        <w:rPr>
          <w:b/>
          <w:bCs/>
          <w:color w:val="375623"/>
          <w:sz w:val="22"/>
          <w:szCs w:val="22"/>
        </w:rPr>
        <w:t xml:space="preserve">Affiliation: </w:t>
      </w:r>
      <w:r>
        <w:rPr>
          <w:color w:val="000000"/>
          <w:sz w:val="22"/>
          <w:szCs w:val="22"/>
        </w:rPr>
        <w:t xml:space="preserve">Intron Health, BioRAMP Labs, Georgia Institute of Technology, Brown University, Microsoft, University of Minnesota, Johns Hopkins University, University of Florida, PATH, University of Birmingham, Harvard Medical School</w:t>
      </w:r>
    </w:p>
    <w:p>
      <w:pPr>
        <w:spacing w:before="60" w:after="60"/>
      </w:pPr>
      <w:r>
        <w:rPr>
          <w:b/>
          <w:bCs/>
          <w:color w:val="375623"/>
          <w:sz w:val="22"/>
          <w:szCs w:val="22"/>
        </w:rPr>
        <w:t xml:space="preserve">Journal/Venue: </w:t>
      </w:r>
      <w:r>
        <w:rPr>
          <w:color w:val="000000"/>
          <w:sz w:val="22"/>
          <w:szCs w:val="22"/>
        </w:rPr>
        <w:t xml:space="preserve">medRxiv preprint (not yet peer-reviewed)</w:t>
      </w:r>
    </w:p>
    <w:p>
      <w:pPr>
        <w:spacing w:before="60" w:after="60"/>
      </w:pPr>
      <w:r>
        <w:rPr>
          <w:b/>
          <w:bCs/>
          <w:color w:val="375623"/>
          <w:sz w:val="22"/>
          <w:szCs w:val="22"/>
        </w:rPr>
        <w:t xml:space="preserve">Year: </w:t>
      </w:r>
      <w:r>
        <w:rPr>
          <w:color w:val="000000"/>
          <w:sz w:val="22"/>
          <w:szCs w:val="22"/>
        </w:rPr>
        <w:t xml:space="preserve">2025 (posted May 13, 2025)</w:t>
      </w:r>
    </w:p>
    <w:p>
      <w:pPr>
        <w:spacing w:before="60" w:after="60"/>
      </w:pPr>
      <w:r>
        <w:rPr>
          <w:b/>
          <w:bCs/>
          <w:color w:val="375623"/>
          <w:sz w:val="22"/>
          <w:szCs w:val="22"/>
        </w:rPr>
        <w:t xml:space="preserve">DOI / Link: </w:t>
      </w:r>
      <w:r>
        <w:rPr>
          <w:color w:val="000000"/>
          <w:sz w:val="22"/>
          <w:szCs w:val="22"/>
        </w:rPr>
        <w:t xml:space="preserve">https://doi.org/10.1101/2025.05.11.25327386</w:t>
      </w:r>
    </w:p>
    <w:p>
      <w:pPr>
        <w:spacing w:before="60" w:after="60"/>
      </w:pPr>
      <w:r>
        <w:rPr>
          <w:b/>
          <w:bCs/>
          <w:color w:val="375623"/>
          <w:sz w:val="22"/>
          <w:szCs w:val="22"/>
        </w:rPr>
        <w:t xml:space="preserve">Keywords: </w:t>
      </w:r>
      <w:r>
        <w:rPr>
          <w:color w:val="000000"/>
          <w:sz w:val="22"/>
          <w:szCs w:val="22"/>
        </w:rPr>
        <w:t xml:space="preserve">dictation, keyboard speed, speech recognition, LMIC</w:t>
      </w:r>
    </w:p>
    <w:p>
      <w:pPr>
        <w:pBdr>
          <w:bottom w:val="single" w:color="538135" w:sz="6" w:space="1"/>
        </w:pBdr>
        <w:spacing w:before="120" w:after="120"/>
      </w:pPr>
    </w:p>
    <w:p>
      <w:pPr>
        <w:pStyle w:val="Heading1"/>
        <w:spacing w:before="280" w:after="120"/>
      </w:pPr>
      <w:r>
        <w:rPr>
          <w:b/>
          <w:bCs/>
          <w:color w:val="375623"/>
          <w:sz w:val="28"/>
          <w:szCs w:val="28"/>
        </w:rPr>
        <w:t xml:space="preserve">2. Research Context</w:t>
      </w:r>
    </w:p>
    <w:p>
      <w:pPr>
        <w:pStyle w:val="Heading2"/>
        <w:spacing w:before="200" w:after="80"/>
      </w:pPr>
      <w:r>
        <w:rPr>
          <w:b/>
          <w:bCs/>
          <w:color w:val="538135"/>
          <w:sz w:val="24"/>
          <w:szCs w:val="24"/>
        </w:rPr>
        <w:t xml:space="preserve">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c>
          <w:tcPr>
            <w:tcW w:type="dxa" w:w="2500"/>
            <w:tcBorders>
              <w:top w:val="single" w:color="AAAAAA" w:sz="1"/>
              <w:left w:val="single" w:color="AAAAAA" w:sz="1"/>
              <w:bottom w:val="single" w:color="AAAAAA" w:sz="1"/>
              <w:right w:val="single" w:color="AAAAAA" w:sz="1"/>
            </w:tcBorders>
            <w:shd w:fill="375623" w:val="clear"/>
            <w:tcMar>
              <w:top w:type="dxa" w:w="80"/>
              <w:left w:type="dxa" w:w="120"/>
              <w:bottom w:type="dxa" w:w="80"/>
              <w:right w:type="dxa" w:w="120"/>
            </w:tcMar>
            <w:vAlign w:val="center"/>
          </w:tcPr>
          <w:p>
            <w:pPr>
              <w:spacing w:before="40" w:after="40"/>
            </w:pPr>
            <w:r>
              <w:rPr>
                <w:b/>
                <w:bCs/>
                <w:color w:val="FFFFFF"/>
                <w:sz w:val="20"/>
                <w:szCs w:val="20"/>
              </w:rPr>
              <w:t xml:space="preserve">Domain</w:t>
            </w:r>
          </w:p>
        </w:tc>
        <w:tc>
          <w:tcPr>
            <w:tcW w:type="dxa" w:w="1800"/>
            <w:tcBorders>
              <w:top w:val="single" w:color="AAAAAA" w:sz="1"/>
              <w:left w:val="single" w:color="AAAAAA" w:sz="1"/>
              <w:bottom w:val="single" w:color="AAAAAA" w:sz="1"/>
              <w:right w:val="single" w:color="AAAAAA" w:sz="1"/>
            </w:tcBorders>
            <w:shd w:fill="375623" w:val="clear"/>
            <w:tcMar>
              <w:top w:type="dxa" w:w="80"/>
              <w:left w:type="dxa" w:w="120"/>
              <w:bottom w:type="dxa" w:w="80"/>
              <w:right w:type="dxa" w:w="120"/>
            </w:tcMar>
            <w:vAlign w:val="center"/>
          </w:tcPr>
          <w:p>
            <w:pPr>
              <w:spacing w:before="40" w:after="40"/>
            </w:pPr>
            <w:r>
              <w:rPr>
                <w:b/>
                <w:bCs/>
                <w:color w:val="FFFFFF"/>
                <w:sz w:val="20"/>
                <w:szCs w:val="20"/>
              </w:rPr>
              <w:t xml:space="preserve">Applicable?</w:t>
            </w:r>
          </w:p>
        </w:tc>
        <w:tc>
          <w:tcPr>
            <w:tcW w:type="dxa" w:w="5060"/>
            <w:tcBorders>
              <w:top w:val="single" w:color="AAAAAA" w:sz="1"/>
              <w:left w:val="single" w:color="AAAAAA" w:sz="1"/>
              <w:bottom w:val="single" w:color="AAAAAA" w:sz="1"/>
              <w:right w:val="single" w:color="AAAAAA" w:sz="1"/>
            </w:tcBorders>
            <w:shd w:fill="375623" w:val="clear"/>
            <w:tcMar>
              <w:top w:type="dxa" w:w="80"/>
              <w:left w:type="dxa" w:w="120"/>
              <w:bottom w:type="dxa" w:w="80"/>
              <w:right w:type="dxa" w:w="120"/>
            </w:tcMar>
            <w:vAlign w:val="center"/>
          </w:tcPr>
          <w:p>
            <w:pPr>
              <w:spacing w:before="40" w:after="40"/>
            </w:pPr>
            <w:r>
              <w:rPr>
                <w:b/>
                <w:bCs/>
                <w:color w:val="FFFFFF"/>
                <w:sz w:val="20"/>
                <w:szCs w:val="20"/>
              </w:rPr>
              <w:t xml:space="preserve">Notes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before="40" w:after="40"/>
            </w:pPr>
            <w:r>
              <w:rPr>
                <w:b w:val="false"/>
                <w:bCs w:val="false"/>
                <w:color w:val="000000"/>
                <w:sz w:val="20"/>
                <w:szCs w:val="20"/>
              </w:rPr>
              <w:t xml:space="preserve">Speech Recognition (ASR)</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before="40" w:after="40"/>
            </w:pPr>
            <w:r>
              <w:rPr>
                <w:b w:val="false"/>
                <w:bCs w:val="false"/>
                <w:color w:val="000000"/>
                <w:sz w:val="20"/>
                <w:szCs w:val="20"/>
              </w:rPr>
              <w:t xml:space="preserve">YES</w:t>
            </w:r>
          </w:p>
        </w:tc>
        <w:tc>
          <w:tcPr>
            <w:tcW w:type="dxa" w:w="5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before="40" w:after="40"/>
            </w:pPr>
            <w:r>
              <w:rPr>
                <w:b w:val="false"/>
                <w:bCs w:val="false"/>
                <w:color w:val="000000"/>
                <w:sz w:val="20"/>
                <w:szCs w:val="20"/>
              </w:rPr>
              <w:t xml:space="preserve">Core focus: evaluating ASR speed/accuracy for LMIC clinicians</w:t>
            </w:r>
          </w:p>
        </w:tc>
      </w:tr>
      <w:tr>
        <w:tc>
          <w:tcPr>
            <w:tcW w:type="dxa" w:w="25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spacing w:before="40" w:after="40"/>
            </w:pPr>
            <w:r>
              <w:rPr>
                <w:b w:val="false"/>
                <w:bCs w:val="false"/>
                <w:color w:val="000000"/>
                <w:sz w:val="20"/>
                <w:szCs w:val="20"/>
              </w:rPr>
              <w:t xml:space="preserve">Accent Recognition</w:t>
            </w:r>
          </w:p>
        </w:tc>
        <w:tc>
          <w:tcPr>
            <w:tcW w:type="dxa" w:w="18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spacing w:before="40" w:after="40"/>
            </w:pPr>
            <w:r>
              <w:rPr>
                <w:b w:val="false"/>
                <w:bCs w:val="false"/>
                <w:color w:val="000000"/>
                <w:sz w:val="20"/>
                <w:szCs w:val="20"/>
              </w:rPr>
              <w:t xml:space="preserve">YES - HIGHLY RELEVANT</w:t>
            </w:r>
          </w:p>
        </w:tc>
        <w:tc>
          <w:tcPr>
            <w:tcW w:type="dxa" w:w="50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spacing w:before="40" w:after="40"/>
            </w:pPr>
            <w:r>
              <w:rPr>
                <w:b w:val="false"/>
                <w:bCs w:val="false"/>
                <w:color w:val="000000"/>
                <w:sz w:val="20"/>
                <w:szCs w:val="20"/>
              </w:rPr>
              <w:t xml:space="preserve">72 unique accents tested; key finding is accent-dependent ASR accuracy</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before="40" w:after="40"/>
            </w:pPr>
            <w:r>
              <w:rPr>
                <w:b w:val="false"/>
                <w:bCs w:val="false"/>
                <w:color w:val="000000"/>
                <w:sz w:val="20"/>
                <w:szCs w:val="20"/>
              </w:rPr>
              <w:t xml:space="preserve">Medical NLP</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before="40" w:after="40"/>
            </w:pPr>
            <w:r>
              <w:rPr>
                <w:b w:val="false"/>
                <w:bCs w:val="false"/>
                <w:color w:val="000000"/>
                <w:sz w:val="20"/>
                <w:szCs w:val="20"/>
              </w:rPr>
              <w:t xml:space="preserve">NO</w:t>
            </w:r>
          </w:p>
        </w:tc>
        <w:tc>
          <w:tcPr>
            <w:tcW w:type="dxa" w:w="5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before="40" w:after="40"/>
            </w:pPr>
            <w:r>
              <w:rPr>
                <w:b w:val="false"/>
                <w:bCs w:val="false"/>
                <w:color w:val="000000"/>
                <w:sz w:val="20"/>
                <w:szCs w:val="20"/>
              </w:rPr>
              <w:t xml:space="preserve">No NLP/NER; study is only about input speed (typing vs dictation)</w:t>
            </w:r>
          </w:p>
        </w:tc>
      </w:tr>
      <w:tr>
        <w:tc>
          <w:tcPr>
            <w:tcW w:type="dxa" w:w="25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spacing w:before="40" w:after="40"/>
            </w:pPr>
            <w:r>
              <w:rPr>
                <w:b w:val="false"/>
                <w:bCs w:val="false"/>
                <w:color w:val="000000"/>
                <w:sz w:val="20"/>
                <w:szCs w:val="20"/>
              </w:rPr>
              <w:t xml:space="preserve">Bangla/Low-Resource Language</w:t>
            </w:r>
          </w:p>
        </w:tc>
        <w:tc>
          <w:tcPr>
            <w:tcW w:type="dxa" w:w="18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spacing w:before="40" w:after="40"/>
            </w:pPr>
            <w:r>
              <w:rPr>
                <w:b w:val="false"/>
                <w:bCs w:val="false"/>
                <w:color w:val="000000"/>
                <w:sz w:val="20"/>
                <w:szCs w:val="20"/>
              </w:rPr>
              <w:t xml:space="preserve">YES - HIGHLY RELEVANT</w:t>
            </w:r>
          </w:p>
        </w:tc>
        <w:tc>
          <w:tcPr>
            <w:tcW w:type="dxa" w:w="50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spacing w:before="40" w:after="40"/>
            </w:pPr>
            <w:r>
              <w:rPr>
                <w:b w:val="false"/>
                <w:bCs w:val="false"/>
                <w:color w:val="000000"/>
                <w:sz w:val="20"/>
                <w:szCs w:val="20"/>
              </w:rPr>
              <w:t xml:space="preserve">Studies ASR for clinicians from LMICs with non-English native languages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before="40" w:after="40"/>
            </w:pPr>
            <w:r>
              <w:rPr>
                <w:b w:val="false"/>
                <w:bCs w:val="false"/>
                <w:color w:val="000000"/>
                <w:sz w:val="20"/>
                <w:szCs w:val="20"/>
              </w:rPr>
              <w:t xml:space="preserve">EHR Systems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before="40" w:after="40"/>
            </w:pPr>
            <w:r>
              <w:rPr>
                <w:b w:val="false"/>
                <w:bCs w:val="false"/>
                <w:color w:val="000000"/>
                <w:sz w:val="20"/>
                <w:szCs w:val="20"/>
              </w:rPr>
              <w:t xml:space="preserve">PARTIAL</w:t>
            </w:r>
          </w:p>
        </w:tc>
        <w:tc>
          <w:tcPr>
            <w:tcW w:type="dxa" w:w="5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before="40" w:after="40"/>
            </w:pPr>
            <w:r>
              <w:rPr>
                <w:b w:val="false"/>
                <w:bCs w:val="false"/>
                <w:color w:val="000000"/>
                <w:sz w:val="20"/>
                <w:szCs w:val="20"/>
              </w:rPr>
              <w:t xml:space="preserve">EHR documentation efficiency is the motivation, not the technical focus</w:t>
            </w:r>
          </w:p>
        </w:tc>
      </w:tr>
      <w:tr>
        <w:tc>
          <w:tcPr>
            <w:tcW w:type="dxa" w:w="25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spacing w:before="40" w:after="40"/>
            </w:pPr>
            <w:r>
              <w:rPr>
                <w:b w:val="false"/>
                <w:bCs w:val="false"/>
                <w:color w:val="000000"/>
                <w:sz w:val="20"/>
                <w:szCs w:val="20"/>
              </w:rPr>
              <w:t xml:space="preserve">Information Extraction</w:t>
            </w:r>
          </w:p>
        </w:tc>
        <w:tc>
          <w:tcPr>
            <w:tcW w:type="dxa" w:w="18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spacing w:before="40" w:after="40"/>
            </w:pPr>
            <w:r>
              <w:rPr>
                <w:b w:val="false"/>
                <w:bCs w:val="false"/>
                <w:color w:val="000000"/>
                <w:sz w:val="20"/>
                <w:szCs w:val="20"/>
              </w:rPr>
              <w:t xml:space="preserve">NO</w:t>
            </w:r>
          </w:p>
        </w:tc>
        <w:tc>
          <w:tcPr>
            <w:tcW w:type="dxa" w:w="50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spacing w:before="40" w:after="40"/>
            </w:pPr>
            <w:r>
              <w:rPr>
                <w:b w:val="false"/>
                <w:bCs w:val="false"/>
                <w:color w:val="000000"/>
                <w:sz w:val="20"/>
                <w:szCs w:val="20"/>
              </w:rPr>
              <w:t xml:space="preserve">Not addressed in this paper</w:t>
            </w:r>
          </w:p>
        </w:tc>
      </w:tr>
    </w:tbl>
    <w:p>
      <w:pPr>
        <w:spacing w:before="80"/>
      </w:pPr>
    </w:p>
    <w:p>
      <w:pPr>
        <w:spacing w:before="60" w:after="60"/>
      </w:pPr>
      <w:r>
        <w:rPr>
          <w:b/>
          <w:bCs/>
          <w:color w:val="375623"/>
          <w:sz w:val="22"/>
          <w:szCs w:val="22"/>
        </w:rPr>
        <w:t xml:space="preserve">Specific Sub-domain: </w:t>
      </w:r>
      <w:r>
        <w:rPr>
          <w:color w:val="000000"/>
          <w:sz w:val="22"/>
          <w:szCs w:val="22"/>
        </w:rPr>
        <w:t xml:space="preserve">ASR Efficiency in Low-Resource/LMIC Clinical Settings; Accent-Robust ASR; Dictation vs Typing Speed Benchmarking</w:t>
      </w:r>
    </w:p>
    <w:p>
      <w:pPr>
        <w:spacing w:before="80"/>
      </w:pPr>
    </w:p>
    <w:p>
      <w:pPr>
        <w:pStyle w:val="Heading2"/>
        <w:spacing w:before="200" w:after="80"/>
      </w:pPr>
      <w:r>
        <w:rPr>
          <w:b/>
          <w:bCs/>
          <w:color w:val="538135"/>
          <w:sz w:val="24"/>
          <w:szCs w:val="24"/>
        </w:rPr>
        <w:t xml:space="preserve">Relevance to Our Project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430"/>
        <w:gridCol w:w="5430"/>
      </w:tblGrid>
      <w:tr>
        <w:tc>
          <w:tcPr>
            <w:tcW w:type="dxa" w:w="2500"/>
            <w:tcBorders>
              <w:top w:val="single" w:color="AAAAAA" w:sz="1"/>
              <w:left w:val="single" w:color="AAAAAA" w:sz="1"/>
              <w:bottom w:val="single" w:color="AAAAAA" w:sz="1"/>
              <w:right w:val="single" w:color="AAAAAA" w:sz="1"/>
            </w:tcBorders>
            <w:shd w:fill="375623" w:val="clear"/>
            <w:tcMar>
              <w:top w:type="dxa" w:w="80"/>
              <w:left w:type="dxa" w:w="120"/>
              <w:bottom w:type="dxa" w:w="80"/>
              <w:right w:type="dxa" w:w="120"/>
            </w:tcMar>
            <w:vAlign w:val="center"/>
          </w:tcPr>
          <w:p>
            <w:pPr>
              <w:spacing w:before="40" w:after="40"/>
            </w:pPr>
            <w:r>
              <w:rPr>
                <w:b/>
                <w:bCs/>
                <w:color w:val="FFFFFF"/>
                <w:sz w:val="20"/>
                <w:szCs w:val="20"/>
              </w:rPr>
              <w:t xml:space="preserve">Component</w:t>
            </w:r>
          </w:p>
        </w:tc>
        <w:tc>
          <w:tcPr>
            <w:tcW w:type="dxa" w:w="1430"/>
            <w:tcBorders>
              <w:top w:val="single" w:color="AAAAAA" w:sz="1"/>
              <w:left w:val="single" w:color="AAAAAA" w:sz="1"/>
              <w:bottom w:val="single" w:color="AAAAAA" w:sz="1"/>
              <w:right w:val="single" w:color="AAAAAA" w:sz="1"/>
            </w:tcBorders>
            <w:shd w:fill="375623" w:val="clear"/>
            <w:tcMar>
              <w:top w:type="dxa" w:w="80"/>
              <w:left w:type="dxa" w:w="120"/>
              <w:bottom w:type="dxa" w:w="80"/>
              <w:right w:type="dxa" w:w="120"/>
            </w:tcMar>
            <w:vAlign w:val="center"/>
          </w:tcPr>
          <w:p>
            <w:pPr>
              <w:spacing w:before="40" w:after="40"/>
            </w:pPr>
            <w:r>
              <w:rPr>
                <w:b/>
                <w:bCs/>
                <w:color w:val="FFFFFF"/>
                <w:sz w:val="20"/>
                <w:szCs w:val="20"/>
              </w:rPr>
              <w:t xml:space="preserve">Score</w:t>
            </w:r>
          </w:p>
        </w:tc>
        <w:tc>
          <w:tcPr>
            <w:tcW w:type="dxa" w:w="5430"/>
            <w:tcBorders>
              <w:top w:val="single" w:color="AAAAAA" w:sz="1"/>
              <w:left w:val="single" w:color="AAAAAA" w:sz="1"/>
              <w:bottom w:val="single" w:color="AAAAAA" w:sz="1"/>
              <w:right w:val="single" w:color="AAAAAA" w:sz="1"/>
            </w:tcBorders>
            <w:shd w:fill="375623" w:val="clear"/>
            <w:tcMar>
              <w:top w:type="dxa" w:w="80"/>
              <w:left w:type="dxa" w:w="120"/>
              <w:bottom w:type="dxa" w:w="80"/>
              <w:right w:type="dxa" w:w="120"/>
            </w:tcMar>
            <w:vAlign w:val="center"/>
          </w:tcPr>
          <w:p>
            <w:pPr>
              <w:spacing w:before="40" w:after="40"/>
            </w:pPr>
            <w:r>
              <w:rPr>
                <w:b/>
                <w:bCs/>
                <w:color w:val="FFFFFF"/>
                <w:sz w:val="20"/>
                <w:szCs w:val="20"/>
              </w:rPr>
              <w:t xml:space="preserve">Justification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before="40" w:after="40"/>
            </w:pPr>
            <w:r>
              <w:rPr>
                <w:b w:val="false"/>
                <w:bCs w:val="false"/>
                <w:color w:val="000000"/>
                <w:sz w:val="20"/>
                <w:szCs w:val="20"/>
              </w:rPr>
              <w:t xml:space="preserve">ASR component</w:t>
            </w:r>
          </w:p>
        </w:tc>
        <w:tc>
          <w:tcPr>
            <w:tcW w:type="dxa" w:w="14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before="40" w:after="40"/>
            </w:pPr>
            <w:r>
              <w:rPr>
                <w:b w:val="false"/>
                <w:bCs w:val="false"/>
                <w:color w:val="000000"/>
                <w:sz w:val="20"/>
                <w:szCs w:val="20"/>
              </w:rPr>
              <w:t xml:space="preserve">4/5</w:t>
            </w:r>
          </w:p>
        </w:tc>
        <w:tc>
          <w:tcPr>
            <w:tcW w:type="dxa" w:w="54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before="40" w:after="40"/>
            </w:pPr>
            <w:r>
              <w:rPr>
                <w:b w:val="false"/>
                <w:bCs w:val="false"/>
                <w:color w:val="000000"/>
                <w:sz w:val="20"/>
                <w:szCs w:val="20"/>
              </w:rPr>
              <w:t xml:space="preserve">Direct evidence that ASR is 4-5x faster for LMIC clinicians - motivates our project strongly</w:t>
            </w:r>
          </w:p>
        </w:tc>
      </w:tr>
      <w:tr>
        <w:tc>
          <w:tcPr>
            <w:tcW w:type="dxa" w:w="25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spacing w:before="40" w:after="40"/>
            </w:pPr>
            <w:r>
              <w:rPr>
                <w:b w:val="false"/>
                <w:bCs w:val="false"/>
                <w:color w:val="000000"/>
                <w:sz w:val="20"/>
                <w:szCs w:val="20"/>
              </w:rPr>
              <w:t xml:space="preserve">Medical NLP</w:t>
            </w:r>
          </w:p>
        </w:tc>
        <w:tc>
          <w:tcPr>
            <w:tcW w:type="dxa" w:w="143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spacing w:before="40" w:after="40"/>
            </w:pPr>
            <w:r>
              <w:rPr>
                <w:b w:val="false"/>
                <w:bCs w:val="false"/>
                <w:color w:val="000000"/>
                <w:sz w:val="20"/>
                <w:szCs w:val="20"/>
              </w:rPr>
              <w:t xml:space="preserve">1/5</w:t>
            </w:r>
          </w:p>
        </w:tc>
        <w:tc>
          <w:tcPr>
            <w:tcW w:type="dxa" w:w="543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spacing w:before="40" w:after="40"/>
            </w:pPr>
            <w:r>
              <w:rPr>
                <w:b w:val="false"/>
                <w:bCs w:val="false"/>
                <w:color w:val="000000"/>
                <w:sz w:val="20"/>
                <w:szCs w:val="20"/>
              </w:rPr>
              <w:t xml:space="preserve">Not relevant - no NLP/NER work in this paper</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before="40" w:after="40"/>
            </w:pPr>
            <w:r>
              <w:rPr>
                <w:b w:val="false"/>
                <w:bCs w:val="false"/>
                <w:color w:val="000000"/>
                <w:sz w:val="20"/>
                <w:szCs w:val="20"/>
              </w:rPr>
              <w:t xml:space="preserve">Bangla/multilingual</w:t>
            </w:r>
          </w:p>
        </w:tc>
        <w:tc>
          <w:tcPr>
            <w:tcW w:type="dxa" w:w="14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before="40" w:after="40"/>
            </w:pPr>
            <w:r>
              <w:rPr>
                <w:b w:val="false"/>
                <w:bCs w:val="false"/>
                <w:color w:val="000000"/>
                <w:sz w:val="20"/>
                <w:szCs w:val="20"/>
              </w:rPr>
              <w:t xml:space="preserve">5/5</w:t>
            </w:r>
          </w:p>
        </w:tc>
        <w:tc>
          <w:tcPr>
            <w:tcW w:type="dxa" w:w="54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before="40" w:after="40"/>
            </w:pPr>
            <w:r>
              <w:rPr>
                <w:b w:val="false"/>
                <w:bCs w:val="false"/>
                <w:color w:val="000000"/>
                <w:sz w:val="20"/>
                <w:szCs w:val="20"/>
              </w:rPr>
              <w:t xml:space="preserve">Bangladesh is an LMIC; finding that LMIC clinicians benefit most from ASR directly supports our use case</w:t>
            </w:r>
          </w:p>
        </w:tc>
      </w:tr>
      <w:tr>
        <w:tc>
          <w:tcPr>
            <w:tcW w:type="dxa" w:w="25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spacing w:before="40" w:after="40"/>
            </w:pPr>
            <w:r>
              <w:rPr>
                <w:b w:val="false"/>
                <w:bCs w:val="false"/>
                <w:color w:val="000000"/>
                <w:sz w:val="20"/>
                <w:szCs w:val="20"/>
              </w:rPr>
              <w:t xml:space="preserve">Accent handling</w:t>
            </w:r>
          </w:p>
        </w:tc>
        <w:tc>
          <w:tcPr>
            <w:tcW w:type="dxa" w:w="143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spacing w:before="40" w:after="40"/>
            </w:pPr>
            <w:r>
              <w:rPr>
                <w:b w:val="false"/>
                <w:bCs w:val="false"/>
                <w:color w:val="000000"/>
                <w:sz w:val="20"/>
                <w:szCs w:val="20"/>
              </w:rPr>
              <w:t xml:space="preserve">5/5</w:t>
            </w:r>
          </w:p>
        </w:tc>
        <w:tc>
          <w:tcPr>
            <w:tcW w:type="dxa" w:w="543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spacing w:before="40" w:after="40"/>
            </w:pPr>
            <w:r>
              <w:rPr>
                <w:b w:val="false"/>
                <w:bCs w:val="false"/>
                <w:color w:val="000000"/>
                <w:sz w:val="20"/>
                <w:szCs w:val="20"/>
              </w:rPr>
              <w:t xml:space="preserve">Critical finding: ASR accuracy varies significantly by accent; warns us to test Bangla dialect robustness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before="40" w:after="40"/>
            </w:pPr>
            <w:r>
              <w:rPr>
                <w:b w:val="false"/>
                <w:bCs w:val="false"/>
                <w:color w:val="000000"/>
                <w:sz w:val="20"/>
                <w:szCs w:val="20"/>
              </w:rPr>
              <w:t xml:space="preserve">EHR integration</w:t>
            </w:r>
          </w:p>
        </w:tc>
        <w:tc>
          <w:tcPr>
            <w:tcW w:type="dxa" w:w="14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before="40" w:after="40"/>
            </w:pPr>
            <w:r>
              <w:rPr>
                <w:b w:val="false"/>
                <w:bCs w:val="false"/>
                <w:color w:val="000000"/>
                <w:sz w:val="20"/>
                <w:szCs w:val="20"/>
              </w:rPr>
              <w:t xml:space="preserve">2/5</w:t>
            </w:r>
          </w:p>
        </w:tc>
        <w:tc>
          <w:tcPr>
            <w:tcW w:type="dxa" w:w="54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before="40" w:after="40"/>
            </w:pPr>
            <w:r>
              <w:rPr>
                <w:b w:val="false"/>
                <w:bCs w:val="false"/>
                <w:color w:val="000000"/>
                <w:sz w:val="20"/>
                <w:szCs w:val="20"/>
              </w:rPr>
              <w:t xml:space="preserve">Motivates ASR for EHR but does not implement EHR integration</w:t>
            </w:r>
          </w:p>
        </w:tc>
      </w:tr>
    </w:tbl>
    <w:p>
      <w:pPr>
        <w:spacing w:before="80"/>
      </w:pPr>
    </w:p>
    <w:p>
      <w:pPr>
        <w:pStyle w:val="Heading2"/>
        <w:spacing w:before="200" w:after="80"/>
      </w:pPr>
      <w:r>
        <w:rPr>
          <w:b/>
          <w:bCs/>
          <w:color w:val="538135"/>
          <w:sz w:val="24"/>
          <w:szCs w:val="24"/>
        </w:rPr>
        <w:t xml:space="preserve">Most Relevant For</w:t>
      </w:r>
    </w:p>
    <w:p>
      <w:pPr>
        <w:pStyle w:val="ListParagraph"/>
        <w:numPr>
          <w:ilvl w:val="0"/>
          <w:numId w:val="2"/>
        </w:numPr>
        <w:spacing w:before="40" w:after="40"/>
      </w:pPr>
      <w:r>
        <w:rPr>
          <w:sz w:val="22"/>
          <w:szCs w:val="22"/>
        </w:rPr>
        <w:t xml:space="preserve">Understanding the user need (motivation) for ASR in LMIC clinical settings</w:t>
      </w:r>
    </w:p>
    <w:p>
      <w:pPr>
        <w:pStyle w:val="ListParagraph"/>
        <w:numPr>
          <w:ilvl w:val="0"/>
          <w:numId w:val="2"/>
        </w:numPr>
        <w:spacing w:before="40" w:after="40"/>
      </w:pPr>
      <w:r>
        <w:rPr>
          <w:sz w:val="22"/>
          <w:szCs w:val="22"/>
        </w:rPr>
        <w:t xml:space="preserve">Accent adaptation insights - why generic ASR models fail for non-English speakers</w:t>
      </w:r>
    </w:p>
    <w:p>
      <w:pPr>
        <w:pStyle w:val="ListParagraph"/>
        <w:numPr>
          <w:ilvl w:val="0"/>
          <w:numId w:val="2"/>
        </w:numPr>
        <w:spacing w:before="40" w:after="40"/>
      </w:pPr>
      <w:r>
        <w:rPr>
          <w:sz w:val="22"/>
          <w:szCs w:val="22"/>
        </w:rPr>
        <w:t xml:space="preserve">Evaluation metrics: dictation speed, typing speed, error-adjusted speed, accuracy ratings</w:t>
      </w:r>
    </w:p>
    <w:p>
      <w:pPr>
        <w:pStyle w:val="ListParagraph"/>
        <w:numPr>
          <w:ilvl w:val="0"/>
          <w:numId w:val="2"/>
        </w:numPr>
        <w:spacing w:before="40" w:after="40"/>
      </w:pPr>
      <w:r>
        <w:rPr>
          <w:sz w:val="22"/>
          <w:szCs w:val="22"/>
        </w:rPr>
        <w:t xml:space="preserve">Dataset creation methods: how to recruit LMIC clinicians and design speech evaluation tasks</w:t>
      </w:r>
    </w:p>
    <w:p>
      <w:pPr>
        <w:pBdr>
          <w:bottom w:val="single" w:color="538135" w:sz="6" w:space="1"/>
        </w:pBdr>
        <w:spacing w:before="120" w:after="120"/>
      </w:pPr>
    </w:p>
    <w:p>
      <w:pPr>
        <w:pStyle w:val="Heading1"/>
        <w:spacing w:before="280" w:after="120"/>
      </w:pPr>
      <w:r>
        <w:rPr>
          <w:b/>
          <w:bCs/>
          <w:color w:val="375623"/>
          <w:sz w:val="28"/>
          <w:szCs w:val="28"/>
        </w:rPr>
        <w:t xml:space="preserve">3. Problem Definition</w:t>
      </w:r>
    </w:p>
    <w:p>
      <w:pPr>
        <w:pStyle w:val="Heading2"/>
        <w:spacing w:before="200" w:after="80"/>
      </w:pPr>
      <w:r>
        <w:rPr>
          <w:b/>
          <w:bCs/>
          <w:color w:val="538135"/>
          <w:sz w:val="24"/>
          <w:szCs w:val="24"/>
        </w:rPr>
        <w:t xml:space="preserve">A. What problem does this paper solve?</w:t>
      </w:r>
    </w:p>
    <w:p>
      <w:pPr>
        <w:spacing w:before="60" w:after="60"/>
      </w:pPr>
      <w:r>
        <w:rPr>
          <w:sz w:val="22"/>
          <w:szCs w:val="22"/>
        </w:rPr>
        <w:t xml:space="preserve">Clinicians in LMICs (like Bangladesh) type very slowly (median 21.4 wpm) compared to speaking speed (~93 wpm dictation). This paper asks: does ASR actually offer efficiency gains for LMIC clinicians, and does accent diversity affect how well ASR works for them? The answer is yes to efficiency gains, but with important caveats about accent-dependent accuracy.</w:t>
      </w:r>
    </w:p>
    <w:p>
      <w:pPr>
        <w:spacing w:before="80"/>
      </w:pPr>
    </w:p>
    <w:p>
      <w:pPr>
        <w:pStyle w:val="Heading2"/>
        <w:spacing w:before="200" w:after="80"/>
      </w:pPr>
      <w:r>
        <w:rPr>
          <w:b/>
          <w:bCs/>
          <w:color w:val="538135"/>
          <w:sz w:val="24"/>
          <w:szCs w:val="24"/>
        </w:rPr>
        <w:t xml:space="preserve">B. How does this relate to OUR project?</w:t>
      </w:r>
    </w:p>
    <w:p>
      <w:pPr>
        <w:spacing w:before="60" w:after="60"/>
      </w:pPr>
      <w:r>
        <w:rPr>
          <w:b/>
          <w:bCs/>
          <w:color w:val="375623"/>
          <w:sz w:val="22"/>
          <w:szCs w:val="22"/>
        </w:rPr>
        <w:t xml:space="preserve">Direct application: </w:t>
      </w:r>
      <w:r>
        <w:rPr>
          <w:color w:val="000000"/>
          <w:sz w:val="22"/>
          <w:szCs w:val="22"/>
        </w:rPr>
        <w:t xml:space="preserve">Provides empirical justification that voice-based pre-consultation documentation will be significantly faster than typing for Bangladeshi patients (typing speed in LMICs ~21 wpm vs ~93 wpm dictation = 4.3x speedup)</w:t>
      </w:r>
    </w:p>
    <w:p>
      <w:pPr>
        <w:spacing w:before="60" w:after="60"/>
      </w:pPr>
      <w:r>
        <w:rPr>
          <w:b/>
          <w:bCs/>
          <w:color w:val="375623"/>
          <w:sz w:val="22"/>
          <w:szCs w:val="22"/>
        </w:rPr>
        <w:t xml:space="preserve">Inspired approach: </w:t>
      </w:r>
      <w:r>
        <w:rPr>
          <w:color w:val="000000"/>
          <w:sz w:val="22"/>
          <w:szCs w:val="22"/>
        </w:rPr>
        <w:t xml:space="preserve">Their error-adjusted dictation speed metric (accounting for time needed to fix ASR errors) is highly relevant for our system - we should compute and report this</w:t>
      </w:r>
    </w:p>
    <w:p>
      <w:pPr>
        <w:spacing w:before="60" w:after="60"/>
      </w:pPr>
      <w:r>
        <w:rPr>
          <w:b/>
          <w:bCs/>
          <w:color w:val="375623"/>
          <w:sz w:val="22"/>
          <w:szCs w:val="22"/>
        </w:rPr>
        <w:t xml:space="preserve">Technique we can borrow: </w:t>
      </w:r>
      <w:r>
        <w:rPr>
          <w:color w:val="000000"/>
          <w:sz w:val="22"/>
          <w:szCs w:val="22"/>
        </w:rPr>
        <w:t xml:space="preserve">Subjective accuracy rating (0-100 scale) for ASR quality; error-adjusted speed formula; participant feedback collection design for user study</w:t>
      </w:r>
    </w:p>
    <w:p>
      <w:pPr>
        <w:spacing w:before="80"/>
      </w:pPr>
    </w:p>
    <w:p>
      <w:pPr>
        <w:pStyle w:val="Heading2"/>
        <w:spacing w:before="200" w:after="80"/>
      </w:pPr>
      <w:r>
        <w:rPr>
          <w:b/>
          <w:bCs/>
          <w:color w:val="538135"/>
          <w:sz w:val="24"/>
          <w:szCs w:val="24"/>
        </w:rPr>
        <w:t xml:space="preserve">C. Solution Approach</w:t>
      </w:r>
    </w:p>
    <w:p>
      <w:pPr>
        <w:spacing w:before="60" w:after="60"/>
      </w:pPr>
      <w:r>
        <w:rPr>
          <w:sz w:val="22"/>
          <w:szCs w:val="22"/>
        </w:rPr>
        <w:t xml:space="preserve">The paper is an observational benchmarking study. 726 LMIC-trained clinicians from 15 countries used the Intron Health platform to complete two tasks: (1) typing a 74-word medical passage, and (2) dictating the same passage. Speed (wpm), accuracy (self-rated 0-100), and qualitative feedback were measured. Statistical analysis used paired t-tests. Sub-group analysis examined variation by age, gender, country, and accent.</w:t>
      </w:r>
    </w:p>
    <w:p>
      <w:pPr>
        <w:pBdr>
          <w:bottom w:val="single" w:color="538135" w:sz="6" w:space="1"/>
        </w:pBdr>
        <w:spacing w:before="120" w:after="120"/>
      </w:pPr>
    </w:p>
    <w:p>
      <w:pPr>
        <w:pStyle w:val="Heading1"/>
        <w:spacing w:before="280" w:after="120"/>
      </w:pPr>
      <w:r>
        <w:rPr>
          <w:b/>
          <w:bCs/>
          <w:color w:val="375623"/>
          <w:sz w:val="28"/>
          <w:szCs w:val="28"/>
        </w:rPr>
        <w:t xml:space="preserve">4. Methodology Analysis</w:t>
      </w:r>
    </w:p>
    <w:p>
      <w:pPr>
        <w:pStyle w:val="Heading2"/>
        <w:spacing w:before="200" w:after="80"/>
      </w:pPr>
      <w:r>
        <w:rPr>
          <w:b/>
          <w:bCs/>
          <w:color w:val="538135"/>
          <w:sz w:val="24"/>
          <w:szCs w:val="24"/>
        </w:rPr>
        <w:t xml:space="preserve">Model/Approach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AAAA" w:sz="1"/>
              <w:left w:val="single" w:color="AAAAAA" w:sz="1"/>
              <w:bottom w:val="single" w:color="AAAAAA" w:sz="1"/>
              <w:right w:val="single" w:color="AAAAAA" w:sz="1"/>
            </w:tcBorders>
            <w:shd w:fill="375623" w:val="clear"/>
            <w:tcMar>
              <w:top w:type="dxa" w:w="80"/>
              <w:left w:type="dxa" w:w="120"/>
              <w:bottom w:type="dxa" w:w="80"/>
              <w:right w:type="dxa" w:w="120"/>
            </w:tcMar>
            <w:vAlign w:val="center"/>
          </w:tcPr>
          <w:p>
            <w:pPr>
              <w:spacing w:before="40" w:after="40"/>
            </w:pPr>
            <w:r>
              <w:rPr>
                <w:b/>
                <w:bCs/>
                <w:color w:val="FFFFFF"/>
                <w:sz w:val="20"/>
                <w:szCs w:val="20"/>
              </w:rPr>
              <w:t xml:space="preserve">Component</w:t>
            </w:r>
          </w:p>
        </w:tc>
        <w:tc>
          <w:tcPr>
            <w:tcW w:type="dxa" w:w="6860"/>
            <w:tcBorders>
              <w:top w:val="single" w:color="AAAAAA" w:sz="1"/>
              <w:left w:val="single" w:color="AAAAAA" w:sz="1"/>
              <w:bottom w:val="single" w:color="AAAAAA" w:sz="1"/>
              <w:right w:val="single" w:color="AAAAAA" w:sz="1"/>
            </w:tcBorders>
            <w:shd w:fill="375623" w:val="clear"/>
            <w:tcMar>
              <w:top w:type="dxa" w:w="80"/>
              <w:left w:type="dxa" w:w="120"/>
              <w:bottom w:type="dxa" w:w="80"/>
              <w:right w:type="dxa" w:w="120"/>
            </w:tcMar>
            <w:vAlign w:val="center"/>
          </w:tcPr>
          <w:p>
            <w:pPr>
              <w:spacing w:before="40" w:after="40"/>
            </w:pPr>
            <w:r>
              <w:rPr>
                <w:b/>
                <w:bCs/>
                <w:color w:val="FFFFFF"/>
                <w:sz w:val="20"/>
                <w:szCs w:val="20"/>
              </w:rPr>
              <w:t xml:space="preserve">Details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before="40" w:after="40"/>
            </w:pPr>
            <w:r>
              <w:rPr>
                <w:b w:val="false"/>
                <w:bCs w:val="false"/>
                <w:color w:val="000000"/>
                <w:sz w:val="20"/>
                <w:szCs w:val="20"/>
              </w:rPr>
              <w:t xml:space="preserve">ASR Model</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before="40" w:after="40"/>
            </w:pPr>
            <w:r>
              <w:rPr>
                <w:b w:val="false"/>
                <w:bCs w:val="false"/>
                <w:color w:val="000000"/>
                <w:sz w:val="20"/>
                <w:szCs w:val="20"/>
              </w:rPr>
              <w:t xml:space="preserve">Intron Health's proprietary ASR (not disclosed; trained for African-accented English)</w:t>
            </w:r>
          </w:p>
        </w:tc>
      </w:tr>
      <w:tr>
        <w:tc>
          <w:tcPr>
            <w:tcW w:type="dxa" w:w="25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spacing w:before="40" w:after="40"/>
            </w:pPr>
            <w:r>
              <w:rPr>
                <w:b w:val="false"/>
                <w:bCs w:val="false"/>
                <w:color w:val="000000"/>
                <w:sz w:val="20"/>
                <w:szCs w:val="20"/>
              </w:rPr>
              <w:t xml:space="preserve">Study Design</w:t>
            </w:r>
          </w:p>
        </w:tc>
        <w:tc>
          <w:tcPr>
            <w:tcW w:type="dxa" w:w="68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spacing w:before="40" w:after="40"/>
            </w:pPr>
            <w:r>
              <w:rPr>
                <w:b w:val="false"/>
                <w:bCs w:val="false"/>
                <w:color w:val="000000"/>
                <w:sz w:val="20"/>
                <w:szCs w:val="20"/>
              </w:rPr>
              <w:t xml:space="preserve">Observational benchmarking with paired tasks (typing + dictation)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before="40" w:after="40"/>
            </w:pPr>
            <w:r>
              <w:rPr>
                <w:b w:val="false"/>
                <w:bCs w:val="false"/>
                <w:color w:val="000000"/>
                <w:sz w:val="20"/>
                <w:szCs w:val="20"/>
              </w:rPr>
              <w:t xml:space="preserve">Passage</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before="40" w:after="40"/>
            </w:pPr>
            <w:r>
              <w:rPr>
                <w:b w:val="false"/>
                <w:bCs w:val="false"/>
                <w:color w:val="000000"/>
                <w:sz w:val="20"/>
                <w:szCs w:val="20"/>
              </w:rPr>
              <w:t xml:space="preserve">74-word cardiovascular outpatient clinic template note</w:t>
            </w:r>
          </w:p>
        </w:tc>
      </w:tr>
      <w:tr>
        <w:tc>
          <w:tcPr>
            <w:tcW w:type="dxa" w:w="25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spacing w:before="40" w:after="40"/>
            </w:pPr>
            <w:r>
              <w:rPr>
                <w:b w:val="false"/>
                <w:bCs w:val="false"/>
                <w:color w:val="000000"/>
                <w:sz w:val="20"/>
                <w:szCs w:val="20"/>
              </w:rPr>
              <w:t xml:space="preserve">Sampling</w:t>
            </w:r>
          </w:p>
        </w:tc>
        <w:tc>
          <w:tcPr>
            <w:tcW w:type="dxa" w:w="68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spacing w:before="40" w:after="40"/>
            </w:pPr>
            <w:r>
              <w:rPr>
                <w:b w:val="false"/>
                <w:bCs w:val="false"/>
                <w:color w:val="000000"/>
                <w:sz w:val="20"/>
                <w:szCs w:val="20"/>
              </w:rPr>
              <w:t xml:space="preserve">Convenience sampling via Intron Health onboarding (2022-2024)</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before="40" w:after="40"/>
            </w:pPr>
            <w:r>
              <w:rPr>
                <w:b w:val="false"/>
                <w:bCs w:val="false"/>
                <w:color w:val="000000"/>
                <w:sz w:val="20"/>
                <w:szCs w:val="20"/>
              </w:rPr>
              <w:t xml:space="preserve">Platform</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before="40" w:after="40"/>
            </w:pPr>
            <w:r>
              <w:rPr>
                <w:b w:val="false"/>
                <w:bCs w:val="false"/>
                <w:color w:val="000000"/>
                <w:sz w:val="20"/>
                <w:szCs w:val="20"/>
              </w:rPr>
              <w:t xml:space="preserve">Web-based; accessible via browser</w:t>
            </w:r>
          </w:p>
        </w:tc>
      </w:tr>
      <w:tr>
        <w:tc>
          <w:tcPr>
            <w:tcW w:type="dxa" w:w="25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spacing w:before="40" w:after="40"/>
            </w:pPr>
            <w:r>
              <w:rPr>
                <w:b w:val="false"/>
                <w:bCs w:val="false"/>
                <w:color w:val="000000"/>
                <w:sz w:val="20"/>
                <w:szCs w:val="20"/>
              </w:rPr>
              <w:t xml:space="preserve">Participants</w:t>
            </w:r>
          </w:p>
        </w:tc>
        <w:tc>
          <w:tcPr>
            <w:tcW w:type="dxa" w:w="68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spacing w:before="40" w:after="40"/>
            </w:pPr>
            <w:r>
              <w:rPr>
                <w:b w:val="false"/>
                <w:bCs w:val="false"/>
                <w:color w:val="000000"/>
                <w:sz w:val="20"/>
                <w:szCs w:val="20"/>
              </w:rPr>
              <w:t xml:space="preserve">726 clinicians from 15 LMICs (Nigeria, South Africa, Philippines, Kenya, Ghana, etc.)</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before="40" w:after="40"/>
            </w:pPr>
            <w:r>
              <w:rPr>
                <w:b w:val="false"/>
                <w:bCs w:val="false"/>
                <w:color w:val="000000"/>
                <w:sz w:val="20"/>
                <w:szCs w:val="20"/>
              </w:rPr>
              <w:t xml:space="preserve">No model training</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before="40" w:after="40"/>
            </w:pPr>
            <w:r>
              <w:rPr>
                <w:b w:val="false"/>
                <w:bCs w:val="false"/>
                <w:color w:val="000000"/>
                <w:sz w:val="20"/>
                <w:szCs w:val="20"/>
              </w:rPr>
              <w:t xml:space="preserve">This paper does NOT build or train models - it evaluates existing ASR tool</w:t>
            </w:r>
          </w:p>
        </w:tc>
      </w:tr>
    </w:tbl>
    <w:p>
      <w:pPr>
        <w:spacing w:before="80"/>
      </w:pPr>
    </w:p>
    <w:p>
      <w:pPr>
        <w:pStyle w:val="Heading2"/>
        <w:spacing w:before="200" w:after="80"/>
      </w:pPr>
      <w:r>
        <w:rPr>
          <w:b/>
          <w:bCs/>
          <w:color w:val="538135"/>
          <w:sz w:val="24"/>
          <w:szCs w:val="24"/>
        </w:rPr>
        <w:t xml:space="preserve">Training Strategy</w:t>
      </w:r>
    </w:p>
    <w:p>
      <w:pPr>
        <w:spacing w:before="60" w:after="60"/>
      </w:pPr>
      <w:r>
        <w:rPr>
          <w:b/>
          <w:bCs/>
          <w:color w:val="375623"/>
          <w:sz w:val="22"/>
          <w:szCs w:val="22"/>
        </w:rPr>
        <w:t xml:space="preserve">Pre-training: </w:t>
      </w:r>
      <w:r>
        <w:rPr>
          <w:color w:val="000000"/>
          <w:sz w:val="22"/>
          <w:szCs w:val="22"/>
        </w:rPr>
        <w:t xml:space="preserve">Not applicable - no model training in this paper</w:t>
      </w:r>
    </w:p>
    <w:p>
      <w:pPr>
        <w:spacing w:before="60" w:after="60"/>
      </w:pPr>
      <w:r>
        <w:rPr>
          <w:b/>
          <w:bCs/>
          <w:color w:val="375623"/>
          <w:sz w:val="22"/>
          <w:szCs w:val="22"/>
        </w:rPr>
        <w:t xml:space="preserve">Fine-tuning: </w:t>
      </w:r>
      <w:r>
        <w:rPr>
          <w:color w:val="000000"/>
          <w:sz w:val="22"/>
          <w:szCs w:val="22"/>
        </w:rPr>
        <w:t xml:space="preserve">Not applicable - evaluation study only</w:t>
      </w:r>
    </w:p>
    <w:p>
      <w:pPr>
        <w:spacing w:before="60" w:after="60"/>
      </w:pPr>
      <w:r>
        <w:rPr>
          <w:b/>
          <w:bCs/>
          <w:color w:val="375623"/>
          <w:sz w:val="22"/>
          <w:szCs w:val="22"/>
        </w:rPr>
        <w:t xml:space="preserve">Key methodology: </w:t>
      </w:r>
      <w:r>
        <w:rPr>
          <w:color w:val="000000"/>
          <w:sz w:val="22"/>
          <w:szCs w:val="22"/>
        </w:rPr>
        <w:t xml:space="preserve">Paired task design: same passage typed then dictated by each participant, enabling within-subject comparison</w:t>
      </w:r>
    </w:p>
    <w:p>
      <w:pPr>
        <w:spacing w:before="80"/>
      </w:pPr>
    </w:p>
    <w:p>
      <w:pPr>
        <w:pStyle w:val="Heading2"/>
        <w:spacing w:before="200" w:after="80"/>
      </w:pPr>
      <w:r>
        <w:rPr>
          <w:b/>
          <w:bCs/>
          <w:color w:val="538135"/>
          <w:sz w:val="24"/>
          <w:szCs w:val="24"/>
        </w:rPr>
        <w:t xml:space="preserve">Accent/Dialect Handling (Directly Relevant to Our Project)</w:t>
      </w:r>
    </w:p>
    <w:p>
      <w:pPr>
        <w:spacing w:before="60" w:after="60"/>
      </w:pPr>
      <w:r>
        <w:rPr>
          <w:b/>
          <w:bCs/>
          <w:color w:val="375623"/>
          <w:sz w:val="22"/>
          <w:szCs w:val="22"/>
        </w:rPr>
        <w:t xml:space="preserve">How they address linguistic diversity: </w:t>
      </w:r>
      <w:r>
        <w:rPr>
          <w:color w:val="000000"/>
          <w:sz w:val="22"/>
          <w:szCs w:val="22"/>
        </w:rPr>
        <w:t xml:space="preserve">Participants self-reported their primary language/accent (72 unique accents identified). Subgroup analysis compared accuracy ratings by accent.</w:t>
      </w:r>
    </w:p>
    <w:p>
      <w:pPr>
        <w:spacing w:before="60" w:after="60"/>
      </w:pPr>
      <w:r>
        <w:rPr>
          <w:b/>
          <w:bCs/>
          <w:color w:val="375623"/>
          <w:sz w:val="22"/>
          <w:szCs w:val="22"/>
        </w:rPr>
        <w:t xml:space="preserve">Cross-lingual transfer: </w:t>
      </w:r>
      <w:r>
        <w:rPr>
          <w:color w:val="000000"/>
          <w:sz w:val="22"/>
          <w:szCs w:val="22"/>
        </w:rPr>
        <w:t xml:space="preserve">NOT done - existing ASR system used; performance disparities analyzed, not fixed</w:t>
      </w:r>
    </w:p>
    <w:p>
      <w:pPr>
        <w:spacing w:before="60" w:after="60"/>
      </w:pPr>
      <w:r>
        <w:rPr>
          <w:b/>
          <w:bCs/>
          <w:color w:val="375623"/>
          <w:sz w:val="22"/>
          <w:szCs w:val="22"/>
        </w:rPr>
        <w:t xml:space="preserve">Code-mixing handling: </w:t>
      </w:r>
      <w:r>
        <w:rPr>
          <w:color w:val="000000"/>
          <w:sz w:val="22"/>
          <w:szCs w:val="22"/>
        </w:rPr>
        <w:t xml:space="preserve">Not addressed - English-only dictation task</w:t>
      </w:r>
    </w:p>
    <w:p>
      <w:pPr>
        <w:spacing w:before="60" w:after="60"/>
      </w:pPr>
      <w:r>
        <w:rPr>
          <w:b/>
          <w:bCs/>
          <w:color w:val="375623"/>
          <w:sz w:val="22"/>
          <w:szCs w:val="22"/>
        </w:rPr>
        <w:t xml:space="preserve">Key finding on accents: </w:t>
      </w:r>
      <w:r>
        <w:rPr>
          <w:color w:val="000000"/>
          <w:sz w:val="22"/>
          <w:szCs w:val="22"/>
        </w:rPr>
        <w:t xml:space="preserve">Tonal language speakers had WER ~28.4% vs 12.1% for non-tonal speakers. Commercial ASR (including Whisper) derives 78-92% of training data from HIC English - causing accuracy to drop for LMIC accents</w:t>
      </w:r>
    </w:p>
    <w:p>
      <w:pPr>
        <w:spacing w:before="80"/>
      </w:pPr>
    </w:p>
    <w:p>
      <w:pPr>
        <w:pStyle w:val="Heading2"/>
        <w:spacing w:before="200" w:after="80"/>
      </w:pPr>
      <w:r>
        <w:rPr>
          <w:b/>
          <w:bCs/>
          <w:color w:val="538135"/>
          <w:sz w:val="24"/>
          <w:szCs w:val="24"/>
        </w:rPr>
        <w:t xml:space="preserve">Error-Adjusted Dictation Speed Formula (Borrowable Technique)</w:t>
      </w:r>
    </w:p>
    <w:p>
      <w:pPr>
        <w:pStyle w:val="ListParagraph"/>
        <w:numPr>
          <w:ilvl w:val="0"/>
          <w:numId w:val="3"/>
        </w:numPr>
        <w:spacing w:before="40" w:after="40"/>
      </w:pPr>
      <w:r>
        <w:rPr>
          <w:sz w:val="22"/>
          <w:szCs w:val="22"/>
        </w:rPr>
        <w:t xml:space="preserve">1. Compute raw dictation speed (wpm) = 74 words / dictation time in minutes</w:t>
      </w:r>
    </w:p>
    <w:p>
      <w:pPr>
        <w:pStyle w:val="ListParagraph"/>
        <w:numPr>
          <w:ilvl w:val="0"/>
          <w:numId w:val="3"/>
        </w:numPr>
        <w:spacing w:before="40" w:after="40"/>
      </w:pPr>
      <w:r>
        <w:rPr>
          <w:sz w:val="22"/>
          <w:szCs w:val="22"/>
        </w:rPr>
        <w:t xml:space="preserve">2. Estimate mistranscribed words = (1 - accuracy_rating/100) * 74</w:t>
      </w:r>
    </w:p>
    <w:p>
      <w:pPr>
        <w:pStyle w:val="ListParagraph"/>
        <w:numPr>
          <w:ilvl w:val="0"/>
          <w:numId w:val="3"/>
        </w:numPr>
        <w:spacing w:before="40" w:after="40"/>
      </w:pPr>
      <w:r>
        <w:rPr>
          <w:sz w:val="22"/>
          <w:szCs w:val="22"/>
        </w:rPr>
        <w:t xml:space="preserve">3. Estimate edit time = mistranscribed words / typing_speed_wpm</w:t>
      </w:r>
    </w:p>
    <w:p>
      <w:pPr>
        <w:pStyle w:val="ListParagraph"/>
        <w:numPr>
          <w:ilvl w:val="0"/>
          <w:numId w:val="3"/>
        </w:numPr>
        <w:spacing w:before="40" w:after="40"/>
      </w:pPr>
      <w:r>
        <w:rPr>
          <w:sz w:val="22"/>
          <w:szCs w:val="22"/>
        </w:rPr>
        <w:t xml:space="preserve">4. Error-adjusted speed = 74 / (dictation_time + edit_time)</w:t>
      </w:r>
    </w:p>
    <w:p>
      <w:pPr>
        <w:pBdr>
          <w:bottom w:val="single" w:color="538135" w:sz="6" w:space="1"/>
        </w:pBdr>
        <w:spacing w:before="120" w:after="120"/>
      </w:pPr>
    </w:p>
    <w:p>
      <w:pPr>
        <w:pStyle w:val="Heading1"/>
        <w:spacing w:before="280" w:after="120"/>
      </w:pPr>
      <w:r>
        <w:rPr>
          <w:b/>
          <w:bCs/>
          <w:color w:val="375623"/>
          <w:sz w:val="28"/>
          <w:szCs w:val="28"/>
        </w:rPr>
        <w:t xml:space="preserve">5. Data &amp; Experimental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375623" w:val="clear"/>
            <w:tcMar>
              <w:top w:type="dxa" w:w="80"/>
              <w:left w:type="dxa" w:w="120"/>
              <w:bottom w:type="dxa" w:w="80"/>
              <w:right w:type="dxa" w:w="120"/>
            </w:tcMar>
            <w:vAlign w:val="center"/>
          </w:tcPr>
          <w:p>
            <w:pPr>
              <w:spacing w:before="40" w:after="40"/>
            </w:pPr>
            <w:r>
              <w:rPr>
                <w:b/>
                <w:bCs/>
                <w:color w:val="FFFFFF"/>
                <w:sz w:val="20"/>
                <w:szCs w:val="20"/>
              </w:rPr>
              <w:t xml:space="preserve">Parameter</w:t>
            </w:r>
          </w:p>
        </w:tc>
        <w:tc>
          <w:tcPr>
            <w:tcW w:type="dxa" w:w="6360"/>
            <w:tcBorders>
              <w:top w:val="single" w:color="AAAAAA" w:sz="1"/>
              <w:left w:val="single" w:color="AAAAAA" w:sz="1"/>
              <w:bottom w:val="single" w:color="AAAAAA" w:sz="1"/>
              <w:right w:val="single" w:color="AAAAAA" w:sz="1"/>
            </w:tcBorders>
            <w:shd w:fill="375623" w:val="clear"/>
            <w:tcMar>
              <w:top w:type="dxa" w:w="80"/>
              <w:left w:type="dxa" w:w="120"/>
              <w:bottom w:type="dxa" w:w="80"/>
              <w:right w:type="dxa" w:w="120"/>
            </w:tcMar>
            <w:vAlign w:val="center"/>
          </w:tcPr>
          <w:p>
            <w:pPr>
              <w:spacing w:before="40" w:after="40"/>
            </w:pPr>
            <w:r>
              <w:rPr>
                <w:b/>
                <w:bCs/>
                <w:color w:val="FFFFFF"/>
                <w:sz w:val="20"/>
                <w:szCs w:val="20"/>
              </w:rPr>
              <w:t xml:space="preserve">Value</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before="40" w:after="40"/>
            </w:pPr>
            <w:r>
              <w:rPr>
                <w:b w:val="false"/>
                <w:bCs w:val="false"/>
                <w:color w:val="000000"/>
                <w:sz w:val="20"/>
                <w:szCs w:val="20"/>
              </w:rPr>
              <w:t xml:space="preserve">Dataset name</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before="40" w:after="40"/>
            </w:pPr>
            <w:r>
              <w:rPr>
                <w:b w:val="false"/>
                <w:bCs w:val="false"/>
                <w:color w:val="000000"/>
                <w:sz w:val="20"/>
                <w:szCs w:val="20"/>
              </w:rPr>
              <w:t xml:space="preserve">Intron Health Onboarding Speed Dataset (proprietary)</w:t>
            </w:r>
          </w:p>
        </w:tc>
      </w:tr>
      <w:tr>
        <w:tc>
          <w:tcPr>
            <w:tcW w:type="dxa" w:w="30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spacing w:before="40" w:after="40"/>
            </w:pPr>
            <w:r>
              <w:rPr>
                <w:b w:val="false"/>
                <w:bCs w:val="false"/>
                <w:color w:val="000000"/>
                <w:sz w:val="20"/>
                <w:szCs w:val="20"/>
              </w:rPr>
              <w:t xml:space="preserve">Dataset size</w:t>
            </w:r>
          </w:p>
        </w:tc>
        <w:tc>
          <w:tcPr>
            <w:tcW w:type="dxa" w:w="63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spacing w:before="40" w:after="40"/>
            </w:pPr>
            <w:r>
              <w:rPr>
                <w:b w:val="false"/>
                <w:bCs w:val="false"/>
                <w:color w:val="000000"/>
                <w:sz w:val="20"/>
                <w:szCs w:val="20"/>
              </w:rPr>
              <w:t xml:space="preserve">1,053 paired samples from 726 unique clinicians</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before="40" w:after="40"/>
            </w:pPr>
            <w:r>
              <w:rPr>
                <w:b w:val="false"/>
                <w:bCs w:val="false"/>
                <w:color w:val="000000"/>
                <w:sz w:val="20"/>
                <w:szCs w:val="20"/>
              </w:rPr>
              <w:t xml:space="preserve">Language</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before="40" w:after="40"/>
            </w:pPr>
            <w:r>
              <w:rPr>
                <w:b w:val="false"/>
                <w:bCs w:val="false"/>
                <w:color w:val="000000"/>
                <w:sz w:val="20"/>
                <w:szCs w:val="20"/>
              </w:rPr>
              <w:t xml:space="preserve">English (dictation task only)</w:t>
            </w:r>
          </w:p>
        </w:tc>
      </w:tr>
      <w:tr>
        <w:tc>
          <w:tcPr>
            <w:tcW w:type="dxa" w:w="30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spacing w:before="40" w:after="40"/>
            </w:pPr>
            <w:r>
              <w:rPr>
                <w:b w:val="false"/>
                <w:bCs w:val="false"/>
                <w:color w:val="000000"/>
                <w:sz w:val="20"/>
                <w:szCs w:val="20"/>
              </w:rPr>
              <w:t xml:space="preserve">Domain</w:t>
            </w:r>
          </w:p>
        </w:tc>
        <w:tc>
          <w:tcPr>
            <w:tcW w:type="dxa" w:w="63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spacing w:before="40" w:after="40"/>
            </w:pPr>
            <w:r>
              <w:rPr>
                <w:b w:val="false"/>
                <w:bCs w:val="false"/>
                <w:color w:val="000000"/>
                <w:sz w:val="20"/>
                <w:szCs w:val="20"/>
              </w:rPr>
              <w:t xml:space="preserve">Clinical (medical passage typing/dictation)</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before="40" w:after="40"/>
            </w:pPr>
            <w:r>
              <w:rPr>
                <w:b w:val="false"/>
                <w:bCs w:val="false"/>
                <w:color w:val="000000"/>
                <w:sz w:val="20"/>
                <w:szCs w:val="20"/>
              </w:rPr>
              <w:t xml:space="preserve">Accent/Dialect coverage</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before="40" w:after="40"/>
            </w:pPr>
            <w:r>
              <w:rPr>
                <w:b w:val="false"/>
                <w:bCs w:val="false"/>
                <w:color w:val="000000"/>
                <w:sz w:val="20"/>
                <w:szCs w:val="20"/>
              </w:rPr>
              <w:t xml:space="preserve">72 unique accents from 15 LMICs including African, South Asian, Southeast Asian accents</w:t>
            </w:r>
          </w:p>
        </w:tc>
      </w:tr>
      <w:tr>
        <w:tc>
          <w:tcPr>
            <w:tcW w:type="dxa" w:w="30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spacing w:before="40" w:after="40"/>
            </w:pPr>
            <w:r>
              <w:rPr>
                <w:b w:val="false"/>
                <w:bCs w:val="false"/>
                <w:color w:val="000000"/>
                <w:sz w:val="20"/>
                <w:szCs w:val="20"/>
              </w:rPr>
              <w:t xml:space="preserve">Can we access?</w:t>
            </w:r>
          </w:p>
        </w:tc>
        <w:tc>
          <w:tcPr>
            <w:tcW w:type="dxa" w:w="63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spacing w:before="40" w:after="40"/>
            </w:pPr>
            <w:r>
              <w:rPr>
                <w:b w:val="false"/>
                <w:bCs w:val="false"/>
                <w:color w:val="000000"/>
                <w:sz w:val="20"/>
                <w:szCs w:val="20"/>
              </w:rPr>
              <w:t xml:space="preserve">NO - proprietary platform data</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before="40" w:after="40"/>
            </w:pPr>
            <w:r>
              <w:rPr>
                <w:b w:val="false"/>
                <w:bCs w:val="false"/>
                <w:color w:val="000000"/>
                <w:sz w:val="20"/>
                <w:szCs w:val="20"/>
              </w:rPr>
              <w:t xml:space="preserve">Data Collection Method</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before="40" w:after="40"/>
            </w:pPr>
            <w:r>
              <w:rPr>
                <w:b w:val="false"/>
                <w:bCs w:val="false"/>
                <w:color w:val="000000"/>
                <w:sz w:val="20"/>
                <w:szCs w:val="20"/>
              </w:rPr>
              <w:t xml:space="preserve">Convenience sampling via Intron Health platform onboarding (2022-2024)</w:t>
            </w:r>
          </w:p>
        </w:tc>
      </w:tr>
      <w:tr>
        <w:tc>
          <w:tcPr>
            <w:tcW w:type="dxa" w:w="30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spacing w:before="40" w:after="40"/>
            </w:pPr>
            <w:r>
              <w:rPr>
                <w:b w:val="false"/>
                <w:bCs w:val="false"/>
                <w:color w:val="000000"/>
                <w:sz w:val="20"/>
                <w:szCs w:val="20"/>
              </w:rPr>
              <w:t xml:space="preserve">Quality control</w:t>
            </w:r>
          </w:p>
        </w:tc>
        <w:tc>
          <w:tcPr>
            <w:tcW w:type="dxa" w:w="63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spacing w:before="40" w:after="40"/>
            </w:pPr>
            <w:r>
              <w:rPr>
                <w:b w:val="false"/>
                <w:bCs w:val="false"/>
                <w:color w:val="000000"/>
                <w:sz w:val="20"/>
                <w:szCs w:val="20"/>
              </w:rPr>
              <w:t xml:space="preserve">80% n-gram overlap required for typing task; participants rated ASR accuracy 0-100</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before="40" w:after="40"/>
            </w:pPr>
            <w:r>
              <w:rPr>
                <w:b w:val="false"/>
                <w:bCs w:val="false"/>
                <w:color w:val="000000"/>
                <w:sz w:val="20"/>
                <w:szCs w:val="20"/>
              </w:rPr>
              <w:t xml:space="preserve">Demographics</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before="40" w:after="40"/>
            </w:pPr>
            <w:r>
              <w:rPr>
                <w:b w:val="false"/>
                <w:bCs w:val="false"/>
                <w:color w:val="000000"/>
                <w:sz w:val="20"/>
                <w:szCs w:val="20"/>
              </w:rPr>
              <w:t xml:space="preserve">63.7% female; 65.1% aged 26-40; 15 countries represented</w:t>
            </w:r>
          </w:p>
        </w:tc>
      </w:tr>
      <w:tr>
        <w:tc>
          <w:tcPr>
            <w:tcW w:type="dxa" w:w="30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spacing w:before="40" w:after="40"/>
            </w:pPr>
            <w:r>
              <w:rPr>
                <w:b w:val="false"/>
                <w:bCs w:val="false"/>
                <w:color w:val="000000"/>
                <w:sz w:val="20"/>
                <w:szCs w:val="20"/>
              </w:rPr>
              <w:t xml:space="preserve">Ethics approval</w:t>
            </w:r>
          </w:p>
        </w:tc>
        <w:tc>
          <w:tcPr>
            <w:tcW w:type="dxa" w:w="63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spacing w:before="40" w:after="40"/>
            </w:pPr>
            <w:r>
              <w:rPr>
                <w:b w:val="false"/>
                <w:bCs w:val="false"/>
                <w:color w:val="000000"/>
                <w:sz w:val="20"/>
                <w:szCs w:val="20"/>
              </w:rPr>
              <w:t xml:space="preserve">Nigerian NHREC, Approval No. NHREC/01/01/2007-17/03/2022</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before="40" w:after="40"/>
            </w:pPr>
            <w:r>
              <w:rPr>
                <w:b w:val="false"/>
                <w:bCs w:val="false"/>
                <w:color w:val="000000"/>
                <w:sz w:val="20"/>
                <w:szCs w:val="20"/>
              </w:rPr>
              <w:t xml:space="preserve">Statistical tests</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before="40" w:after="40"/>
            </w:pPr>
            <w:r>
              <w:rPr>
                <w:b w:val="false"/>
                <w:bCs w:val="false"/>
                <w:color w:val="000000"/>
                <w:sz w:val="20"/>
                <w:szCs w:val="20"/>
              </w:rPr>
              <w:t xml:space="preserve">Paired t-test for speed comparison; descriptive stats + IQR for accuracy; sentiment clustering for qualitative feedback</w:t>
            </w:r>
          </w:p>
        </w:tc>
      </w:tr>
    </w:tbl>
    <w:p>
      <w:pPr>
        <w:pBdr>
          <w:bottom w:val="single" w:color="538135" w:sz="6" w:space="1"/>
        </w:pBdr>
        <w:spacing w:before="120" w:after="120"/>
      </w:pPr>
    </w:p>
    <w:p>
      <w:pPr>
        <w:pStyle w:val="Heading1"/>
        <w:spacing w:before="280" w:after="120"/>
      </w:pPr>
      <w:r>
        <w:rPr>
          <w:b/>
          <w:bCs/>
          <w:color w:val="375623"/>
          <w:sz w:val="28"/>
          <w:szCs w:val="28"/>
        </w:rPr>
        <w:t xml:space="preserve">6. Evaluation Metrics &amp; Results</w:t>
      </w:r>
    </w:p>
    <w:p>
      <w:pPr>
        <w:pStyle w:val="Heading2"/>
        <w:spacing w:before="200" w:after="80"/>
      </w:pPr>
      <w:r>
        <w:rPr>
          <w:b/>
          <w:bCs/>
          <w:color w:val="538135"/>
          <w:sz w:val="24"/>
          <w:szCs w:val="24"/>
        </w:rPr>
        <w:t xml:space="preserve">Key Quantitative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AAAAAA" w:sz="1"/>
              <w:left w:val="single" w:color="AAAAAA" w:sz="1"/>
              <w:bottom w:val="single" w:color="AAAAAA" w:sz="1"/>
              <w:right w:val="single" w:color="AAAAAA" w:sz="1"/>
            </w:tcBorders>
            <w:shd w:fill="375623" w:val="clear"/>
            <w:tcMar>
              <w:top w:type="dxa" w:w="80"/>
              <w:left w:type="dxa" w:w="120"/>
              <w:bottom w:type="dxa" w:w="80"/>
              <w:right w:type="dxa" w:w="120"/>
            </w:tcMar>
            <w:vAlign w:val="center"/>
          </w:tcPr>
          <w:p>
            <w:pPr>
              <w:spacing w:before="40" w:after="40"/>
            </w:pPr>
            <w:r>
              <w:rPr>
                <w:b/>
                <w:bCs/>
                <w:color w:val="FFFFFF"/>
                <w:sz w:val="20"/>
                <w:szCs w:val="20"/>
              </w:rPr>
              <w:t xml:space="preserve">Metric</w:t>
            </w:r>
          </w:p>
        </w:tc>
        <w:tc>
          <w:tcPr>
            <w:tcW w:type="dxa" w:w="2000"/>
            <w:tcBorders>
              <w:top w:val="single" w:color="AAAAAA" w:sz="1"/>
              <w:left w:val="single" w:color="AAAAAA" w:sz="1"/>
              <w:bottom w:val="single" w:color="AAAAAA" w:sz="1"/>
              <w:right w:val="single" w:color="AAAAAA" w:sz="1"/>
            </w:tcBorders>
            <w:shd w:fill="375623" w:val="clear"/>
            <w:tcMar>
              <w:top w:type="dxa" w:w="80"/>
              <w:left w:type="dxa" w:w="120"/>
              <w:bottom w:type="dxa" w:w="80"/>
              <w:right w:type="dxa" w:w="120"/>
            </w:tcMar>
            <w:vAlign w:val="center"/>
          </w:tcPr>
          <w:p>
            <w:pPr>
              <w:spacing w:before="40" w:after="40"/>
            </w:pPr>
            <w:r>
              <w:rPr>
                <w:b/>
                <w:bCs/>
                <w:color w:val="FFFFFF"/>
                <w:sz w:val="20"/>
                <w:szCs w:val="20"/>
              </w:rPr>
              <w:t xml:space="preserve">Value</w:t>
            </w:r>
          </w:p>
        </w:tc>
        <w:tc>
          <w:tcPr>
            <w:tcW w:type="dxa" w:w="4860"/>
            <w:tcBorders>
              <w:top w:val="single" w:color="AAAAAA" w:sz="1"/>
              <w:left w:val="single" w:color="AAAAAA" w:sz="1"/>
              <w:bottom w:val="single" w:color="AAAAAA" w:sz="1"/>
              <w:right w:val="single" w:color="AAAAAA" w:sz="1"/>
            </w:tcBorders>
            <w:shd w:fill="375623" w:val="clear"/>
            <w:tcMar>
              <w:top w:type="dxa" w:w="80"/>
              <w:left w:type="dxa" w:w="120"/>
              <w:bottom w:type="dxa" w:w="80"/>
              <w:right w:type="dxa" w:w="120"/>
            </w:tcMar>
            <w:vAlign w:val="center"/>
          </w:tcPr>
          <w:p>
            <w:pPr>
              <w:spacing w:before="40" w:after="40"/>
            </w:pPr>
            <w:r>
              <w:rPr>
                <w:b/>
                <w:bCs/>
                <w:color w:val="FFFFFF"/>
                <w:sz w:val="20"/>
                <w:szCs w:val="20"/>
              </w:rPr>
              <w:t xml:space="preserve">Significance for Our Project</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before="40" w:after="40"/>
            </w:pPr>
            <w:r>
              <w:rPr>
                <w:b w:val="false"/>
                <w:bCs w:val="false"/>
                <w:color w:val="000000"/>
                <w:sz w:val="20"/>
                <w:szCs w:val="20"/>
              </w:rPr>
              <w:t xml:space="preserve">Median keyboard speed (LMIC)</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before="40" w:after="40"/>
            </w:pPr>
            <w:r>
              <w:rPr>
                <w:b w:val="false"/>
                <w:bCs w:val="false"/>
                <w:color w:val="000000"/>
                <w:sz w:val="20"/>
                <w:szCs w:val="20"/>
              </w:rPr>
              <w:t xml:space="preserve">21.4 wpm</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before="40" w:after="40"/>
            </w:pPr>
            <w:r>
              <w:rPr>
                <w:b w:val="false"/>
                <w:bCs w:val="false"/>
                <w:color w:val="000000"/>
                <w:sz w:val="20"/>
                <w:szCs w:val="20"/>
              </w:rPr>
              <w:t xml:space="preserve">LMIC clinicians type much slower than 40 wpm global average</w:t>
            </w:r>
          </w:p>
        </w:tc>
      </w:tr>
      <w:tr>
        <w:tc>
          <w:tcPr>
            <w:tcW w:type="dxa" w:w="25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spacing w:before="40" w:after="40"/>
            </w:pPr>
            <w:r>
              <w:rPr>
                <w:b w:val="false"/>
                <w:bCs w:val="false"/>
                <w:color w:val="000000"/>
                <w:sz w:val="20"/>
                <w:szCs w:val="20"/>
              </w:rPr>
              <w:t xml:space="preserve">Median dictation speed</w:t>
            </w:r>
          </w:p>
        </w:tc>
        <w:tc>
          <w:tcPr>
            <w:tcW w:type="dxa" w:w="20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spacing w:before="40" w:after="40"/>
            </w:pPr>
            <w:r>
              <w:rPr>
                <w:b w:val="false"/>
                <w:bCs w:val="false"/>
                <w:color w:val="000000"/>
                <w:sz w:val="20"/>
                <w:szCs w:val="20"/>
              </w:rPr>
              <w:t xml:space="preserve">93 wpm</w:t>
            </w:r>
          </w:p>
        </w:tc>
        <w:tc>
          <w:tcPr>
            <w:tcW w:type="dxa" w:w="48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spacing w:before="40" w:after="40"/>
            </w:pPr>
            <w:r>
              <w:rPr>
                <w:b w:val="false"/>
                <w:bCs w:val="false"/>
                <w:color w:val="000000"/>
                <w:sz w:val="20"/>
                <w:szCs w:val="20"/>
              </w:rPr>
              <w:t xml:space="preserve">4.3x faster than typing (p &lt; 0.0001)</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before="40" w:after="40"/>
            </w:pPr>
            <w:r>
              <w:rPr>
                <w:b w:val="false"/>
                <w:bCs w:val="false"/>
                <w:color w:val="000000"/>
                <w:sz w:val="20"/>
                <w:szCs w:val="20"/>
              </w:rPr>
              <w:t xml:space="preserve">Error-adjusted dictation speed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before="40" w:after="40"/>
            </w:pPr>
            <w:r>
              <w:rPr>
                <w:b w:val="false"/>
                <w:bCs w:val="false"/>
                <w:color w:val="000000"/>
                <w:sz w:val="20"/>
                <w:szCs w:val="20"/>
              </w:rPr>
              <w:t xml:space="preserve">55.42 wpm</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before="40" w:after="40"/>
            </w:pPr>
            <w:r>
              <w:rPr>
                <w:b w:val="false"/>
                <w:bCs w:val="false"/>
                <w:color w:val="000000"/>
                <w:sz w:val="20"/>
                <w:szCs w:val="20"/>
              </w:rPr>
              <w:t xml:space="preserve">Still 2.5x faster even after accounting for error corrections</w:t>
            </w:r>
          </w:p>
        </w:tc>
      </w:tr>
      <w:tr>
        <w:tc>
          <w:tcPr>
            <w:tcW w:type="dxa" w:w="25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spacing w:before="40" w:after="40"/>
            </w:pPr>
            <w:r>
              <w:rPr>
                <w:b w:val="false"/>
                <w:bCs w:val="false"/>
                <w:color w:val="000000"/>
                <w:sz w:val="20"/>
                <w:szCs w:val="20"/>
              </w:rPr>
              <w:t xml:space="preserve">Best case speedup</w:t>
            </w:r>
          </w:p>
        </w:tc>
        <w:tc>
          <w:tcPr>
            <w:tcW w:type="dxa" w:w="20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spacing w:before="40" w:after="40"/>
            </w:pPr>
            <w:r>
              <w:rPr>
                <w:b w:val="false"/>
                <w:bCs w:val="false"/>
                <w:color w:val="000000"/>
                <w:sz w:val="20"/>
                <w:szCs w:val="20"/>
              </w:rPr>
              <w:t xml:space="preserve">10x improvement</w:t>
            </w:r>
          </w:p>
        </w:tc>
        <w:tc>
          <w:tcPr>
            <w:tcW w:type="dxa" w:w="48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spacing w:before="40" w:after="40"/>
            </w:pPr>
            <w:r>
              <w:rPr>
                <w:b w:val="false"/>
                <w:bCs w:val="false"/>
                <w:color w:val="000000"/>
                <w:sz w:val="20"/>
                <w:szCs w:val="20"/>
              </w:rPr>
              <w:t xml:space="preserve">For high-accuracy transcription cases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before="40" w:after="40"/>
            </w:pPr>
            <w:r>
              <w:rPr>
                <w:b w:val="false"/>
                <w:bCs w:val="false"/>
                <w:color w:val="000000"/>
                <w:sz w:val="20"/>
                <w:szCs w:val="20"/>
              </w:rPr>
              <w:t xml:space="preserve">Median ASR accuracy (self-rated)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before="40" w:after="40"/>
            </w:pPr>
            <w:r>
              <w:rPr>
                <w:b w:val="false"/>
                <w:bCs w:val="false"/>
                <w:color w:val="000000"/>
                <w:sz w:val="20"/>
                <w:szCs w:val="20"/>
              </w:rPr>
              <w:t xml:space="preserve">80%</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before="40" w:after="40"/>
            </w:pPr>
            <w:r>
              <w:rPr>
                <w:b w:val="false"/>
                <w:bCs w:val="false"/>
                <w:color w:val="000000"/>
                <w:sz w:val="20"/>
                <w:szCs w:val="20"/>
              </w:rPr>
              <w:t xml:space="preserve">Acceptable but room for improvement</w:t>
            </w:r>
          </w:p>
        </w:tc>
      </w:tr>
      <w:tr>
        <w:tc>
          <w:tcPr>
            <w:tcW w:type="dxa" w:w="25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spacing w:before="40" w:after="40"/>
            </w:pPr>
            <w:r>
              <w:rPr>
                <w:b w:val="false"/>
                <w:bCs w:val="false"/>
                <w:color w:val="000000"/>
                <w:sz w:val="20"/>
                <w:szCs w:val="20"/>
              </w:rPr>
              <w:t xml:space="preserve">Accuracy for tonal language speakers</w:t>
            </w:r>
          </w:p>
        </w:tc>
        <w:tc>
          <w:tcPr>
            <w:tcW w:type="dxa" w:w="20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spacing w:before="40" w:after="40"/>
            </w:pPr>
            <w:r>
              <w:rPr>
                <w:b w:val="false"/>
                <w:bCs w:val="false"/>
                <w:color w:val="000000"/>
                <w:sz w:val="20"/>
                <w:szCs w:val="20"/>
              </w:rPr>
              <w:t xml:space="preserve">WER ~28.4%</w:t>
            </w:r>
          </w:p>
        </w:tc>
        <w:tc>
          <w:tcPr>
            <w:tcW w:type="dxa" w:w="48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spacing w:before="40" w:after="40"/>
            </w:pPr>
            <w:r>
              <w:rPr>
                <w:b w:val="false"/>
                <w:bCs w:val="false"/>
                <w:color w:val="000000"/>
                <w:sz w:val="20"/>
                <w:szCs w:val="20"/>
              </w:rPr>
              <w:t xml:space="preserve">Significantly worse than non-tonal (12.1% WER)</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before="40" w:after="40"/>
            </w:pPr>
            <w:r>
              <w:rPr>
                <w:b w:val="false"/>
                <w:bCs w:val="false"/>
                <w:color w:val="000000"/>
                <w:sz w:val="20"/>
                <w:szCs w:val="20"/>
              </w:rPr>
              <w:t xml:space="preserve">Clinicians familiar with ASR</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before="40" w:after="40"/>
            </w:pPr>
            <w:r>
              <w:rPr>
                <w:b w:val="false"/>
                <w:bCs w:val="false"/>
                <w:color w:val="000000"/>
                <w:sz w:val="20"/>
                <w:szCs w:val="20"/>
              </w:rPr>
              <w:t xml:space="preserve">22% faster error correction</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before="40" w:after="40"/>
            </w:pPr>
            <w:r>
              <w:rPr>
                <w:b w:val="false"/>
                <w:bCs w:val="false"/>
                <w:color w:val="000000"/>
                <w:sz w:val="20"/>
                <w:szCs w:val="20"/>
              </w:rPr>
              <w:t xml:space="preserve">Digital literacy mediates ASR adoption</w:t>
            </w:r>
          </w:p>
        </w:tc>
      </w:tr>
    </w:tbl>
    <w:p>
      <w:pPr>
        <w:spacing w:before="80"/>
      </w:pPr>
    </w:p>
    <w:p>
      <w:pPr>
        <w:pStyle w:val="Heading2"/>
        <w:spacing w:before="200" w:after="80"/>
      </w:pPr>
      <w:r>
        <w:rPr>
          <w:b/>
          <w:bCs/>
          <w:color w:val="538135"/>
          <w:sz w:val="24"/>
          <w:szCs w:val="24"/>
        </w:rPr>
        <w:t xml:space="preserve">Accent Accuracy Findings (Critical for Our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AAAAAA" w:sz="1"/>
              <w:left w:val="single" w:color="AAAAAA" w:sz="1"/>
              <w:bottom w:val="single" w:color="AAAAAA" w:sz="1"/>
              <w:right w:val="single" w:color="AAAAAA" w:sz="1"/>
            </w:tcBorders>
            <w:shd w:fill="375623" w:val="clear"/>
            <w:tcMar>
              <w:top w:type="dxa" w:w="80"/>
              <w:left w:type="dxa" w:w="120"/>
              <w:bottom w:type="dxa" w:w="80"/>
              <w:right w:type="dxa" w:w="120"/>
            </w:tcMar>
            <w:vAlign w:val="center"/>
          </w:tcPr>
          <w:p>
            <w:pPr>
              <w:spacing w:before="40" w:after="40"/>
            </w:pPr>
            <w:r>
              <w:rPr>
                <w:b/>
                <w:bCs/>
                <w:color w:val="FFFFFF"/>
                <w:sz w:val="20"/>
                <w:szCs w:val="20"/>
              </w:rPr>
              <w:t xml:space="preserve">Accent Group</w:t>
            </w:r>
          </w:p>
        </w:tc>
        <w:tc>
          <w:tcPr>
            <w:tcW w:type="dxa" w:w="5860"/>
            <w:tcBorders>
              <w:top w:val="single" w:color="AAAAAA" w:sz="1"/>
              <w:left w:val="single" w:color="AAAAAA" w:sz="1"/>
              <w:bottom w:val="single" w:color="AAAAAA" w:sz="1"/>
              <w:right w:val="single" w:color="AAAAAA" w:sz="1"/>
            </w:tcBorders>
            <w:shd w:fill="375623" w:val="clear"/>
            <w:tcMar>
              <w:top w:type="dxa" w:w="80"/>
              <w:left w:type="dxa" w:w="120"/>
              <w:bottom w:type="dxa" w:w="80"/>
              <w:right w:type="dxa" w:w="120"/>
            </w:tcMar>
            <w:vAlign w:val="center"/>
          </w:tcPr>
          <w:p>
            <w:pPr>
              <w:spacing w:before="40" w:after="40"/>
            </w:pPr>
            <w:r>
              <w:rPr>
                <w:b/>
                <w:bCs/>
                <w:color w:val="FFFFFF"/>
                <w:sz w:val="20"/>
                <w:szCs w:val="20"/>
              </w:rPr>
              <w:t xml:space="preserve">Accuracy Observation</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before="40" w:after="40"/>
            </w:pPr>
            <w:r>
              <w:rPr>
                <w:b w:val="false"/>
                <w:bCs w:val="false"/>
                <w:color w:val="000000"/>
                <w:sz w:val="20"/>
                <w:szCs w:val="20"/>
              </w:rPr>
              <w:t xml:space="preserve">Top accents (isiZulu, Yoruba, Swahili, Igbo)</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before="40" w:after="40"/>
            </w:pPr>
            <w:r>
              <w:rPr>
                <w:b w:val="false"/>
                <w:bCs w:val="false"/>
                <w:color w:val="000000"/>
                <w:sz w:val="20"/>
                <w:szCs w:val="20"/>
              </w:rPr>
              <w:t xml:space="preserve">Median accuracy &gt;80%</w:t>
            </w:r>
          </w:p>
        </w:tc>
      </w:tr>
      <w:tr>
        <w:tc>
          <w:tcPr>
            <w:tcW w:type="dxa" w:w="35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spacing w:before="40" w:after="40"/>
            </w:pPr>
            <w:r>
              <w:rPr>
                <w:b w:val="false"/>
                <w:bCs w:val="false"/>
                <w:color w:val="000000"/>
                <w:sz w:val="20"/>
                <w:szCs w:val="20"/>
              </w:rPr>
              <w:t xml:space="preserve">Some East/West/South African accents</w:t>
            </w:r>
          </w:p>
        </w:tc>
        <w:tc>
          <w:tcPr>
            <w:tcW w:type="dxa" w:w="58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spacing w:before="40" w:after="40"/>
            </w:pPr>
            <w:r>
              <w:rPr>
                <w:b w:val="false"/>
                <w:bCs w:val="false"/>
                <w:color w:val="000000"/>
                <w:sz w:val="20"/>
                <w:szCs w:val="20"/>
              </w:rPr>
              <w:t xml:space="preserve">25th percentile accuracy dropping to ~60%</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before="40" w:after="40"/>
            </w:pPr>
            <w:r>
              <w:rPr>
                <w:b w:val="false"/>
                <w:bCs w:val="false"/>
                <w:color w:val="000000"/>
                <w:sz w:val="20"/>
                <w:szCs w:val="20"/>
              </w:rPr>
              <w:t xml:space="preserve">Tonal language speakers</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before="40" w:after="40"/>
            </w:pPr>
            <w:r>
              <w:rPr>
                <w:b w:val="false"/>
                <w:bCs w:val="false"/>
                <w:color w:val="000000"/>
                <w:sz w:val="20"/>
                <w:szCs w:val="20"/>
              </w:rPr>
              <w:t xml:space="preserve">WER 28.4% vs 12.1% for non-tonal speakers</w:t>
            </w:r>
          </w:p>
        </w:tc>
      </w:tr>
      <w:tr>
        <w:tc>
          <w:tcPr>
            <w:tcW w:type="dxa" w:w="35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spacing w:before="40" w:after="40"/>
            </w:pPr>
            <w:r>
              <w:rPr>
                <w:b w:val="false"/>
                <w:bCs w:val="false"/>
                <w:color w:val="000000"/>
                <w:sz w:val="20"/>
                <w:szCs w:val="20"/>
              </w:rPr>
              <w:t xml:space="preserve">North American English</w:t>
            </w:r>
          </w:p>
        </w:tc>
        <w:tc>
          <w:tcPr>
            <w:tcW w:type="dxa" w:w="58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spacing w:before="40" w:after="40"/>
            </w:pPr>
            <w:r>
              <w:rPr>
                <w:b w:val="false"/>
                <w:bCs w:val="false"/>
                <w:color w:val="000000"/>
                <w:sz w:val="20"/>
                <w:szCs w:val="20"/>
              </w:rPr>
              <w:t xml:space="preserve">High performance baseline</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before="40" w:after="40"/>
            </w:pPr>
            <w:r>
              <w:rPr>
                <w:b w:val="false"/>
                <w:bCs w:val="false"/>
                <w:color w:val="000000"/>
                <w:sz w:val="20"/>
                <w:szCs w:val="20"/>
              </w:rPr>
              <w:t xml:space="preserve">Non-native/regional accents generally</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before="40" w:after="40"/>
            </w:pPr>
            <w:r>
              <w:rPr>
                <w:b w:val="false"/>
                <w:bCs w:val="false"/>
                <w:color w:val="000000"/>
                <w:sz w:val="20"/>
                <w:szCs w:val="20"/>
              </w:rPr>
              <w:t xml:space="preserve">Significantly worse than native English speakers</w:t>
            </w:r>
          </w:p>
        </w:tc>
      </w:tr>
    </w:tbl>
    <w:p>
      <w:pPr>
        <w:spacing w:before="80"/>
      </w:pPr>
    </w:p>
    <w:p>
      <w:pPr>
        <w:pStyle w:val="Heading2"/>
        <w:spacing w:before="200" w:after="80"/>
      </w:pPr>
      <w:r>
        <w:rPr>
          <w:b/>
          <w:bCs/>
          <w:color w:val="538135"/>
          <w:sz w:val="24"/>
          <w:szCs w:val="24"/>
        </w:rPr>
        <w:t xml:space="preserve">Qualitative Feedback (Sentiment Analysis)</w:t>
      </w:r>
    </w:p>
    <w:p>
      <w:pPr>
        <w:pStyle w:val="ListParagraph"/>
        <w:numPr>
          <w:ilvl w:val="0"/>
          <w:numId w:val="2"/>
        </w:numPr>
        <w:spacing w:before="40" w:after="40"/>
      </w:pPr>
      <w:r>
        <w:rPr>
          <w:sz w:val="22"/>
          <w:szCs w:val="22"/>
        </w:rPr>
        <w:t xml:space="preserve">52% found transcription accurate or acceptable</w:t>
      </w:r>
    </w:p>
    <w:p>
      <w:pPr>
        <w:pStyle w:val="ListParagraph"/>
        <w:numPr>
          <w:ilvl w:val="0"/>
          <w:numId w:val="2"/>
        </w:numPr>
        <w:spacing w:before="40" w:after="40"/>
      </w:pPr>
      <w:r>
        <w:rPr>
          <w:sz w:val="22"/>
          <w:szCs w:val="22"/>
        </w:rPr>
        <w:t xml:space="preserve">21% expressed dissatisfaction (errors, usability issues)</w:t>
      </w:r>
    </w:p>
    <w:p>
      <w:pPr>
        <w:pStyle w:val="ListParagraph"/>
        <w:numPr>
          <w:ilvl w:val="0"/>
          <w:numId w:val="2"/>
        </w:numPr>
        <w:spacing w:before="40" w:after="40"/>
      </w:pPr>
      <w:r>
        <w:rPr>
          <w:sz w:val="22"/>
          <w:szCs w:val="22"/>
        </w:rPr>
        <w:t xml:space="preserve">13% provided neutral feedback/suggestions</w:t>
      </w:r>
    </w:p>
    <w:p>
      <w:pPr>
        <w:pStyle w:val="ListParagraph"/>
        <w:numPr>
          <w:ilvl w:val="0"/>
          <w:numId w:val="2"/>
        </w:numPr>
        <w:spacing w:before="40" w:after="40"/>
      </w:pPr>
      <w:r>
        <w:rPr>
          <w:sz w:val="22"/>
          <w:szCs w:val="22"/>
        </w:rPr>
        <w:t xml:space="preserve">Common positive words: good, great, fast, excellent</w:t>
      </w:r>
    </w:p>
    <w:p>
      <w:pPr>
        <w:pStyle w:val="ListParagraph"/>
        <w:numPr>
          <w:ilvl w:val="0"/>
          <w:numId w:val="2"/>
        </w:numPr>
        <w:spacing w:before="40" w:after="40"/>
      </w:pPr>
      <w:r>
        <w:rPr>
          <w:sz w:val="22"/>
          <w:szCs w:val="22"/>
        </w:rPr>
        <w:t xml:space="preserve">Common negative words: punctuation, error, misspelled - ASR lacks auto-punctuation</w:t>
      </w:r>
    </w:p>
    <w:p>
      <w:pPr>
        <w:spacing w:before="80"/>
      </w:pPr>
    </w:p>
    <w:p>
      <w:pPr>
        <w:pStyle w:val="Heading2"/>
        <w:spacing w:before="200" w:after="80"/>
      </w:pPr>
      <w:r>
        <w:rPr>
          <w:b/>
          <w:bCs/>
          <w:color w:val="538135"/>
          <w:sz w:val="24"/>
          <w:szCs w:val="24"/>
        </w:rPr>
        <w:t xml:space="preserve">Limitations Mentioned</w:t>
      </w:r>
    </w:p>
    <w:p>
      <w:pPr>
        <w:pStyle w:val="ListParagraph"/>
        <w:numPr>
          <w:ilvl w:val="0"/>
          <w:numId w:val="2"/>
        </w:numPr>
        <w:spacing w:before="40" w:after="40"/>
      </w:pPr>
      <w:r>
        <w:rPr>
          <w:sz w:val="22"/>
          <w:szCs w:val="22"/>
        </w:rPr>
        <w:t xml:space="preserve">Controlled exercise (74-word passage) does not reflect real clinical workflow complexity</w:t>
      </w:r>
    </w:p>
    <w:p>
      <w:pPr>
        <w:pStyle w:val="ListParagraph"/>
        <w:numPr>
          <w:ilvl w:val="0"/>
          <w:numId w:val="2"/>
        </w:numPr>
        <w:spacing w:before="40" w:after="40"/>
      </w:pPr>
      <w:r>
        <w:rPr>
          <w:sz w:val="22"/>
          <w:szCs w:val="22"/>
        </w:rPr>
        <w:t xml:space="preserve">No account for ambient noise in LMIC clinics (known to degrade ASR by 30-40%)</w:t>
      </w:r>
    </w:p>
    <w:p>
      <w:pPr>
        <w:pStyle w:val="ListParagraph"/>
        <w:numPr>
          <w:ilvl w:val="0"/>
          <w:numId w:val="2"/>
        </w:numPr>
        <w:spacing w:before="40" w:after="40"/>
      </w:pPr>
      <w:r>
        <w:rPr>
          <w:sz w:val="22"/>
          <w:szCs w:val="22"/>
        </w:rPr>
        <w:t xml:space="preserve">Self-reported accuracy ratings are subjective proxies - not computed WER</w:t>
      </w:r>
    </w:p>
    <w:p>
      <w:pPr>
        <w:pStyle w:val="ListParagraph"/>
        <w:numPr>
          <w:ilvl w:val="0"/>
          <w:numId w:val="2"/>
        </w:numPr>
        <w:spacing w:before="40" w:after="40"/>
      </w:pPr>
      <w:r>
        <w:rPr>
          <w:sz w:val="22"/>
          <w:szCs w:val="22"/>
        </w:rPr>
        <w:t xml:space="preserve">Convenience sampling (Intron Health users) - may not represent all LMIC clinicians</w:t>
      </w:r>
    </w:p>
    <w:p>
      <w:pPr>
        <w:pStyle w:val="ListParagraph"/>
        <w:numPr>
          <w:ilvl w:val="0"/>
          <w:numId w:val="2"/>
        </w:numPr>
        <w:spacing w:before="40" w:after="40"/>
      </w:pPr>
      <w:r>
        <w:rPr>
          <w:sz w:val="22"/>
          <w:szCs w:val="22"/>
        </w:rPr>
        <w:t xml:space="preserve">Conflict of interest: lead author works for Intron Health (the ASR platform used)</w:t>
      </w:r>
    </w:p>
    <w:p>
      <w:pPr>
        <w:pBdr>
          <w:bottom w:val="single" w:color="538135" w:sz="6" w:space="1"/>
        </w:pBdr>
        <w:spacing w:before="120" w:after="120"/>
      </w:pPr>
    </w:p>
    <w:p>
      <w:pPr>
        <w:pStyle w:val="Heading1"/>
        <w:spacing w:before="280" w:after="120"/>
      </w:pPr>
      <w:r>
        <w:rPr>
          <w:b/>
          <w:bCs/>
          <w:color w:val="375623"/>
          <w:sz w:val="28"/>
          <w:szCs w:val="28"/>
        </w:rPr>
        <w:t xml:space="preserve">7. Implementation Notes</w:t>
      </w:r>
    </w:p>
    <w:p>
      <w:pPr>
        <w:spacing w:before="60" w:after="60"/>
      </w:pPr>
      <w:r>
        <w:rPr>
          <w:b/>
          <w:bCs/>
          <w:color w:val="375623"/>
          <w:sz w:val="22"/>
          <w:szCs w:val="22"/>
        </w:rPr>
        <w:t xml:space="preserve">Tools used: </w:t>
      </w:r>
      <w:r>
        <w:rPr>
          <w:color w:val="000000"/>
          <w:sz w:val="22"/>
          <w:szCs w:val="22"/>
        </w:rPr>
        <w:t xml:space="preserve">Intron Health web platform (proprietary ASR); standard web browser interface; statistical analysis in R/Python (not specified)</w:t>
      </w:r>
    </w:p>
    <w:p>
      <w:pPr>
        <w:spacing w:before="60" w:after="60"/>
      </w:pPr>
      <w:r>
        <w:rPr>
          <w:b/>
          <w:bCs/>
          <w:color w:val="375623"/>
          <w:sz w:val="22"/>
          <w:szCs w:val="22"/>
        </w:rPr>
        <w:t xml:space="preserve">ASR model: </w:t>
      </w:r>
      <w:r>
        <w:rPr>
          <w:color w:val="000000"/>
          <w:sz w:val="22"/>
          <w:szCs w:val="22"/>
        </w:rPr>
        <w:t xml:space="preserve">Intron Health proprietary model trained for African-accented English (specific architecture not disclosed)</w:t>
      </w:r>
    </w:p>
    <w:p>
      <w:pPr>
        <w:spacing w:before="60" w:after="60"/>
      </w:pPr>
      <w:r>
        <w:rPr>
          <w:b/>
          <w:bCs/>
          <w:color w:val="375623"/>
          <w:sz w:val="22"/>
          <w:szCs w:val="22"/>
        </w:rPr>
        <w:t xml:space="preserve">Quality control (typing): </w:t>
      </w:r>
      <w:r>
        <w:rPr>
          <w:color w:val="000000"/>
          <w:sz w:val="22"/>
          <w:szCs w:val="22"/>
        </w:rPr>
        <w:t xml:space="preserve">80% n-gram overlap with reference passage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AAAAAA" w:sz="1"/>
              <w:left w:val="single" w:color="AAAAAA" w:sz="1"/>
              <w:bottom w:val="single" w:color="AAAAAA" w:sz="1"/>
              <w:right w:val="single" w:color="AAAAAA" w:sz="1"/>
            </w:tcBorders>
            <w:shd w:fill="375623" w:val="clear"/>
            <w:tcMar>
              <w:top w:type="dxa" w:w="80"/>
              <w:left w:type="dxa" w:w="120"/>
              <w:bottom w:type="dxa" w:w="80"/>
              <w:right w:type="dxa" w:w="120"/>
            </w:tcMar>
            <w:vAlign w:val="center"/>
          </w:tcPr>
          <w:p>
            <w:pPr>
              <w:spacing w:before="40" w:after="40"/>
            </w:pPr>
            <w:r>
              <w:rPr>
                <w:b/>
                <w:bCs/>
                <w:color w:val="FFFFFF"/>
                <w:sz w:val="20"/>
                <w:szCs w:val="20"/>
              </w:rPr>
              <w:t xml:space="preserve">Resource</w:t>
            </w:r>
          </w:p>
        </w:tc>
        <w:tc>
          <w:tcPr>
            <w:tcW w:type="dxa" w:w="5860"/>
            <w:tcBorders>
              <w:top w:val="single" w:color="AAAAAA" w:sz="1"/>
              <w:left w:val="single" w:color="AAAAAA" w:sz="1"/>
              <w:bottom w:val="single" w:color="AAAAAA" w:sz="1"/>
              <w:right w:val="single" w:color="AAAAAA" w:sz="1"/>
            </w:tcBorders>
            <w:shd w:fill="375623" w:val="clear"/>
            <w:tcMar>
              <w:top w:type="dxa" w:w="80"/>
              <w:left w:type="dxa" w:w="120"/>
              <w:bottom w:type="dxa" w:w="80"/>
              <w:right w:type="dxa" w:w="120"/>
            </w:tcMar>
            <w:vAlign w:val="center"/>
          </w:tcPr>
          <w:p>
            <w:pPr>
              <w:spacing w:before="40" w:after="40"/>
            </w:pPr>
            <w:r>
              <w:rPr>
                <w:b/>
                <w:bCs/>
                <w:color w:val="FFFFFF"/>
                <w:sz w:val="20"/>
                <w:szCs w:val="20"/>
              </w:rPr>
              <w:t xml:space="preserve">Status</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before="40" w:after="40"/>
            </w:pPr>
            <w:r>
              <w:rPr>
                <w:b w:val="false"/>
                <w:bCs w:val="false"/>
                <w:color w:val="000000"/>
                <w:sz w:val="20"/>
                <w:szCs w:val="20"/>
              </w:rPr>
              <w:t xml:space="preserve">Code Available</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before="40" w:after="40"/>
            </w:pPr>
            <w:r>
              <w:rPr>
                <w:b w:val="false"/>
                <w:bCs w:val="false"/>
                <w:color w:val="000000"/>
                <w:sz w:val="20"/>
                <w:szCs w:val="20"/>
              </w:rPr>
              <w:t xml:space="preserve">NO - proprietary platform</w:t>
            </w:r>
          </w:p>
        </w:tc>
      </w:tr>
      <w:tr>
        <w:tc>
          <w:tcPr>
            <w:tcW w:type="dxa" w:w="35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spacing w:before="40" w:after="40"/>
            </w:pPr>
            <w:r>
              <w:rPr>
                <w:b w:val="false"/>
                <w:bCs w:val="false"/>
                <w:color w:val="000000"/>
                <w:sz w:val="20"/>
                <w:szCs w:val="20"/>
              </w:rPr>
              <w:t xml:space="preserve">Pre-trained Models Available</w:t>
            </w:r>
          </w:p>
        </w:tc>
        <w:tc>
          <w:tcPr>
            <w:tcW w:type="dxa" w:w="58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spacing w:before="40" w:after="40"/>
            </w:pPr>
            <w:r>
              <w:rPr>
                <w:b w:val="false"/>
                <w:bCs w:val="false"/>
                <w:color w:val="000000"/>
                <w:sz w:val="20"/>
                <w:szCs w:val="20"/>
              </w:rPr>
              <w:t xml:space="preserve">NO - Intron Health commercial product</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before="40" w:after="40"/>
            </w:pPr>
            <w:r>
              <w:rPr>
                <w:b w:val="false"/>
                <w:bCs w:val="false"/>
                <w:color w:val="000000"/>
                <w:sz w:val="20"/>
                <w:szCs w:val="20"/>
              </w:rPr>
              <w:t xml:space="preserve">Data Available</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before="40" w:after="40"/>
            </w:pPr>
            <w:r>
              <w:rPr>
                <w:b w:val="false"/>
                <w:bCs w:val="false"/>
                <w:color w:val="000000"/>
                <w:sz w:val="20"/>
                <w:szCs w:val="20"/>
              </w:rPr>
              <w:t xml:space="preserve">NO - proprietary</w:t>
            </w:r>
          </w:p>
        </w:tc>
      </w:tr>
      <w:tr>
        <w:tc>
          <w:tcPr>
            <w:tcW w:type="dxa" w:w="35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spacing w:before="40" w:after="40"/>
            </w:pPr>
            <w:r>
              <w:rPr>
                <w:b w:val="false"/>
                <w:bCs w:val="false"/>
                <w:color w:val="000000"/>
                <w:sz w:val="20"/>
                <w:szCs w:val="20"/>
              </w:rPr>
              <w:t xml:space="preserve">Can We Reproduce?</w:t>
            </w:r>
          </w:p>
        </w:tc>
        <w:tc>
          <w:tcPr>
            <w:tcW w:type="dxa" w:w="58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spacing w:before="40" w:after="40"/>
            </w:pPr>
            <w:r>
              <w:rPr>
                <w:b w:val="false"/>
                <w:bCs w:val="false"/>
                <w:color w:val="000000"/>
                <w:sz w:val="20"/>
                <w:szCs w:val="20"/>
              </w:rPr>
              <w:t xml:space="preserve">NO - but we can adapt their study design for our own evaluation</w:t>
            </w:r>
          </w:p>
        </w:tc>
      </w:tr>
    </w:tbl>
    <w:p>
      <w:pPr>
        <w:pBdr>
          <w:bottom w:val="single" w:color="538135" w:sz="6" w:space="1"/>
        </w:pBdr>
        <w:spacing w:before="120" w:after="120"/>
      </w:pPr>
    </w:p>
    <w:p>
      <w:pPr>
        <w:pStyle w:val="Heading1"/>
        <w:spacing w:before="280" w:after="120"/>
      </w:pPr>
      <w:r>
        <w:rPr>
          <w:b/>
          <w:bCs/>
          <w:color w:val="375623"/>
          <w:sz w:val="28"/>
          <w:szCs w:val="28"/>
        </w:rPr>
        <w:t xml:space="preserve">8. Relevance to Our Project</w:t>
      </w:r>
    </w:p>
    <w:p>
      <w:pPr>
        <w:pStyle w:val="Heading2"/>
        <w:spacing w:before="200" w:after="80"/>
      </w:pPr>
      <w:r>
        <w:rPr>
          <w:b/>
          <w:bCs/>
          <w:color w:val="538135"/>
          <w:sz w:val="24"/>
          <w:szCs w:val="24"/>
        </w:rPr>
        <w:t xml:space="preserve">Can We Use Their Approach?</w:t>
      </w:r>
    </w:p>
    <w:p>
      <w:pPr>
        <w:spacing w:before="60" w:after="60"/>
      </w:pPr>
      <w:r>
        <w:rPr>
          <w:sz w:val="22"/>
          <w:szCs w:val="22"/>
        </w:rPr>
        <w:t xml:space="preserve">Partially. We cannot reproduce their study (proprietary ASR + data), but their findings strongly motivate our project and their evaluation design is very useful.</w:t>
      </w:r>
    </w:p>
    <w:p>
      <w:pPr>
        <w:spacing w:before="80"/>
      </w:pPr>
    </w:p>
    <w:p>
      <w:pPr>
        <w:pStyle w:val="Heading2"/>
        <w:spacing w:before="200" w:after="80"/>
      </w:pPr>
      <w:r>
        <w:rPr>
          <w:b/>
          <w:bCs/>
          <w:color w:val="538135"/>
          <w:sz w:val="24"/>
          <w:szCs w:val="24"/>
        </w:rPr>
        <w:t xml:space="preserve">Direct Benefits for Our Project</w:t>
      </w:r>
    </w:p>
    <w:p>
      <w:pPr>
        <w:pStyle w:val="ListParagraph"/>
        <w:numPr>
          <w:ilvl w:val="0"/>
          <w:numId w:val="2"/>
        </w:numPr>
        <w:spacing w:before="40" w:after="40"/>
      </w:pPr>
      <w:r>
        <w:rPr>
          <w:sz w:val="22"/>
          <w:szCs w:val="22"/>
        </w:rPr>
        <w:t xml:space="preserve">STRONGEST MOTIVATION: Evidence that LMIC clinicians type at 21.4 wpm vs 93 wpm speech - our pre-consultation voice system offers clear efficiency benefit for Bangladeshi patients</w:t>
      </w:r>
    </w:p>
    <w:p>
      <w:pPr>
        <w:pStyle w:val="ListParagraph"/>
        <w:numPr>
          <w:ilvl w:val="0"/>
          <w:numId w:val="2"/>
        </w:numPr>
        <w:spacing w:before="40" w:after="40"/>
      </w:pPr>
      <w:r>
        <w:rPr>
          <w:sz w:val="22"/>
          <w:szCs w:val="22"/>
        </w:rPr>
        <w:t xml:space="preserve">CRITICAL WARNING: Generic English ASR (including Whisper) shows accuracy degradation for non-native/LMIC speakers. We MUST fine-tune Whisper on Bangla to avoid this problem.</w:t>
      </w:r>
    </w:p>
    <w:p>
      <w:pPr>
        <w:pStyle w:val="ListParagraph"/>
        <w:numPr>
          <w:ilvl w:val="0"/>
          <w:numId w:val="2"/>
        </w:numPr>
        <w:spacing w:before="40" w:after="40"/>
      </w:pPr>
      <w:r>
        <w:rPr>
          <w:sz w:val="22"/>
          <w:szCs w:val="22"/>
        </w:rPr>
        <w:t xml:space="preserve">EVALUATION: Adopt error-adjusted dictation speed metric + subjective accuracy rating (0-100) for our user study</w:t>
      </w:r>
    </w:p>
    <w:p>
      <w:pPr>
        <w:pStyle w:val="ListParagraph"/>
        <w:numPr>
          <w:ilvl w:val="0"/>
          <w:numId w:val="2"/>
        </w:numPr>
        <w:spacing w:before="40" w:after="40"/>
      </w:pPr>
      <w:r>
        <w:rPr>
          <w:sz w:val="22"/>
          <w:szCs w:val="22"/>
        </w:rPr>
        <w:t xml:space="preserve">USER STUDY DESIGN: Their task design (standardized passage, paired conditions, demographic collection) is a useful template</w:t>
      </w:r>
    </w:p>
    <w:p>
      <w:pPr>
        <w:spacing w:before="80"/>
      </w:pPr>
    </w:p>
    <w:p>
      <w:pPr>
        <w:pStyle w:val="Heading2"/>
        <w:spacing w:before="200" w:after="80"/>
      </w:pPr>
      <w:r>
        <w:rPr>
          <w:b/>
          <w:bCs/>
          <w:color w:val="538135"/>
          <w:sz w:val="24"/>
          <w:szCs w:val="24"/>
        </w:rPr>
        <w:t xml:space="preserve">What is NOT Applicable</w:t>
      </w:r>
    </w:p>
    <w:p>
      <w:pPr>
        <w:pStyle w:val="ListParagraph"/>
        <w:numPr>
          <w:ilvl w:val="0"/>
          <w:numId w:val="2"/>
        </w:numPr>
        <w:spacing w:before="40" w:after="40"/>
      </w:pPr>
      <w:r>
        <w:rPr>
          <w:sz w:val="22"/>
          <w:szCs w:val="22"/>
        </w:rPr>
        <w:t xml:space="preserve">Their specific ASR model (Intron Health) - we are using Whisper fine-tuned for Bangla</w:t>
      </w:r>
    </w:p>
    <w:p>
      <w:pPr>
        <w:pStyle w:val="ListParagraph"/>
        <w:numPr>
          <w:ilvl w:val="0"/>
          <w:numId w:val="2"/>
        </w:numPr>
        <w:spacing w:before="40" w:after="40"/>
      </w:pPr>
      <w:r>
        <w:rPr>
          <w:sz w:val="22"/>
          <w:szCs w:val="22"/>
        </w:rPr>
        <w:t xml:space="preserve">English-only focus - we need Bangla + code-mixed speech support</w:t>
      </w:r>
    </w:p>
    <w:p>
      <w:pPr>
        <w:pStyle w:val="ListParagraph"/>
        <w:numPr>
          <w:ilvl w:val="0"/>
          <w:numId w:val="2"/>
        </w:numPr>
        <w:spacing w:before="40" w:after="40"/>
      </w:pPr>
      <w:r>
        <w:rPr>
          <w:sz w:val="22"/>
          <w:szCs w:val="22"/>
        </w:rPr>
        <w:t xml:space="preserve">Their dataset - we collect our own Bangla medical recordings</w:t>
      </w:r>
    </w:p>
    <w:p>
      <w:pPr>
        <w:pStyle w:val="ListParagraph"/>
        <w:numPr>
          <w:ilvl w:val="0"/>
          <w:numId w:val="2"/>
        </w:numPr>
        <w:spacing w:before="40" w:after="40"/>
      </w:pPr>
      <w:r>
        <w:rPr>
          <w:sz w:val="22"/>
          <w:szCs w:val="22"/>
        </w:rPr>
        <w:t xml:space="preserve">Their accuracy findings (for African accents) cannot be extrapolated directly to Bangla dialects</w:t>
      </w:r>
    </w:p>
    <w:p>
      <w:pPr>
        <w:pBdr>
          <w:bottom w:val="single" w:color="538135" w:sz="6" w:space="1"/>
        </w:pBdr>
        <w:spacing w:before="120" w:after="120"/>
      </w:pPr>
    </w:p>
    <w:p>
      <w:pPr>
        <w:pStyle w:val="Heading1"/>
        <w:spacing w:before="280" w:after="120"/>
      </w:pPr>
      <w:r>
        <w:rPr>
          <w:b/>
          <w:bCs/>
          <w:color w:val="375623"/>
          <w:sz w:val="28"/>
          <w:szCs w:val="28"/>
        </w:rPr>
        <w:t xml:space="preserve">9. Questions &amp; Follow-ups</w:t>
      </w:r>
    </w:p>
    <w:p>
      <w:pPr>
        <w:pStyle w:val="Heading2"/>
        <w:spacing w:before="200" w:after="80"/>
      </w:pPr>
      <w:r>
        <w:rPr>
          <w:b/>
          <w:bCs/>
          <w:color w:val="538135"/>
          <w:sz w:val="24"/>
          <w:szCs w:val="24"/>
        </w:rPr>
        <w:t xml:space="preserve">Confusing Parts</w:t>
      </w:r>
    </w:p>
    <w:p>
      <w:pPr>
        <w:pStyle w:val="ListParagraph"/>
        <w:numPr>
          <w:ilvl w:val="0"/>
          <w:numId w:val="2"/>
        </w:numPr>
        <w:spacing w:before="40" w:after="40"/>
      </w:pPr>
      <w:r>
        <w:rPr>
          <w:sz w:val="22"/>
          <w:szCs w:val="22"/>
        </w:rPr>
        <w:t xml:space="preserve">The paper says WER 28.4% for tonal language speakers but Bangla is not a tonal language (it uses pitch for emphasis, not lexical tone). How will Bangla accents specifically perform with Whisper? Need to test empirically.</w:t>
      </w:r>
    </w:p>
    <w:p>
      <w:pPr>
        <w:pStyle w:val="ListParagraph"/>
        <w:numPr>
          <w:ilvl w:val="0"/>
          <w:numId w:val="2"/>
        </w:numPr>
        <w:spacing w:before="40" w:after="40"/>
      </w:pPr>
      <w:r>
        <w:rPr>
          <w:sz w:val="22"/>
          <w:szCs w:val="22"/>
        </w:rPr>
        <w:t xml:space="preserve">The 80% n-gram overlap threshold for the typing task - how strict is this? What is the exact n-gram size used?</w:t>
      </w:r>
    </w:p>
    <w:p>
      <w:pPr>
        <w:spacing w:before="80"/>
      </w:pPr>
    </w:p>
    <w:p>
      <w:pPr>
        <w:pStyle w:val="Heading2"/>
        <w:spacing w:before="200" w:after="80"/>
      </w:pPr>
      <w:r>
        <w:rPr>
          <w:b/>
          <w:bCs/>
          <w:color w:val="538135"/>
          <w:sz w:val="24"/>
          <w:szCs w:val="24"/>
        </w:rPr>
        <w:t xml:space="preserve">Questions for Supervisor (AZK)</w:t>
      </w:r>
    </w:p>
    <w:p>
      <w:pPr>
        <w:pStyle w:val="ListParagraph"/>
        <w:numPr>
          <w:ilvl w:val="0"/>
          <w:numId w:val="2"/>
        </w:numPr>
        <w:spacing w:before="40" w:after="40"/>
      </w:pPr>
      <w:r>
        <w:rPr>
          <w:sz w:val="22"/>
          <w:szCs w:val="22"/>
        </w:rPr>
        <w:t xml:space="preserve">Given that this paper shows 21% of LMIC users are dissatisfied with ASR errors (esp. punctuation), should we include automatic punctuation restoration as a post-processing step in our Bangla ASR pipeline?</w:t>
      </w:r>
    </w:p>
    <w:p>
      <w:pPr>
        <w:pStyle w:val="ListParagraph"/>
        <w:numPr>
          <w:ilvl w:val="0"/>
          <w:numId w:val="2"/>
        </w:numPr>
        <w:spacing w:before="40" w:after="40"/>
      </w:pPr>
      <w:r>
        <w:rPr>
          <w:sz w:val="22"/>
          <w:szCs w:val="22"/>
        </w:rPr>
        <w:t xml:space="preserve">Should we conduct a small speed comparison study (voice vs typing) with Bangladeshi users as part of our project evaluation, similar to this paper's design?</w:t>
      </w:r>
    </w:p>
    <w:p>
      <w:pPr>
        <w:spacing w:before="80"/>
      </w:pPr>
    </w:p>
    <w:p>
      <w:pPr>
        <w:pStyle w:val="Heading2"/>
        <w:spacing w:before="200" w:after="80"/>
      </w:pPr>
      <w:r>
        <w:rPr>
          <w:b/>
          <w:bCs/>
          <w:color w:val="538135"/>
          <w:sz w:val="24"/>
          <w:szCs w:val="24"/>
        </w:rPr>
        <w:t xml:space="preserve">Discussion Points with Team</w:t>
      </w:r>
    </w:p>
    <w:p>
      <w:pPr>
        <w:pStyle w:val="ListParagraph"/>
        <w:numPr>
          <w:ilvl w:val="0"/>
          <w:numId w:val="2"/>
        </w:numPr>
        <w:spacing w:before="40" w:after="40"/>
      </w:pPr>
      <w:r>
        <w:rPr>
          <w:sz w:val="22"/>
          <w:szCs w:val="22"/>
        </w:rPr>
        <w:t xml:space="preserve">The paper explicitly states commercial ASR derives 78-92% training data from HIC English - this explains why we need to fine-tune Whisper on Bangla data, and why our 200-300 recordings matter</w:t>
      </w:r>
    </w:p>
    <w:p>
      <w:pPr>
        <w:pStyle w:val="ListParagraph"/>
        <w:numPr>
          <w:ilvl w:val="0"/>
          <w:numId w:val="2"/>
        </w:numPr>
        <w:spacing w:before="40" w:after="40"/>
      </w:pPr>
      <w:r>
        <w:rPr>
          <w:sz w:val="22"/>
          <w:szCs w:val="22"/>
        </w:rPr>
        <w:t xml:space="preserve">Discuss: should our user study evaluate if Bangladeshi patients also speak faster than they type? This could strengthen our project's motivation section</w:t>
      </w:r>
    </w:p>
    <w:p>
      <w:pPr>
        <w:pBdr>
          <w:bottom w:val="single" w:color="538135" w:sz="6" w:space="1"/>
        </w:pBdr>
        <w:spacing w:before="120" w:after="120"/>
      </w:pPr>
    </w:p>
    <w:p>
      <w:pPr>
        <w:pStyle w:val="Heading1"/>
        <w:spacing w:before="280" w:after="120"/>
      </w:pPr>
      <w:r>
        <w:rPr>
          <w:b/>
          <w:bCs/>
          <w:color w:val="375623"/>
          <w:sz w:val="28"/>
          <w:szCs w:val="28"/>
        </w:rPr>
        <w:t xml:space="preserve">10. Project Integration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AAAAAA" w:sz="1"/>
              <w:left w:val="single" w:color="AAAAAA" w:sz="1"/>
              <w:bottom w:val="single" w:color="AAAAAA" w:sz="1"/>
              <w:right w:val="single" w:color="AAAAAA" w:sz="1"/>
            </w:tcBorders>
            <w:shd w:fill="375623" w:val="clear"/>
            <w:tcMar>
              <w:top w:type="dxa" w:w="80"/>
              <w:left w:type="dxa" w:w="120"/>
              <w:bottom w:type="dxa" w:w="80"/>
              <w:right w:type="dxa" w:w="120"/>
            </w:tcMar>
            <w:vAlign w:val="center"/>
          </w:tcPr>
          <w:p>
            <w:pPr>
              <w:spacing w:before="40" w:after="40"/>
            </w:pPr>
            <w:r>
              <w:rPr>
                <w:b/>
                <w:bCs/>
                <w:color w:val="FFFFFF"/>
                <w:sz w:val="20"/>
                <w:szCs w:val="20"/>
              </w:rPr>
              <w:t xml:space="preserve">Project Phase</w:t>
            </w:r>
          </w:p>
        </w:tc>
        <w:tc>
          <w:tcPr>
            <w:tcW w:type="dxa" w:w="1800"/>
            <w:tcBorders>
              <w:top w:val="single" w:color="AAAAAA" w:sz="1"/>
              <w:left w:val="single" w:color="AAAAAA" w:sz="1"/>
              <w:bottom w:val="single" w:color="AAAAAA" w:sz="1"/>
              <w:right w:val="single" w:color="AAAAAA" w:sz="1"/>
            </w:tcBorders>
            <w:shd w:fill="375623" w:val="clear"/>
            <w:tcMar>
              <w:top w:type="dxa" w:w="80"/>
              <w:left w:type="dxa" w:w="120"/>
              <w:bottom w:type="dxa" w:w="80"/>
              <w:right w:type="dxa" w:w="120"/>
            </w:tcMar>
            <w:vAlign w:val="center"/>
          </w:tcPr>
          <w:p>
            <w:pPr>
              <w:spacing w:before="40" w:after="40"/>
            </w:pPr>
            <w:r>
              <w:rPr>
                <w:b/>
                <w:bCs/>
                <w:color w:val="FFFFFF"/>
                <w:sz w:val="20"/>
                <w:szCs w:val="20"/>
              </w:rPr>
              <w:t xml:space="preserve">Applicable?</w:t>
            </w:r>
          </w:p>
        </w:tc>
        <w:tc>
          <w:tcPr>
            <w:tcW w:type="dxa" w:w="5360"/>
            <w:tcBorders>
              <w:top w:val="single" w:color="AAAAAA" w:sz="1"/>
              <w:left w:val="single" w:color="AAAAAA" w:sz="1"/>
              <w:bottom w:val="single" w:color="AAAAAA" w:sz="1"/>
              <w:right w:val="single" w:color="AAAAAA" w:sz="1"/>
            </w:tcBorders>
            <w:shd w:fill="375623" w:val="clear"/>
            <w:tcMar>
              <w:top w:type="dxa" w:w="80"/>
              <w:left w:type="dxa" w:w="120"/>
              <w:bottom w:type="dxa" w:w="80"/>
              <w:right w:type="dxa" w:w="120"/>
            </w:tcMar>
            <w:vAlign w:val="center"/>
          </w:tcPr>
          <w:p>
            <w:pPr>
              <w:spacing w:before="40" w:after="40"/>
            </w:pPr>
            <w:r>
              <w:rPr>
                <w:b/>
                <w:bCs/>
                <w:color w:val="FFFFFF"/>
                <w:sz w:val="20"/>
                <w:szCs w:val="20"/>
              </w:rPr>
              <w:t xml:space="preserve">How to Use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before="40" w:after="40"/>
            </w:pPr>
            <w:r>
              <w:rPr>
                <w:b w:val="false"/>
                <w:bCs w:val="false"/>
                <w:color w:val="000000"/>
                <w:sz w:val="20"/>
                <w:szCs w:val="20"/>
              </w:rPr>
              <w:t xml:space="preserve">ASR baseline setup</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before="40" w:after="40"/>
            </w:pPr>
            <w:r>
              <w:rPr>
                <w:b w:val="false"/>
                <w:bCs w:val="false"/>
                <w:color w:val="000000"/>
                <w:sz w:val="20"/>
                <w:szCs w:val="20"/>
              </w:rPr>
              <w:t xml:space="preserve">YES</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before="40" w:after="40"/>
            </w:pPr>
            <w:r>
              <w:rPr>
                <w:b w:val="false"/>
                <w:bCs w:val="false"/>
                <w:color w:val="000000"/>
                <w:sz w:val="20"/>
                <w:szCs w:val="20"/>
              </w:rPr>
              <w:t xml:space="preserve">Confirms Whisper underperforms on LMIC accents without fine-tuning - justifies our fine-tuning phase</w:t>
            </w:r>
          </w:p>
        </w:tc>
      </w:tr>
      <w:tr>
        <w:tc>
          <w:tcPr>
            <w:tcW w:type="dxa" w:w="22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spacing w:before="40" w:after="40"/>
            </w:pPr>
            <w:r>
              <w:rPr>
                <w:b w:val="false"/>
                <w:bCs w:val="false"/>
                <w:color w:val="000000"/>
                <w:sz w:val="20"/>
                <w:szCs w:val="20"/>
              </w:rPr>
              <w:t xml:space="preserve">Fine-tuning ASR</w:t>
            </w:r>
          </w:p>
        </w:tc>
        <w:tc>
          <w:tcPr>
            <w:tcW w:type="dxa" w:w="18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spacing w:before="40" w:after="40"/>
            </w:pPr>
            <w:r>
              <w:rPr>
                <w:b w:val="false"/>
                <w:bCs w:val="false"/>
                <w:color w:val="000000"/>
                <w:sz w:val="20"/>
                <w:szCs w:val="20"/>
              </w:rPr>
              <w:t xml:space="preserve">YES - HIGH PRIORITY</w:t>
            </w:r>
          </w:p>
        </w:tc>
        <w:tc>
          <w:tcPr>
            <w:tcW w:type="dxa" w:w="53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spacing w:before="40" w:after="40"/>
            </w:pPr>
            <w:r>
              <w:rPr>
                <w:b w:val="false"/>
                <w:bCs w:val="false"/>
                <w:color w:val="000000"/>
                <w:sz w:val="20"/>
                <w:szCs w:val="20"/>
              </w:rPr>
              <w:t xml:space="preserve">This paper's accent findings are the key reason we must fine-tune Whisper on Bangla dialects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before="40" w:after="40"/>
            </w:pPr>
            <w:r>
              <w:rPr>
                <w:b w:val="false"/>
                <w:bCs w:val="false"/>
                <w:color w:val="000000"/>
                <w:sz w:val="20"/>
                <w:szCs w:val="20"/>
              </w:rPr>
              <w:t xml:space="preserve">Accent adaptation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before="40" w:after="40"/>
            </w:pPr>
            <w:r>
              <w:rPr>
                <w:b w:val="false"/>
                <w:bCs w:val="false"/>
                <w:color w:val="000000"/>
                <w:sz w:val="20"/>
                <w:szCs w:val="20"/>
              </w:rPr>
              <w:t xml:space="preserve">YES - HIGH PRIORITY</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before="40" w:after="40"/>
            </w:pPr>
            <w:r>
              <w:rPr>
                <w:b w:val="false"/>
                <w:bCs w:val="false"/>
                <w:color w:val="000000"/>
                <w:sz w:val="20"/>
                <w:szCs w:val="20"/>
              </w:rPr>
              <w:t xml:space="preserve">Must collect samples from all 4 Bangla dialects (Dhaka, Sylhet, Chittagong, Barishal) - mirroring their multi-accent study</w:t>
            </w:r>
          </w:p>
        </w:tc>
      </w:tr>
      <w:tr>
        <w:tc>
          <w:tcPr>
            <w:tcW w:type="dxa" w:w="22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spacing w:before="40" w:after="40"/>
            </w:pPr>
            <w:r>
              <w:rPr>
                <w:b w:val="false"/>
                <w:bCs w:val="false"/>
                <w:color w:val="000000"/>
                <w:sz w:val="20"/>
                <w:szCs w:val="20"/>
              </w:rPr>
              <w:t xml:space="preserve">Data collection strategy</w:t>
            </w:r>
          </w:p>
        </w:tc>
        <w:tc>
          <w:tcPr>
            <w:tcW w:type="dxa" w:w="18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spacing w:before="40" w:after="40"/>
            </w:pPr>
            <w:r>
              <w:rPr>
                <w:b w:val="false"/>
                <w:bCs w:val="false"/>
                <w:color w:val="000000"/>
                <w:sz w:val="20"/>
                <w:szCs w:val="20"/>
              </w:rPr>
              <w:t xml:space="preserve">YES</w:t>
            </w:r>
          </w:p>
        </w:tc>
        <w:tc>
          <w:tcPr>
            <w:tcW w:type="dxa" w:w="53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spacing w:before="40" w:after="40"/>
            </w:pPr>
            <w:r>
              <w:rPr>
                <w:b w:val="false"/>
                <w:bCs w:val="false"/>
                <w:color w:val="000000"/>
                <w:sz w:val="20"/>
                <w:szCs w:val="20"/>
              </w:rPr>
              <w:t xml:space="preserve">Model our recording collection on their demographic diversity approach</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before="40" w:after="40"/>
            </w:pPr>
            <w:r>
              <w:rPr>
                <w:b w:val="false"/>
                <w:bCs w:val="false"/>
                <w:color w:val="000000"/>
                <w:sz w:val="20"/>
                <w:szCs w:val="20"/>
              </w:rPr>
              <w:t xml:space="preserve">Evaluation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before="40" w:after="40"/>
            </w:pPr>
            <w:r>
              <w:rPr>
                <w:b w:val="false"/>
                <w:bCs w:val="false"/>
                <w:color w:val="000000"/>
                <w:sz w:val="20"/>
                <w:szCs w:val="20"/>
              </w:rPr>
              <w:t xml:space="preserve">YES</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before="40" w:after="40"/>
            </w:pPr>
            <w:r>
              <w:rPr>
                <w:b w:val="false"/>
                <w:bCs w:val="false"/>
                <w:color w:val="000000"/>
                <w:sz w:val="20"/>
                <w:szCs w:val="20"/>
              </w:rPr>
              <w:t xml:space="preserve">Add error-adjusted speed, accuracy self-rating (0-100), and qualitative feedback collection</w:t>
            </w:r>
          </w:p>
        </w:tc>
      </w:tr>
      <w:tr>
        <w:tc>
          <w:tcPr>
            <w:tcW w:type="dxa" w:w="22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spacing w:before="40" w:after="40"/>
            </w:pPr>
            <w:r>
              <w:rPr>
                <w:b w:val="false"/>
                <w:bCs w:val="false"/>
                <w:color w:val="000000"/>
                <w:sz w:val="20"/>
                <w:szCs w:val="20"/>
              </w:rPr>
              <w:t xml:space="preserve">System integration</w:t>
            </w:r>
          </w:p>
        </w:tc>
        <w:tc>
          <w:tcPr>
            <w:tcW w:type="dxa" w:w="18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spacing w:before="40" w:after="40"/>
            </w:pPr>
            <w:r>
              <w:rPr>
                <w:b w:val="false"/>
                <w:bCs w:val="false"/>
                <w:color w:val="000000"/>
                <w:sz w:val="20"/>
                <w:szCs w:val="20"/>
              </w:rPr>
              <w:t xml:space="preserve">PARTIAL</w:t>
            </w:r>
          </w:p>
        </w:tc>
        <w:tc>
          <w:tcPr>
            <w:tcW w:type="dxa" w:w="53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spacing w:before="40" w:after="40"/>
            </w:pPr>
            <w:r>
              <w:rPr>
                <w:b w:val="false"/>
                <w:bCs w:val="false"/>
                <w:color w:val="000000"/>
                <w:sz w:val="20"/>
                <w:szCs w:val="20"/>
              </w:rPr>
              <w:t xml:space="preserve">Motivates the overall pre-consultation voice input design</w:t>
            </w:r>
          </w:p>
        </w:tc>
      </w:tr>
    </w:tbl>
    <w:p>
      <w:pPr>
        <w:spacing w:before="80"/>
      </w:pPr>
    </w:p>
    <w:p>
      <w:pPr>
        <w:pStyle w:val="Heading2"/>
        <w:spacing w:before="200" w:after="80"/>
      </w:pPr>
      <w:r>
        <w:rPr>
          <w:b/>
          <w:bCs/>
          <w:color w:val="538135"/>
          <w:sz w:val="24"/>
          <w:szCs w:val="24"/>
        </w:rPr>
        <w:t xml:space="preserve">Specific Action Items</w:t>
      </w:r>
    </w:p>
    <w:p>
      <w:pPr>
        <w:pStyle w:val="ListParagraph"/>
        <w:numPr>
          <w:ilvl w:val="0"/>
          <w:numId w:val="3"/>
        </w:numPr>
        <w:spacing w:before="40" w:after="40"/>
      </w:pPr>
      <w:r>
        <w:rPr>
          <w:sz w:val="22"/>
          <w:szCs w:val="22"/>
        </w:rPr>
        <w:t xml:space="preserve">Include in project motivation: cite this paper's finding that LMIC clinicians type at 21.4 wpm vs 93 wpm speech = 4.3x productivity gain</w:t>
      </w:r>
    </w:p>
    <w:p>
      <w:pPr>
        <w:pStyle w:val="ListParagraph"/>
        <w:numPr>
          <w:ilvl w:val="0"/>
          <w:numId w:val="3"/>
        </w:numPr>
        <w:spacing w:before="40" w:after="40"/>
      </w:pPr>
      <w:r>
        <w:rPr>
          <w:sz w:val="22"/>
          <w:szCs w:val="22"/>
        </w:rPr>
        <w:t xml:space="preserve">Plan dialect-specific evaluation: test our ASR on all 4 Bangla dialects separately and report per-dialect WER (analogous to this paper's per-accent analysis)</w:t>
      </w:r>
    </w:p>
    <w:p>
      <w:pPr>
        <w:pStyle w:val="ListParagraph"/>
        <w:numPr>
          <w:ilvl w:val="0"/>
          <w:numId w:val="3"/>
        </w:numPr>
        <w:spacing w:before="40" w:after="40"/>
      </w:pPr>
      <w:r>
        <w:rPr>
          <w:sz w:val="22"/>
          <w:szCs w:val="22"/>
        </w:rPr>
        <w:t xml:space="preserve">Add to our evaluation protocol: error-adjusted dictation speed + subjective accuracy rating (0-100) + sentiment clustering of user feedback</w:t>
      </w:r>
    </w:p>
    <w:p>
      <w:pPr>
        <w:pBdr>
          <w:bottom w:val="single" w:color="538135" w:sz="6" w:space="1"/>
        </w:pBdr>
        <w:spacing w:before="120" w:after="120"/>
      </w:pPr>
    </w:p>
    <w:p>
      <w:pPr>
        <w:pStyle w:val="Heading1"/>
        <w:spacing w:before="280" w:after="120"/>
      </w:pPr>
      <w:r>
        <w:rPr>
          <w:b/>
          <w:bCs/>
          <w:color w:val="375623"/>
          <w:sz w:val="28"/>
          <w:szCs w:val="28"/>
        </w:rPr>
        <w:t xml:space="preserve">11. Keywords &amp;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6360"/>
      </w:tblGrid>
      <w:tr>
        <w:tc>
          <w:tcPr>
            <w:tcW w:type="dxa" w:w="500"/>
            <w:tcBorders>
              <w:top w:val="single" w:color="AAAAAA" w:sz="1"/>
              <w:left w:val="single" w:color="AAAAAA" w:sz="1"/>
              <w:bottom w:val="single" w:color="AAAAAA" w:sz="1"/>
              <w:right w:val="single" w:color="AAAAAA" w:sz="1"/>
            </w:tcBorders>
            <w:shd w:fill="375623" w:val="clear"/>
            <w:tcMar>
              <w:top w:type="dxa" w:w="80"/>
              <w:left w:type="dxa" w:w="120"/>
              <w:bottom w:type="dxa" w:w="80"/>
              <w:right w:type="dxa" w:w="120"/>
            </w:tcMar>
            <w:vAlign w:val="center"/>
          </w:tcPr>
          <w:p>
            <w:pPr>
              <w:spacing w:before="40" w:after="40"/>
            </w:pPr>
            <w:r>
              <w:rPr>
                <w:b/>
                <w:bCs/>
                <w:color w:val="FFFFFF"/>
                <w:sz w:val="20"/>
                <w:szCs w:val="20"/>
              </w:rPr>
              <w:t xml:space="preserve">#</w:t>
            </w:r>
          </w:p>
        </w:tc>
        <w:tc>
          <w:tcPr>
            <w:tcW w:type="dxa" w:w="2500"/>
            <w:tcBorders>
              <w:top w:val="single" w:color="AAAAAA" w:sz="1"/>
              <w:left w:val="single" w:color="AAAAAA" w:sz="1"/>
              <w:bottom w:val="single" w:color="AAAAAA" w:sz="1"/>
              <w:right w:val="single" w:color="AAAAAA" w:sz="1"/>
            </w:tcBorders>
            <w:shd w:fill="375623" w:val="clear"/>
            <w:tcMar>
              <w:top w:type="dxa" w:w="80"/>
              <w:left w:type="dxa" w:w="120"/>
              <w:bottom w:type="dxa" w:w="80"/>
              <w:right w:type="dxa" w:w="120"/>
            </w:tcMar>
            <w:vAlign w:val="center"/>
          </w:tcPr>
          <w:p>
            <w:pPr>
              <w:spacing w:before="40" w:after="40"/>
            </w:pPr>
            <w:r>
              <w:rPr>
                <w:b/>
                <w:bCs/>
                <w:color w:val="FFFFFF"/>
                <w:sz w:val="20"/>
                <w:szCs w:val="20"/>
              </w:rPr>
              <w:t xml:space="preserve">Keyword</w:t>
            </w:r>
          </w:p>
        </w:tc>
        <w:tc>
          <w:tcPr>
            <w:tcW w:type="dxa" w:w="6360"/>
            <w:tcBorders>
              <w:top w:val="single" w:color="AAAAAA" w:sz="1"/>
              <w:left w:val="single" w:color="AAAAAA" w:sz="1"/>
              <w:bottom w:val="single" w:color="AAAAAA" w:sz="1"/>
              <w:right w:val="single" w:color="AAAAAA" w:sz="1"/>
            </w:tcBorders>
            <w:shd w:fill="375623" w:val="clear"/>
            <w:tcMar>
              <w:top w:type="dxa" w:w="80"/>
              <w:left w:type="dxa" w:w="120"/>
              <w:bottom w:type="dxa" w:w="80"/>
              <w:right w:type="dxa" w:w="120"/>
            </w:tcMar>
            <w:vAlign w:val="center"/>
          </w:tcPr>
          <w:p>
            <w:pPr>
              <w:spacing w:before="40" w:after="40"/>
            </w:pPr>
            <w:r>
              <w:rPr>
                <w:b/>
                <w:bCs/>
                <w:color w:val="FFFFFF"/>
                <w:sz w:val="20"/>
                <w:szCs w:val="20"/>
              </w:rPr>
              <w:t xml:space="preserve">Why Relevant</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before="40" w:after="40"/>
            </w:pPr>
            <w:r>
              <w:rPr>
                <w:b w:val="false"/>
                <w:bCs w:val="false"/>
                <w:color w:val="000000"/>
                <w:sz w:val="20"/>
                <w:szCs w:val="20"/>
              </w:rPr>
              <w:t xml:space="preserve">1</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before="40" w:after="40"/>
            </w:pPr>
            <w:r>
              <w:rPr>
                <w:b w:val="false"/>
                <w:bCs w:val="false"/>
                <w:color w:val="000000"/>
                <w:sz w:val="20"/>
                <w:szCs w:val="20"/>
              </w:rPr>
              <w:t xml:space="preserve">LMIC ASR</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before="40" w:after="40"/>
            </w:pPr>
            <w:r>
              <w:rPr>
                <w:b w:val="false"/>
                <w:bCs w:val="false"/>
                <w:color w:val="000000"/>
                <w:sz w:val="20"/>
                <w:szCs w:val="20"/>
              </w:rPr>
              <w:t xml:space="preserve">Bangladesh is an LMIC; this paper's findings directly apply to our target users</w:t>
            </w:r>
          </w:p>
        </w:tc>
      </w:tr>
      <w:tr>
        <w:tc>
          <w:tcPr>
            <w:tcW w:type="dxa" w:w="5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spacing w:before="40" w:after="40"/>
            </w:pPr>
            <w:r>
              <w:rPr>
                <w:b w:val="false"/>
                <w:bCs w:val="false"/>
                <w:color w:val="000000"/>
                <w:sz w:val="20"/>
                <w:szCs w:val="20"/>
              </w:rPr>
              <w:t xml:space="preserve">2</w:t>
            </w:r>
          </w:p>
        </w:tc>
        <w:tc>
          <w:tcPr>
            <w:tcW w:type="dxa" w:w="25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spacing w:before="40" w:after="40"/>
            </w:pPr>
            <w:r>
              <w:rPr>
                <w:b w:val="false"/>
                <w:bCs w:val="false"/>
                <w:color w:val="000000"/>
                <w:sz w:val="20"/>
                <w:szCs w:val="20"/>
              </w:rPr>
              <w:t xml:space="preserve">Accent-Robust ASR</w:t>
            </w:r>
          </w:p>
        </w:tc>
        <w:tc>
          <w:tcPr>
            <w:tcW w:type="dxa" w:w="63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spacing w:before="40" w:after="40"/>
            </w:pPr>
            <w:r>
              <w:rPr>
                <w:b w:val="false"/>
                <w:bCs w:val="false"/>
                <w:color w:val="000000"/>
                <w:sz w:val="20"/>
                <w:szCs w:val="20"/>
              </w:rPr>
              <w:t xml:space="preserve">We need ASR robust to Bangla regional dialects - this paper shows why accent adaptation matters</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before="40" w:after="40"/>
            </w:pPr>
            <w:r>
              <w:rPr>
                <w:b w:val="false"/>
                <w:bCs w:val="false"/>
                <w:color w:val="000000"/>
                <w:sz w:val="20"/>
                <w:szCs w:val="20"/>
              </w:rPr>
              <w:t xml:space="preserve">3</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before="40" w:after="40"/>
            </w:pPr>
            <w:r>
              <w:rPr>
                <w:b w:val="false"/>
                <w:bCs w:val="false"/>
                <w:color w:val="000000"/>
                <w:sz w:val="20"/>
                <w:szCs w:val="20"/>
              </w:rPr>
              <w:t xml:space="preserve">Dictation Speed vs Typing Speed</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before="40" w:after="40"/>
            </w:pPr>
            <w:r>
              <w:rPr>
                <w:b w:val="false"/>
                <w:bCs w:val="false"/>
                <w:color w:val="000000"/>
                <w:sz w:val="20"/>
                <w:szCs w:val="20"/>
              </w:rPr>
              <w:t xml:space="preserve">Core metric validating the efficiency of voice input for our system</w:t>
            </w:r>
          </w:p>
        </w:tc>
      </w:tr>
      <w:tr>
        <w:tc>
          <w:tcPr>
            <w:tcW w:type="dxa" w:w="5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spacing w:before="40" w:after="40"/>
            </w:pPr>
            <w:r>
              <w:rPr>
                <w:b w:val="false"/>
                <w:bCs w:val="false"/>
                <w:color w:val="000000"/>
                <w:sz w:val="20"/>
                <w:szCs w:val="20"/>
              </w:rPr>
              <w:t xml:space="preserve">4</w:t>
            </w:r>
          </w:p>
        </w:tc>
        <w:tc>
          <w:tcPr>
            <w:tcW w:type="dxa" w:w="25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spacing w:before="40" w:after="40"/>
            </w:pPr>
            <w:r>
              <w:rPr>
                <w:b w:val="false"/>
                <w:bCs w:val="false"/>
                <w:color w:val="000000"/>
                <w:sz w:val="20"/>
                <w:szCs w:val="20"/>
              </w:rPr>
              <w:t xml:space="preserve">Error-Adjusted Dictation Speed</w:t>
            </w:r>
          </w:p>
        </w:tc>
        <w:tc>
          <w:tcPr>
            <w:tcW w:type="dxa" w:w="63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spacing w:before="40" w:after="40"/>
            </w:pPr>
            <w:r>
              <w:rPr>
                <w:b w:val="false"/>
                <w:bCs w:val="false"/>
                <w:color w:val="000000"/>
                <w:sz w:val="20"/>
                <w:szCs w:val="20"/>
              </w:rPr>
              <w:t xml:space="preserve">Realistic efficiency metric we should adopt in our evaluation</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before="40" w:after="40"/>
            </w:pPr>
            <w:r>
              <w:rPr>
                <w:b w:val="false"/>
                <w:bCs w:val="false"/>
                <w:color w:val="000000"/>
                <w:sz w:val="20"/>
                <w:szCs w:val="20"/>
              </w:rPr>
              <w:t xml:space="preserve">5</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before="40" w:after="40"/>
            </w:pPr>
            <w:r>
              <w:rPr>
                <w:b w:val="false"/>
                <w:bCs w:val="false"/>
                <w:color w:val="000000"/>
                <w:sz w:val="20"/>
                <w:szCs w:val="20"/>
              </w:rPr>
              <w:t xml:space="preserve">Tonal Language ASR</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before="40" w:after="40"/>
            </w:pPr>
            <w:r>
              <w:rPr>
                <w:b w:val="false"/>
                <w:bCs w:val="false"/>
                <w:color w:val="000000"/>
                <w:sz w:val="20"/>
                <w:szCs w:val="20"/>
              </w:rPr>
              <w:t xml:space="preserve">While Bangla is not strictly tonal, the degradation pattern for non-English ASR is relevant</w:t>
            </w:r>
          </w:p>
        </w:tc>
      </w:tr>
      <w:tr>
        <w:tc>
          <w:tcPr>
            <w:tcW w:type="dxa" w:w="5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spacing w:before="40" w:after="40"/>
            </w:pPr>
            <w:r>
              <w:rPr>
                <w:b w:val="false"/>
                <w:bCs w:val="false"/>
                <w:color w:val="000000"/>
                <w:sz w:val="20"/>
                <w:szCs w:val="20"/>
              </w:rPr>
              <w:t xml:space="preserve">6</w:t>
            </w:r>
          </w:p>
        </w:tc>
        <w:tc>
          <w:tcPr>
            <w:tcW w:type="dxa" w:w="25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spacing w:before="40" w:after="40"/>
            </w:pPr>
            <w:r>
              <w:rPr>
                <w:b w:val="false"/>
                <w:bCs w:val="false"/>
                <w:color w:val="000000"/>
                <w:sz w:val="20"/>
                <w:szCs w:val="20"/>
              </w:rPr>
              <w:t xml:space="preserve">Digital Literacy in LMIC</w:t>
            </w:r>
          </w:p>
        </w:tc>
        <w:tc>
          <w:tcPr>
            <w:tcW w:type="dxa" w:w="63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spacing w:before="40" w:after="40"/>
            </w:pPr>
            <w:r>
              <w:rPr>
                <w:b w:val="false"/>
                <w:bCs w:val="false"/>
                <w:color w:val="000000"/>
                <w:sz w:val="20"/>
                <w:szCs w:val="20"/>
              </w:rPr>
              <w:t xml:space="preserve">Bangladeshi patients may have limited typing ability - motivates voice input design</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before="40" w:after="40"/>
            </w:pPr>
            <w:r>
              <w:rPr>
                <w:b w:val="false"/>
                <w:bCs w:val="false"/>
                <w:color w:val="000000"/>
                <w:sz w:val="20"/>
                <w:szCs w:val="20"/>
              </w:rPr>
              <w:t xml:space="preserve">7</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before="40" w:after="40"/>
            </w:pPr>
            <w:r>
              <w:rPr>
                <w:b w:val="false"/>
                <w:bCs w:val="false"/>
                <w:color w:val="000000"/>
                <w:sz w:val="20"/>
                <w:szCs w:val="20"/>
              </w:rPr>
              <w:t xml:space="preserve">Training Data Imbalance</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before="40" w:after="40"/>
            </w:pPr>
            <w:r>
              <w:rPr>
                <w:b w:val="false"/>
                <w:bCs w:val="false"/>
                <w:color w:val="000000"/>
                <w:sz w:val="20"/>
                <w:szCs w:val="20"/>
              </w:rPr>
              <w:t xml:space="preserve">78-92% of commercial ASR training data is HIC English - explains poor performance on Bangla</w:t>
            </w:r>
          </w:p>
        </w:tc>
      </w:tr>
    </w:tbl>
    <w:p>
      <w:pPr>
        <w:spacing w:before="80"/>
      </w:pPr>
    </w:p>
    <w:p>
      <w:pPr>
        <w:pStyle w:val="Heading2"/>
        <w:spacing w:before="200" w:after="80"/>
      </w:pPr>
      <w:r>
        <w:rPr>
          <w:b/>
          <w:bCs/>
          <w:color w:val="538135"/>
          <w:sz w:val="24"/>
          <w:szCs w:val="24"/>
        </w:rPr>
        <w:t xml:space="preserve">Technical Terms to Learn</w:t>
      </w:r>
    </w:p>
    <w:p>
      <w:pPr>
        <w:pStyle w:val="ListParagraph"/>
        <w:numPr>
          <w:ilvl w:val="0"/>
          <w:numId w:val="3"/>
        </w:numPr>
        <w:spacing w:before="40" w:after="40"/>
      </w:pPr>
      <w:r>
        <w:rPr>
          <w:sz w:val="22"/>
          <w:szCs w:val="22"/>
        </w:rPr>
        <w:t xml:space="preserve">N-gram overlap: Measure of text similarity by counting matching word sequences of length n</w:t>
      </w:r>
    </w:p>
    <w:p>
      <w:pPr>
        <w:pStyle w:val="ListParagraph"/>
        <w:numPr>
          <w:ilvl w:val="0"/>
          <w:numId w:val="3"/>
        </w:numPr>
        <w:spacing w:before="40" w:after="40"/>
      </w:pPr>
      <w:r>
        <w:rPr>
          <w:sz w:val="22"/>
          <w:szCs w:val="22"/>
        </w:rPr>
        <w:t xml:space="preserve">Paired t-test: Statistical test comparing two measurements from the same subjects</w:t>
      </w:r>
    </w:p>
    <w:p>
      <w:pPr>
        <w:pStyle w:val="ListParagraph"/>
        <w:numPr>
          <w:ilvl w:val="0"/>
          <w:numId w:val="3"/>
        </w:numPr>
        <w:spacing w:before="40" w:after="40"/>
      </w:pPr>
      <w:r>
        <w:rPr>
          <w:sz w:val="22"/>
          <w:szCs w:val="22"/>
        </w:rPr>
        <w:t xml:space="preserve">Interquartile Range (IQR): Spread of middle 50% of data; robust to outliers</w:t>
      </w:r>
    </w:p>
    <w:p>
      <w:pPr>
        <w:pStyle w:val="ListParagraph"/>
        <w:numPr>
          <w:ilvl w:val="0"/>
          <w:numId w:val="3"/>
        </w:numPr>
        <w:spacing w:before="40" w:after="40"/>
      </w:pPr>
      <w:r>
        <w:rPr>
          <w:sz w:val="22"/>
          <w:szCs w:val="22"/>
        </w:rPr>
        <w:t xml:space="preserve">Real-Time Factor (RTF): Ratio of processing time to audio duration; RTF &lt; 1 means faster than real-time</w:t>
      </w:r>
    </w:p>
    <w:p>
      <w:pPr>
        <w:spacing w:before="80"/>
      </w:pPr>
    </w:p>
    <w:p>
      <w:pPr>
        <w:spacing w:before="200"/>
        <w:jc w:val="center"/>
      </w:pPr>
      <w:r>
        <w:rPr>
          <w:color w:val="888888"/>
          <w:sz w:val="20"/>
          <w:szCs w:val="20"/>
        </w:rPr>
        <w:t xml:space="preserve">--- End of Paper Reading Template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20"/>
      <w:outlineLvl w:val="0"/>
    </w:pPr>
    <w:rPr>
      <w:rFonts w:ascii="Arial" w:cs="Arial" w:eastAsia="Arial" w:hAnsi="Arial"/>
      <w:b/>
      <w:bCs/>
      <w:color w:val="375623"/>
      <w:sz w:val="28"/>
      <w:szCs w:val="28"/>
    </w:rPr>
  </w:style>
  <w:style w:type="paragraph" w:styleId="Heading2">
    <w:name w:val="Heading 2"/>
    <w:basedOn w:val="Normal"/>
    <w:next w:val="Normal"/>
    <w:qFormat/>
    <w:pPr>
      <w:spacing w:before="200" w:after="80"/>
      <w:outlineLvl w:val="1"/>
    </w:pPr>
    <w:rPr>
      <w:rFonts w:ascii="Arial" w:cs="Arial" w:eastAsia="Arial" w:hAnsi="Arial"/>
      <w:b/>
      <w:bCs/>
      <w:color w:val="53813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2026-03-05T17:34:37.143Z</dcterms:created>
  <dcterms:modified xsi:type="dcterms:W3CDTF">2026-03-05T17:34:37.144Z</dcterms:modified>
</cp:coreProperties>
</file>

<file path=docProps/custom.xml><?xml version="1.0" encoding="utf-8"?>
<Properties xmlns="http://schemas.openxmlformats.org/officeDocument/2006/custom-properties" xmlns:vt="http://schemas.openxmlformats.org/officeDocument/2006/docPropsVTypes"/>
</file>