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b/>
          <w:bCs/>
          <w:color w:val="1F3864"/>
          <w:sz w:val="40"/>
          <w:szCs w:val="40"/>
        </w:rPr>
        <w:t xml:space="preserve">Paper Reading Summary</w:t>
      </w:r>
    </w:p>
    <w:p>
      <w:pPr>
        <w:spacing w:before="0" w:after="240"/>
        <w:jc w:val="center"/>
      </w:pPr>
      <w:r>
        <w:rPr>
          <w:i/>
          <w:iCs/>
          <w:color w:val="2E75B6"/>
          <w:sz w:val="24"/>
          <w:szCs w:val="24"/>
        </w:rPr>
        <w:t xml:space="preserve">EHR-Based Pre-Consultation Medical Documentation System</w:t>
      </w:r>
    </w:p>
    <w:p>
      <w:pPr>
        <w:pStyle w:val="Heading1"/>
        <w:pBdr>
          <w:bottom w:val="single" w:color="2E75B6" w:sz="6" w:space="1"/>
        </w:pBdr>
        <w:spacing w:before="300" w:after="120"/>
      </w:pPr>
      <w:r>
        <w:rPr>
          <w:b/>
          <w:bCs/>
          <w:color w:val="1F3864"/>
          <w:sz w:val="28"/>
          <w:szCs w:val="28"/>
        </w:rPr>
        <w:t xml:space="preserve">1. Basic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Title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Automatic Speech Recognition System to Record Progress Notes in a Mobile EHR — Pilot Study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Authors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Carolina Paula Vargas, Alejandro Gaiera, Andres Brandán, Alejandro Renato, Sonia Benitez, Daniel Luna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Affiliation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Health Informatics Department, Hospital Italiano de Buenos Aires, Argentina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Year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2023 (published in Studies in Health Technology and Informatics)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Venue / Journal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Studies in Health Technology and Informatics (IOS Press) — doi: 10.3233/SHTI</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Paper 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https://doi.org/10.3233/SHTI-310-SHTI230940</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2. Research Context</w:t>
      </w:r>
    </w:p>
    <w:p>
      <w:pPr>
        <w:pStyle w:val="Heading2"/>
        <w:spacing w:before="200" w:after="80"/>
      </w:pPr>
      <w:r>
        <w:rPr>
          <w:b/>
          <w:bCs/>
          <w:color w:val="2E75B6"/>
          <w:sz w:val="24"/>
          <w:szCs w:val="24"/>
        </w:rPr>
        <w:t xml:space="preserve">Domain Tags</w:t>
      </w:r>
    </w:p>
    <w:p>
      <w:pPr>
        <w:spacing w:before="40" w:after="40"/>
      </w:pPr>
      <w:r>
        <w:rPr>
          <w:sz w:val="22"/>
          <w:szCs w:val="22"/>
        </w:rPr>
        <w:t xml:space="preserve">☑  Speech Recognition (ASR)</w:t>
      </w:r>
    </w:p>
    <w:p>
      <w:pPr>
        <w:spacing w:before="40" w:after="40"/>
      </w:pPr>
      <w:r>
        <w:rPr>
          <w:sz w:val="22"/>
          <w:szCs w:val="22"/>
        </w:rPr>
        <w:t xml:space="preserve">☐  Accent Recognition</w:t>
      </w:r>
    </w:p>
    <w:p>
      <w:pPr>
        <w:spacing w:before="40" w:after="40"/>
      </w:pPr>
      <w:r>
        <w:rPr>
          <w:sz w:val="22"/>
          <w:szCs w:val="22"/>
        </w:rPr>
        <w:t xml:space="preserve">☐  Medical NLP</w:t>
      </w:r>
    </w:p>
    <w:p>
      <w:pPr>
        <w:spacing w:before="40" w:after="40"/>
      </w:pPr>
      <w:r>
        <w:rPr>
          <w:sz w:val="22"/>
          <w:szCs w:val="22"/>
        </w:rPr>
        <w:t xml:space="preserve">☐  Bangla / Low-Resource Language</w:t>
      </w:r>
    </w:p>
    <w:p>
      <w:pPr>
        <w:spacing w:before="40" w:after="40"/>
      </w:pPr>
      <w:r>
        <w:rPr>
          <w:sz w:val="22"/>
          <w:szCs w:val="22"/>
        </w:rPr>
        <w:t xml:space="preserve">☐  Information Extraction</w:t>
      </w:r>
    </w:p>
    <w:p>
      <w:pPr>
        <w:spacing w:before="40" w:after="40"/>
      </w:pPr>
      <w:r>
        <w:rPr>
          <w:sz w:val="22"/>
          <w:szCs w:val="22"/>
        </w:rPr>
        <w:t xml:space="preserve">☑  EHR Systems</w:t>
      </w:r>
    </w:p>
    <w:p>
      <w:pPr>
        <w:spacing w:before="40" w:after="40"/>
      </w:pPr>
      <w:r>
        <w:t xml:space="preserve"/>
      </w:r>
    </w:p>
    <w:p>
      <w:pPr>
        <w:spacing w:before="60" w:after="60"/>
      </w:pPr>
      <w:r>
        <w:rPr>
          <w:b/>
          <w:bCs/>
          <w:sz w:val="22"/>
          <w:szCs w:val="22"/>
        </w:rPr>
        <w:t xml:space="preserve">Specific Sub-domain: </w:t>
      </w:r>
      <w:r>
        <w:rPr>
          <w:sz w:val="22"/>
          <w:szCs w:val="22"/>
        </w:rPr>
        <w:t xml:space="preserve">Clinical ASR integration with mobile EHR; physician dictation for progress notes in Spanish</w:t>
      </w:r>
    </w:p>
    <w:p>
      <w:pPr>
        <w:spacing w:before="40" w:after="40"/>
      </w:pPr>
      <w:r>
        <w:t xml:space="preserve"/>
      </w:r>
    </w:p>
    <w:p>
      <w:pPr>
        <w:pStyle w:val="Heading2"/>
        <w:spacing w:before="200" w:after="80"/>
      </w:pPr>
      <w:r>
        <w:rPr>
          <w:b/>
          <w:bCs/>
          <w:color w:val="2E75B6"/>
          <w:sz w:val="24"/>
          <w:szCs w:val="24"/>
        </w:rPr>
        <w:t xml:space="preserve">Relevance to Our Project (1–5)</w:t>
      </w:r>
    </w:p>
    <w:p>
      <w:pPr>
        <w:spacing w:before="40" w:after="40"/>
      </w:pPr>
      <w:r>
        <w:rPr>
          <w:b/>
          <w:bCs/>
          <w:sz w:val="22"/>
          <w:szCs w:val="22"/>
        </w:rPr>
        <w:t xml:space="preserve">ASR component: </w:t>
      </w:r>
      <w:r>
        <w:rPr>
          <w:color w:val="2E75B6"/>
          <w:sz w:val="22"/>
          <w:szCs w:val="22"/>
        </w:rPr>
        <w:t xml:space="preserve">★★☆☆☆ (2/5)</w:t>
      </w:r>
    </w:p>
    <w:p>
      <w:pPr>
        <w:spacing w:before="40" w:after="40"/>
      </w:pPr>
      <w:r>
        <w:rPr>
          <w:b/>
          <w:bCs/>
          <w:sz w:val="22"/>
          <w:szCs w:val="22"/>
        </w:rPr>
        <w:t xml:space="preserve">Medical NLP: </w:t>
      </w:r>
      <w:r>
        <w:rPr>
          <w:color w:val="2E75B6"/>
          <w:sz w:val="22"/>
          <w:szCs w:val="22"/>
        </w:rPr>
        <w:t xml:space="preserve">★☆☆☆☆ (1/5)</w:t>
      </w:r>
    </w:p>
    <w:p>
      <w:pPr>
        <w:spacing w:before="40" w:after="40"/>
      </w:pPr>
      <w:r>
        <w:rPr>
          <w:b/>
          <w:bCs/>
          <w:sz w:val="22"/>
          <w:szCs w:val="22"/>
        </w:rPr>
        <w:t xml:space="preserve">Bangla / multilingual: </w:t>
      </w:r>
      <w:r>
        <w:rPr>
          <w:color w:val="2E75B6"/>
          <w:sz w:val="22"/>
          <w:szCs w:val="22"/>
        </w:rPr>
        <w:t xml:space="preserve">★☆☆☆☆ (1/5)</w:t>
      </w:r>
    </w:p>
    <w:p>
      <w:pPr>
        <w:spacing w:before="40" w:after="40"/>
      </w:pPr>
      <w:r>
        <w:rPr>
          <w:b/>
          <w:bCs/>
          <w:sz w:val="22"/>
          <w:szCs w:val="22"/>
        </w:rPr>
        <w:t xml:space="preserve">Accent handling: </w:t>
      </w:r>
      <w:r>
        <w:rPr>
          <w:color w:val="2E75B6"/>
          <w:sz w:val="22"/>
          <w:szCs w:val="22"/>
        </w:rPr>
        <w:t xml:space="preserve">★☆☆☆☆ (1/5)</w:t>
      </w:r>
    </w:p>
    <w:p>
      <w:pPr>
        <w:spacing w:before="40" w:after="40"/>
      </w:pPr>
      <w:r>
        <w:rPr>
          <w:b/>
          <w:bCs/>
          <w:sz w:val="22"/>
          <w:szCs w:val="22"/>
        </w:rPr>
        <w:t xml:space="preserve">EHR integration: </w:t>
      </w:r>
      <w:r>
        <w:rPr>
          <w:color w:val="2E75B6"/>
          <w:sz w:val="22"/>
          <w:szCs w:val="22"/>
        </w:rPr>
        <w:t xml:space="preserve">★★★★☆ (4/5)</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thick" w:color="FFA500" w:sz="12"/>
              <w:bottom w:val="single" w:color="FFA500" w:sz="3"/>
              <w:right w:val="single" w:color="FFA500" w:sz="3"/>
            </w:tcBorders>
            <w:shd w:fill="FFF8E7" w:val="clear"/>
            <w:tcMar>
              <w:top w:type="dxa" w:w="100"/>
              <w:left w:type="dxa" w:w="160"/>
              <w:bottom w:type="dxa" w:w="100"/>
              <w:right w:type="dxa" w:w="120"/>
            </w:tcMar>
          </w:tcPr>
          <w:p>
            <w:r>
              <w:rPr>
                <w:i/>
                <w:iCs/>
                <w:sz w:val="21"/>
                <w:szCs w:val="21"/>
              </w:rPr>
              <w:t xml:space="preserve">Why these ratings? This paper is a clinical deployment study, not an NLP/ML methods paper. It has almost no technical ASR detail — no model architecture, no WER numbers, no fine-tuning strategy. Its value is almost entirely in EHR integration and user-acceptance evidence. For our Bangla ASR + NER pipeline, it provides real-world justification and design lessons but zero reusable code or techniques.</w:t>
            </w:r>
          </w:p>
        </w:tc>
      </w:tr>
    </w:tbl>
    <w:p>
      <w:pPr>
        <w:spacing w:before="40" w:after="40"/>
      </w:pPr>
      <w:r>
        <w:t xml:space="preserve"/>
      </w:r>
    </w:p>
    <w:p>
      <w:pPr>
        <w:pStyle w:val="Heading2"/>
        <w:spacing w:before="200" w:after="80"/>
      </w:pPr>
      <w:r>
        <w:rPr>
          <w:b/>
          <w:bCs/>
          <w:color w:val="2E75B6"/>
          <w:sz w:val="24"/>
          <w:szCs w:val="24"/>
        </w:rPr>
        <w:t xml:space="preserve">Most Relevant For</w:t>
      </w:r>
    </w:p>
    <w:p>
      <w:pPr>
        <w:spacing w:before="40" w:after="40"/>
      </w:pPr>
      <w:r>
        <w:rPr>
          <w:sz w:val="22"/>
          <w:szCs w:val="22"/>
        </w:rPr>
        <w:t xml:space="preserve">☐  Understanding ASR architecture</w:t>
      </w:r>
    </w:p>
    <w:p>
      <w:pPr>
        <w:spacing w:before="40" w:after="40"/>
      </w:pPr>
      <w:r>
        <w:rPr>
          <w:sz w:val="22"/>
          <w:szCs w:val="22"/>
        </w:rPr>
        <w:t xml:space="preserve">☐  Fine-tuning strategies</w:t>
      </w:r>
    </w:p>
    <w:p>
      <w:pPr>
        <w:spacing w:before="40" w:after="40"/>
      </w:pPr>
      <w:r>
        <w:rPr>
          <w:sz w:val="22"/>
          <w:szCs w:val="22"/>
        </w:rPr>
        <w:t xml:space="preserve">☐  Medical entity extraction</w:t>
      </w:r>
    </w:p>
    <w:p>
      <w:pPr>
        <w:spacing w:before="40" w:after="40"/>
      </w:pPr>
      <w:r>
        <w:rPr>
          <w:sz w:val="22"/>
          <w:szCs w:val="22"/>
        </w:rPr>
        <w:t xml:space="preserve">☐  Accent adaptation techniques</w:t>
      </w:r>
    </w:p>
    <w:p>
      <w:pPr>
        <w:spacing w:before="40" w:after="40"/>
      </w:pPr>
      <w:r>
        <w:rPr>
          <w:sz w:val="22"/>
          <w:szCs w:val="22"/>
        </w:rPr>
        <w:t xml:space="preserve">☐  Dataset creation methods</w:t>
      </w:r>
    </w:p>
    <w:p>
      <w:pPr>
        <w:spacing w:before="40" w:after="40"/>
      </w:pPr>
      <w:r>
        <w:rPr>
          <w:sz w:val="22"/>
          <w:szCs w:val="22"/>
        </w:rPr>
        <w:t xml:space="preserve">☐  Evaluation metrics</w:t>
      </w:r>
    </w:p>
    <w:p>
      <w:pPr>
        <w:spacing w:before="40" w:after="40"/>
      </w:pPr>
      <w:r>
        <w:rPr>
          <w:sz w:val="22"/>
          <w:szCs w:val="22"/>
        </w:rPr>
        <w:t xml:space="preserve">☑  System integration</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3. Problem Definition</w:t>
      </w:r>
    </w:p>
    <w:p>
      <w:pPr>
        <w:pStyle w:val="Heading2"/>
        <w:spacing w:before="200" w:after="80"/>
      </w:pPr>
      <w:r>
        <w:rPr>
          <w:b/>
          <w:bCs/>
          <w:color w:val="2E75B6"/>
          <w:sz w:val="24"/>
          <w:szCs w:val="24"/>
        </w:rPr>
        <w:t xml:space="preserve">A. What problem does this paper solve?</w:t>
      </w:r>
    </w:p>
    <w:p>
      <w:pPr>
        <w:spacing w:before="60" w:after="60"/>
      </w:pPr>
      <w:r>
        <w:rPr>
          <w:sz w:val="22"/>
          <w:szCs w:val="22"/>
        </w:rPr>
        <w:t xml:space="preserve">Clinical documentation—writing progress notes in the EHR—consumes a large portion of physicians' work time and often leads to poor quality records (omissions, excessive copy-paste). This paper describes and evaluates a hospital-built ASR system embedded in a mobile EHR app that lets doctors dictate progress notes instead of typing them, testing whether it saves time and is accepted by users.</w:t>
      </w:r>
    </w:p>
    <w:p>
      <w:pPr>
        <w:spacing w:before="40" w:after="40"/>
      </w:pPr>
      <w:r>
        <w:t xml:space="preserve"/>
      </w:r>
    </w:p>
    <w:p>
      <w:pPr>
        <w:pStyle w:val="Heading2"/>
        <w:spacing w:before="200" w:after="80"/>
      </w:pPr>
      <w:r>
        <w:rPr>
          <w:b/>
          <w:bCs/>
          <w:color w:val="2E75B6"/>
          <w:sz w:val="24"/>
          <w:szCs w:val="24"/>
        </w:rPr>
        <w:t xml:space="preserve">B. How does this relate to OUR project?</w:t>
      </w:r>
    </w:p>
    <w:p>
      <w:pPr>
        <w:spacing w:before="60" w:after="60"/>
      </w:pPr>
      <w:r>
        <w:rPr>
          <w:b/>
          <w:bCs/>
          <w:sz w:val="22"/>
          <w:szCs w:val="22"/>
        </w:rPr>
        <w:t xml:space="preserve">Direct application: </w:t>
      </w:r>
      <w:r>
        <w:rPr>
          <w:sz w:val="22"/>
          <w:szCs w:val="22"/>
        </w:rPr>
        <w:t xml:space="preserve">Provides concrete evidence that voice-to-EHR pipelines are genuinely useful in clinical settings and worth building.</w:t>
      </w:r>
    </w:p>
    <w:p>
      <w:pPr>
        <w:spacing w:before="60" w:after="60"/>
      </w:pPr>
      <w:r>
        <w:rPr>
          <w:b/>
          <w:bCs/>
          <w:sz w:val="22"/>
          <w:szCs w:val="22"/>
        </w:rPr>
        <w:t xml:space="preserve">Inspired approach: </w:t>
      </w:r>
      <w:r>
        <w:rPr>
          <w:sz w:val="22"/>
          <w:szCs w:val="22"/>
        </w:rPr>
        <w:t xml:space="preserve">Their mobile app + server architecture (ASR service on server, thin mobile client) is a valid deployment model if we later productize our pipeline.</w:t>
      </w:r>
    </w:p>
    <w:p>
      <w:pPr>
        <w:spacing w:before="60" w:after="60"/>
      </w:pPr>
      <w:r>
        <w:rPr>
          <w:b/>
          <w:bCs/>
          <w:sz w:val="22"/>
          <w:szCs w:val="22"/>
        </w:rPr>
        <w:t xml:space="preserve">Technique we can borrow: </w:t>
      </w:r>
      <w:r>
        <w:rPr>
          <w:sz w:val="22"/>
          <w:szCs w:val="22"/>
        </w:rPr>
        <w:t xml:space="preserve">Their SUS (System Usability Scale) questionnaire methodology is directly reusable as a user-evaluation instrument for our system, especially for the 'clinical reader study' evaluation component.</w:t>
      </w:r>
    </w:p>
    <w:p>
      <w:pPr>
        <w:spacing w:before="40" w:after="40"/>
      </w:pPr>
      <w:r>
        <w:t xml:space="preserve"/>
      </w:r>
    </w:p>
    <w:p>
      <w:pPr>
        <w:pStyle w:val="Heading2"/>
        <w:spacing w:before="200" w:after="80"/>
      </w:pPr>
      <w:r>
        <w:rPr>
          <w:b/>
          <w:bCs/>
          <w:color w:val="2E75B6"/>
          <w:sz w:val="24"/>
          <w:szCs w:val="24"/>
        </w:rPr>
        <w:t xml:space="preserve">C. What is their solution approach?</w:t>
      </w:r>
    </w:p>
    <w:p>
      <w:pPr>
        <w:spacing w:before="60" w:after="60"/>
      </w:pPr>
      <w:r>
        <w:rPr>
          <w:sz w:val="22"/>
          <w:szCs w:val="22"/>
        </w:rPr>
        <w:t xml:space="preserve">They built a client-server ASR system in 2018 within their hospital network. The mobile EHR app records the physician's voice and sends it to the hospital server which returns transcribed text. The physician can then edit the text before saving. The system was piloted in Gynecology &amp; Obstetrics and Home Medicine, then rolled out to additional specialties. Evaluation used SUS questionnaires, usage log analysis, and telephone interviews.</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4. Methodology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ASR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disclosed — internally developed by HIBA in 2018. No architecture details given (not Whisper, Wav2Vec2, or any named model).</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NLP Model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None — no NER, no entity extraction, no structured output. Pure dictation-to-text only.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Architecture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Client-server. Mobile app (Android/iOS) sends audio to hospital server; server returns text via network.</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Key Innovation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Practical clinical deployment and user-acceptance evaluation, not technical novelty.</w:t>
            </w:r>
          </w:p>
        </w:tc>
      </w:tr>
    </w:tbl>
    <w:p>
      <w:pPr>
        <w:spacing w:before="40" w:after="40"/>
      </w:pPr>
      <w:r>
        <w:t xml:space="preserve"/>
      </w:r>
    </w:p>
    <w:p>
      <w:pPr>
        <w:pStyle w:val="Heading2"/>
        <w:spacing w:before="200" w:after="80"/>
      </w:pPr>
      <w:r>
        <w:rPr>
          <w:b/>
          <w:bCs/>
          <w:color w:val="2E75B6"/>
          <w:sz w:val="24"/>
          <w:szCs w:val="24"/>
        </w:rPr>
        <w:t xml:space="preserve">Pipeline / Workflow</w:t>
      </w:r>
    </w:p>
    <w:p>
      <w:pPr>
        <w:shd w:fill="F5F5F5" w:val="clear"/>
        <w:spacing w:before="80" w:after="80"/>
      </w:pPr>
      <w:r>
        <w:rPr>
          <w:rFonts w:ascii="Courier New" w:cs="Courier New" w:eastAsia="Courier New" w:hAnsi="Courier New"/>
          <w:color w:val="333333"/>
          <w:sz w:val="22"/>
          <w:szCs w:val="22"/>
        </w:rPr>
        <w:t xml:space="preserve">Doctor speaks → Mobile app records audio → Audio sent to hospital ASR server → Text returned to app → Physician reviews/edits → Saved to EHR progress note</w:t>
      </w:r>
    </w:p>
    <w:p>
      <w:pPr>
        <w:spacing w:before="40" w:after="40"/>
      </w:pPr>
      <w:r>
        <w:t xml:space="preserve"/>
      </w:r>
    </w:p>
    <w:p>
      <w:pPr>
        <w:pStyle w:val="Heading2"/>
        <w:spacing w:before="200" w:after="80"/>
      </w:pPr>
      <w:r>
        <w:rPr>
          <w:b/>
          <w:bCs/>
          <w:color w:val="2E75B6"/>
          <w:sz w:val="24"/>
          <w:szCs w:val="24"/>
        </w:rPr>
        <w:t xml:space="preserve">Training Strategy</w:t>
      </w:r>
    </w:p>
    <w:p>
      <w:pPr>
        <w:spacing w:before="60" w:after="60"/>
      </w:pPr>
      <w:r>
        <w:rPr>
          <w:b/>
          <w:bCs/>
          <w:sz w:val="22"/>
          <w:szCs w:val="22"/>
        </w:rPr>
        <w:t xml:space="preserve">Pre-training: </w:t>
      </w:r>
      <w:r>
        <w:rPr>
          <w:sz w:val="22"/>
          <w:szCs w:val="22"/>
        </w:rPr>
        <w:t xml:space="preserve">Unknown — not described in paper.</w:t>
      </w:r>
    </w:p>
    <w:p>
      <w:pPr>
        <w:spacing w:before="60" w:after="60"/>
      </w:pPr>
      <w:r>
        <w:rPr>
          <w:b/>
          <w:bCs/>
          <w:sz w:val="22"/>
          <w:szCs w:val="22"/>
        </w:rPr>
        <w:t xml:space="preserve">Fine-tuning: </w:t>
      </w:r>
      <w:r>
        <w:rPr>
          <w:sz w:val="22"/>
          <w:szCs w:val="22"/>
        </w:rPr>
        <w:t xml:space="preserve">Unknown — trained internally at HIBA in 2018, likely on Spanish clinical speech.</w:t>
      </w:r>
    </w:p>
    <w:p>
      <w:pPr>
        <w:spacing w:before="60" w:after="60"/>
      </w:pPr>
      <w:r>
        <w:rPr>
          <w:b/>
          <w:bCs/>
          <w:sz w:val="22"/>
          <w:szCs w:val="22"/>
        </w:rPr>
        <w:t xml:space="preserve">Transfer learning: </w:t>
      </w:r>
      <w:r>
        <w:rPr>
          <w:sz w:val="22"/>
          <w:szCs w:val="22"/>
        </w:rPr>
        <w:t xml:space="preserve">Not mentioned.</w:t>
      </w:r>
    </w:p>
    <w:p>
      <w:pPr>
        <w:spacing w:before="40" w:after="40"/>
      </w:pPr>
      <w:r>
        <w:t xml:space="preserve"/>
      </w:r>
    </w:p>
    <w:p>
      <w:pPr>
        <w:pStyle w:val="Heading2"/>
        <w:spacing w:before="200" w:after="80"/>
      </w:pPr>
      <w:r>
        <w:rPr>
          <w:b/>
          <w:bCs/>
          <w:color w:val="2E75B6"/>
          <w:sz w:val="24"/>
          <w:szCs w:val="24"/>
        </w:rPr>
        <w:t xml:space="preserve">Specific Techniques Relevant to Our Use Case</w:t>
      </w:r>
    </w:p>
    <w:p>
      <w:pPr>
        <w:spacing w:before="160" w:after="60"/>
      </w:pPr>
      <w:r>
        <w:rPr>
          <w:b/>
          <w:bCs/>
          <w:color w:val="404040"/>
          <w:sz w:val="22"/>
          <w:szCs w:val="22"/>
        </w:rPr>
        <w:t xml:space="preserve">1. Speech Recognition Approach</w:t>
      </w:r>
    </w:p>
    <w:p>
      <w:pPr>
        <w:spacing w:before="60" w:after="60"/>
      </w:pPr>
      <w:r>
        <w:rPr>
          <w:b/>
          <w:bCs/>
          <w:sz w:val="22"/>
          <w:szCs w:val="22"/>
        </w:rPr>
        <w:t xml:space="preserve">Dialect / accent handling: </w:t>
      </w:r>
      <w:r>
        <w:rPr>
          <w:sz w:val="22"/>
          <w:szCs w:val="22"/>
        </w:rPr>
        <w:t xml:space="preserve">Not addressed — the paper does not discuss accent variation at all.</w:t>
      </w:r>
    </w:p>
    <w:p>
      <w:pPr>
        <w:spacing w:before="60" w:after="60"/>
      </w:pPr>
      <w:r>
        <w:rPr>
          <w:b/>
          <w:bCs/>
          <w:sz w:val="22"/>
          <w:szCs w:val="22"/>
        </w:rPr>
        <w:t xml:space="preserve">Data augmentation: </w:t>
      </w:r>
      <w:r>
        <w:rPr>
          <w:sz w:val="22"/>
          <w:szCs w:val="22"/>
        </w:rPr>
        <w:t xml:space="preserve">Not mentioned.</w:t>
      </w:r>
    </w:p>
    <w:p>
      <w:pPr>
        <w:spacing w:before="60" w:after="60"/>
      </w:pPr>
      <w:r>
        <w:rPr>
          <w:b/>
          <w:bCs/>
          <w:sz w:val="22"/>
          <w:szCs w:val="22"/>
        </w:rPr>
        <w:t xml:space="preserve">Fine-tuning approach: </w:t>
      </w:r>
      <w:r>
        <w:rPr>
          <w:sz w:val="22"/>
          <w:szCs w:val="22"/>
        </w:rPr>
        <w:t xml:space="preserve">Not described.</w:t>
      </w:r>
    </w:p>
    <w:p>
      <w:pPr>
        <w:spacing w:before="60" w:after="60"/>
      </w:pPr>
      <w:r>
        <w:rPr>
          <w:b/>
          <w:bCs/>
          <w:sz w:val="22"/>
          <w:szCs w:val="22"/>
        </w:rPr>
        <w:t xml:space="preserve">Acoustic model: </w:t>
      </w:r>
      <w:r>
        <w:rPr>
          <w:sz w:val="22"/>
          <w:szCs w:val="22"/>
        </w:rPr>
        <w:t xml:space="preserve">Not disclosed.</w:t>
      </w:r>
    </w:p>
    <w:p>
      <w:pPr>
        <w:spacing w:before="60" w:after="60"/>
      </w:pPr>
      <w:r>
        <w:rPr>
          <w:b/>
          <w:bCs/>
          <w:sz w:val="22"/>
          <w:szCs w:val="22"/>
        </w:rPr>
        <w:t xml:space="preserve">Language model: </w:t>
      </w:r>
      <w:r>
        <w:rPr>
          <w:sz w:val="22"/>
          <w:szCs w:val="22"/>
        </w:rPr>
        <w:t xml:space="preserve">Not disclosed.</w:t>
      </w:r>
    </w:p>
    <w:p>
      <w:pPr>
        <w:spacing w:before="60" w:after="60"/>
      </w:pPr>
      <w:r>
        <w:rPr>
          <w:b/>
          <w:bCs/>
          <w:sz w:val="22"/>
          <w:szCs w:val="22"/>
        </w:rPr>
        <w:t xml:space="preserve">Decoder: </w:t>
      </w:r>
      <w:r>
        <w:rPr>
          <w:sz w:val="22"/>
          <w:szCs w:val="22"/>
        </w:rPr>
        <w:t xml:space="preserve">Not disclosed.</w:t>
      </w:r>
    </w:p>
    <w:p>
      <w:pPr>
        <w:spacing w:before="40" w:after="40"/>
      </w:pPr>
      <w:r>
        <w:t xml:space="preserve"/>
      </w:r>
    </w:p>
    <w:p>
      <w:pPr>
        <w:spacing w:before="160" w:after="60"/>
      </w:pPr>
      <w:r>
        <w:rPr>
          <w:b/>
          <w:bCs/>
          <w:color w:val="404040"/>
          <w:sz w:val="22"/>
          <w:szCs w:val="22"/>
        </w:rPr>
        <w:t xml:space="preserve">2. Accent / Dialect Handling</w:t>
      </w:r>
    </w:p>
    <w:p>
      <w:pPr>
        <w:spacing w:before="60" w:after="60"/>
      </w:pPr>
      <w:r>
        <w:rPr>
          <w:sz w:val="22"/>
          <w:szCs w:val="22"/>
        </w:rPr>
        <w:t xml:space="preserve">This paper does NOT address low-resource languages, dialect handling, code-switching, or cross-lingual transfer. Not applicable to our Bangla multi-dialect pipeline.</w:t>
      </w:r>
    </w:p>
    <w:p>
      <w:pPr>
        <w:spacing w:before="40" w:after="40"/>
      </w:pPr>
      <w:r>
        <w:t xml:space="preserve"/>
      </w:r>
    </w:p>
    <w:p>
      <w:pPr>
        <w:spacing w:before="160" w:after="60"/>
      </w:pPr>
      <w:r>
        <w:rPr>
          <w:b/>
          <w:bCs/>
          <w:color w:val="404040"/>
          <w:sz w:val="22"/>
          <w:szCs w:val="22"/>
        </w:rPr>
        <w:t xml:space="preserve">3. Medical / Domain-Specific Processing</w:t>
      </w:r>
    </w:p>
    <w:p>
      <w:pPr>
        <w:spacing w:before="60" w:after="60"/>
      </w:pPr>
      <w:r>
        <w:rPr>
          <w:b/>
          <w:bCs/>
          <w:sz w:val="22"/>
          <w:szCs w:val="22"/>
        </w:rPr>
        <w:t xml:space="preserve">Medical terminology handling: </w:t>
      </w:r>
      <w:r>
        <w:rPr>
          <w:sz w:val="22"/>
          <w:szCs w:val="22"/>
        </w:rPr>
        <w:t xml:space="preserve">None — no processing of medical terms.</w:t>
      </w:r>
    </w:p>
    <w:p>
      <w:pPr>
        <w:spacing w:before="60" w:after="60"/>
      </w:pPr>
      <w:r>
        <w:rPr>
          <w:b/>
          <w:bCs/>
          <w:sz w:val="22"/>
          <w:szCs w:val="22"/>
        </w:rPr>
        <w:t xml:space="preserve">Information extraction method: </w:t>
      </w:r>
      <w:r>
        <w:rPr>
          <w:sz w:val="22"/>
          <w:szCs w:val="22"/>
        </w:rPr>
        <w:t xml:space="preserve">None — no structured extraction is performed.</w:t>
      </w:r>
    </w:p>
    <w:p>
      <w:pPr>
        <w:spacing w:before="40" w:after="40"/>
      </w:pPr>
      <w:r>
        <w:rPr>
          <w:sz w:val="22"/>
          <w:szCs w:val="22"/>
        </w:rPr>
        <w:t xml:space="preserve">☐  Rule-based</w:t>
      </w:r>
    </w:p>
    <w:p>
      <w:pPr>
        <w:spacing w:before="40" w:after="40"/>
      </w:pPr>
      <w:r>
        <w:rPr>
          <w:sz w:val="22"/>
          <w:szCs w:val="22"/>
        </w:rPr>
        <w:t xml:space="preserve">☐  CRF / HMM</w:t>
      </w:r>
    </w:p>
    <w:p>
      <w:pPr>
        <w:spacing w:before="40" w:after="40"/>
      </w:pPr>
      <w:r>
        <w:rPr>
          <w:sz w:val="22"/>
          <w:szCs w:val="22"/>
        </w:rPr>
        <w:t xml:space="preserve">☐  Deep learning (LSTM, BERT, etc.)</w:t>
      </w:r>
    </w:p>
    <w:p>
      <w:pPr>
        <w:spacing w:before="40" w:after="40"/>
      </w:pPr>
      <w:r>
        <w:rPr>
          <w:sz w:val="22"/>
          <w:szCs w:val="22"/>
        </w:rPr>
        <w:t xml:space="preserve">☐  LLM-based</w:t>
      </w:r>
    </w:p>
    <w:p>
      <w:pPr>
        <w:spacing w:before="60" w:after="60"/>
      </w:pPr>
      <w:r>
        <w:rPr>
          <w:b/>
          <w:bCs/>
          <w:sz w:val="22"/>
          <w:szCs w:val="22"/>
        </w:rPr>
        <w:t xml:space="preserve">Medical entities extracted: </w:t>
      </w:r>
      <w:r>
        <w:rPr>
          <w:sz w:val="22"/>
          <w:szCs w:val="22"/>
        </w:rPr>
        <w:t xml:space="preserve">None — raw free-text note only.</w:t>
      </w:r>
    </w:p>
    <w:p>
      <w:pPr>
        <w:spacing w:before="60" w:after="60"/>
      </w:pPr>
      <w:r>
        <w:rPr>
          <w:b/>
          <w:bCs/>
          <w:sz w:val="22"/>
          <w:szCs w:val="22"/>
        </w:rPr>
        <w:t xml:space="preserve">EHR structuring approach: </w:t>
      </w:r>
      <w:r>
        <w:rPr>
          <w:sz w:val="22"/>
          <w:szCs w:val="22"/>
        </w:rPr>
        <w:t xml:space="preserve">No structuring — dictated text saved as unstructured free-text in the EHR progress note field.</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A500" w:sz="3"/>
              <w:left w:val="thick" w:color="FFA500" w:sz="12"/>
              <w:bottom w:val="single" w:color="FFA500" w:sz="3"/>
              <w:right w:val="single" w:color="FFA500" w:sz="3"/>
            </w:tcBorders>
            <w:shd w:fill="FFF8E7" w:val="clear"/>
            <w:tcMar>
              <w:top w:type="dxa" w:w="100"/>
              <w:left w:type="dxa" w:w="160"/>
              <w:bottom w:type="dxa" w:w="100"/>
              <w:right w:type="dxa" w:w="120"/>
            </w:tcMar>
          </w:tcPr>
          <w:p>
            <w:r>
              <w:rPr>
                <w:i/>
                <w:iCs/>
                <w:sz w:val="21"/>
                <w:szCs w:val="21"/>
              </w:rPr>
              <w:t xml:space="preserve">IMPORTANT GAP for our project: This paper stops exactly where our project begins. They produce unstructured free-text; we need to go further and extract structured entities (symptoms, medications, duration, etc.) to fill an EHR template. Our NER + rule-based EHR filler stage is a direct technical extension of what this paper leaves undone.</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5. Data &amp; Experimental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name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named dataset — internal hospital usage logs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Dataset size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272 progress notes (records) over ~17 months (Dec 2020 – May 2022); 55 physician users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Language(s)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Spanish (Rioplatense, Argentina)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Domain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Clinical — inpatient hospital progress notes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Accent / dialect coverage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None specified — single Spanish dialect assumed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Can I access this data?</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 internal hospital records, not public</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Link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N/A</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Data collection method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Real clinical recordings in hospital setting</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Annotation process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annotation — raw dictation logs only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Quality control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User review/edit before saving; SUS questionnaire + telephone interviews</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Preprocessing</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described</w:t>
            </w:r>
          </w:p>
        </w:tc>
      </w:tr>
    </w:tbl>
    <w:p>
      <w:pPr>
        <w:spacing w:before="40" w:after="40"/>
      </w:pPr>
      <w:r>
        <w:t xml:space="preserve"/>
      </w:r>
    </w:p>
    <w:p>
      <w:pPr>
        <w:pStyle w:val="Heading1"/>
        <w:pBdr>
          <w:bottom w:val="single" w:color="2E75B6" w:sz="6" w:space="1"/>
        </w:pBdr>
        <w:spacing w:before="300" w:after="120"/>
      </w:pPr>
      <w:r>
        <w:rPr>
          <w:b/>
          <w:bCs/>
          <w:color w:val="1F3864"/>
          <w:sz w:val="28"/>
          <w:szCs w:val="28"/>
        </w:rPr>
        <w:t xml:space="preserve">6. Evaluation Metrics</w:t>
      </w:r>
    </w:p>
    <w:p>
      <w:pPr>
        <w:pStyle w:val="Heading2"/>
        <w:spacing w:before="200" w:after="80"/>
      </w:pPr>
      <w:r>
        <w:rPr>
          <w:b/>
          <w:bCs/>
          <w:color w:val="2E75B6"/>
          <w:sz w:val="24"/>
          <w:szCs w:val="24"/>
        </w:rPr>
        <w:t xml:space="preserve">1. For ASR</w:t>
      </w:r>
    </w:p>
    <w:p>
      <w:pPr>
        <w:spacing w:before="60" w:after="60"/>
      </w:pPr>
      <w:r>
        <w:rPr>
          <w:b/>
          <w:bCs/>
          <w:sz w:val="22"/>
          <w:szCs w:val="22"/>
        </w:rPr>
        <w:t xml:space="preserve">Word Error Rate (WER): </w:t>
      </w:r>
      <w:r>
        <w:rPr>
          <w:sz w:val="22"/>
          <w:szCs w:val="22"/>
        </w:rPr>
        <w:t xml:space="preserve">Not reported</w:t>
      </w:r>
    </w:p>
    <w:p>
      <w:pPr>
        <w:spacing w:before="60" w:after="60"/>
      </w:pPr>
      <w:r>
        <w:rPr>
          <w:b/>
          <w:bCs/>
          <w:sz w:val="22"/>
          <w:szCs w:val="22"/>
        </w:rPr>
        <w:t xml:space="preserve">Character Error Rate (CER): </w:t>
      </w:r>
      <w:r>
        <w:rPr>
          <w:sz w:val="22"/>
          <w:szCs w:val="22"/>
        </w:rPr>
        <w:t xml:space="preserve">Not reported</w:t>
      </w:r>
    </w:p>
    <w:p>
      <w:pPr>
        <w:spacing w:before="60" w:after="60"/>
      </w:pPr>
      <w:r>
        <w:rPr>
          <w:b/>
          <w:bCs/>
          <w:sz w:val="22"/>
          <w:szCs w:val="22"/>
        </w:rPr>
        <w:t xml:space="preserve">Other: </w:t>
      </w:r>
      <w:r>
        <w:rPr>
          <w:sz w:val="22"/>
          <w:szCs w:val="22"/>
        </w:rPr>
        <w:t xml:space="preserve">Not reported — no quantitative ASR accuracy metrics in this paper</w:t>
      </w:r>
    </w:p>
    <w:p>
      <w:pPr>
        <w:spacing w:before="40" w:after="40"/>
      </w:pPr>
      <w:r>
        <w:t xml:space="preserve"/>
      </w:r>
    </w:p>
    <w:p>
      <w:pPr>
        <w:pStyle w:val="Heading2"/>
        <w:spacing w:before="200" w:after="80"/>
      </w:pPr>
      <w:r>
        <w:rPr>
          <w:b/>
          <w:bCs/>
          <w:color w:val="2E75B6"/>
          <w:sz w:val="24"/>
          <w:szCs w:val="24"/>
        </w:rPr>
        <w:t xml:space="preserve">2. For NLP / NER</w:t>
      </w:r>
    </w:p>
    <w:p>
      <w:pPr>
        <w:spacing w:before="60" w:after="60"/>
      </w:pPr>
      <w:r>
        <w:rPr>
          <w:sz w:val="22"/>
          <w:szCs w:val="22"/>
        </w:rPr>
        <w:t xml:space="preserve">Not applicable — no NLP/NER component in this system.</w:t>
      </w:r>
    </w:p>
    <w:p>
      <w:pPr>
        <w:spacing w:before="40" w:after="40"/>
      </w:pPr>
      <w:r>
        <w:t xml:space="preserve"/>
      </w:r>
    </w:p>
    <w:p>
      <w:pPr>
        <w:pStyle w:val="Heading2"/>
        <w:spacing w:before="200" w:after="80"/>
      </w:pPr>
      <w:r>
        <w:rPr>
          <w:b/>
          <w:bCs/>
          <w:color w:val="2E75B6"/>
          <w:sz w:val="24"/>
          <w:szCs w:val="24"/>
        </w:rPr>
        <w:t xml:space="preserve">3. For EHR / Clinical</w:t>
      </w:r>
    </w:p>
    <w:p>
      <w:pPr>
        <w:spacing w:before="60" w:after="60"/>
      </w:pPr>
      <w:r>
        <w:rPr>
          <w:b/>
          <w:bCs/>
          <w:sz w:val="22"/>
          <w:szCs w:val="22"/>
        </w:rPr>
        <w:t xml:space="preserve">Clinical accuracy: </w:t>
      </w:r>
      <w:r>
        <w:rPr>
          <w:sz w:val="22"/>
          <w:szCs w:val="22"/>
        </w:rPr>
        <w:t xml:space="preserve">Not formally measured</w:t>
      </w:r>
    </w:p>
    <w:p>
      <w:pPr>
        <w:spacing w:before="60" w:after="60"/>
      </w:pPr>
      <w:r>
        <w:rPr>
          <w:b/>
          <w:bCs/>
          <w:sz w:val="22"/>
          <w:szCs w:val="22"/>
        </w:rPr>
        <w:t xml:space="preserve">Time saved: </w:t>
      </w:r>
      <w:r>
        <w:rPr>
          <w:sz w:val="22"/>
          <w:szCs w:val="22"/>
        </w:rPr>
        <w:t xml:space="preserve">Qualitatively reported — users perceived significant time savings, consistent with Lyons et al. (51% of physicians reported time savings after 6 months)</w:t>
      </w:r>
    </w:p>
    <w:p>
      <w:pPr>
        <w:spacing w:before="60" w:after="60"/>
      </w:pPr>
      <w:r>
        <w:rPr>
          <w:b/>
          <w:bCs/>
          <w:sz w:val="22"/>
          <w:szCs w:val="22"/>
        </w:rPr>
        <w:t xml:space="preserve">User satisfaction: </w:t>
      </w:r>
      <w:r>
        <w:rPr>
          <w:sz w:val="22"/>
          <w:szCs w:val="22"/>
        </w:rPr>
        <w:t xml:space="preserve">SUS questionnaire: 100% of pilot users rated ASR as easy and not complex; majority agreed it was quickly learnable</w:t>
      </w:r>
    </w:p>
    <w:p>
      <w:pPr>
        <w:spacing w:before="40" w:after="40"/>
      </w:pPr>
      <w:r>
        <w:t xml:space="preserve"/>
      </w:r>
    </w:p>
    <w:p>
      <w:pPr>
        <w:pStyle w:val="Heading2"/>
        <w:spacing w:before="200" w:after="80"/>
      </w:pPr>
      <w:r>
        <w:rPr>
          <w:b/>
          <w:bCs/>
          <w:color w:val="2E75B6"/>
          <w:sz w:val="24"/>
          <w:szCs w:val="24"/>
        </w:rPr>
        <w:t xml:space="preserve">Experimental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 / Val / Test split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ML split — deployment study</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Hardware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Hospital server (architecture not described)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Framework</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disclosed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Training time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mentioned</w:t>
            </w:r>
          </w:p>
        </w:tc>
      </w:tr>
    </w:tbl>
    <w:p>
      <w:pPr>
        <w:spacing w:before="40" w:after="40"/>
      </w:pPr>
      <w:r>
        <w:t xml:space="preserve"/>
      </w:r>
    </w:p>
    <w:p>
      <w:pPr>
        <w:pStyle w:val="Heading2"/>
        <w:spacing w:before="200" w:after="80"/>
      </w:pPr>
      <w:r>
        <w:rPr>
          <w:b/>
          <w:bCs/>
          <w:color w:val="2E75B6"/>
          <w:sz w:val="24"/>
          <w:szCs w:val="24"/>
        </w:rPr>
        <w:t xml:space="preserve">Key Findings</w:t>
      </w:r>
    </w:p>
    <w:p>
      <w:pPr>
        <w:pStyle w:val="ListParagraph"/>
        <w:numPr>
          <w:ilvl w:val="0"/>
          <w:numId w:val="2"/>
        </w:numPr>
        <w:spacing w:before="40" w:after="40"/>
      </w:pPr>
      <w:r>
        <w:rPr>
          <w:sz w:val="22"/>
          <w:szCs w:val="22"/>
        </w:rPr>
        <w:t xml:space="preserve">Home Medicine used ASR most (54.4% of 272 notes) — primary reason: no computer available at point of care during home visits.</w:t>
      </w:r>
    </w:p>
    <w:p>
      <w:pPr>
        <w:pStyle w:val="ListParagraph"/>
        <w:numPr>
          <w:ilvl w:val="0"/>
          <w:numId w:val="2"/>
        </w:numPr>
        <w:spacing w:before="40" w:after="40"/>
      </w:pPr>
      <w:r>
        <w:rPr>
          <w:sz w:val="22"/>
          <w:szCs w:val="22"/>
        </w:rPr>
        <w:t xml:space="preserve">Medical Clinic second (18.8%), Family Medicine third (6.6%).</w:t>
      </w:r>
    </w:p>
    <w:p>
      <w:pPr>
        <w:pStyle w:val="ListParagraph"/>
        <w:numPr>
          <w:ilvl w:val="0"/>
          <w:numId w:val="2"/>
        </w:numPr>
        <w:spacing w:before="40" w:after="40"/>
      </w:pPr>
      <w:r>
        <w:rPr>
          <w:sz w:val="22"/>
          <w:szCs w:val="22"/>
        </w:rPr>
        <w:t xml:space="preserve">ASR best suited for short, low-complexity notes; not preferred for long notes with laboratory results.</w:t>
      </w:r>
    </w:p>
    <w:p>
      <w:pPr>
        <w:pStyle w:val="ListParagraph"/>
        <w:numPr>
          <w:ilvl w:val="0"/>
          <w:numId w:val="2"/>
        </w:numPr>
        <w:spacing w:before="40" w:after="40"/>
      </w:pPr>
      <w:r>
        <w:rPr>
          <w:sz w:val="22"/>
          <w:szCs w:val="22"/>
        </w:rPr>
        <w:t xml:space="preserve">Users reported ~75% of the time it worked properly; 25% slowness/errors.</w:t>
      </w:r>
    </w:p>
    <w:p>
      <w:pPr>
        <w:pStyle w:val="ListParagraph"/>
        <w:numPr>
          <w:ilvl w:val="0"/>
          <w:numId w:val="2"/>
        </w:numPr>
        <w:spacing w:before="40" w:after="40"/>
      </w:pPr>
      <w:r>
        <w:rPr>
          <w:sz w:val="22"/>
          <w:szCs w:val="22"/>
        </w:rPr>
        <w:t xml:space="preserve">Main failure modes: slow response, wrong words recognised, occasional app crash.</w:t>
      </w:r>
    </w:p>
    <w:p>
      <w:pPr>
        <w:pStyle w:val="ListParagraph"/>
        <w:numPr>
          <w:ilvl w:val="0"/>
          <w:numId w:val="2"/>
        </w:numPr>
        <w:spacing w:before="40" w:after="40"/>
      </w:pPr>
      <w:r>
        <w:rPr>
          <w:sz w:val="22"/>
          <w:szCs w:val="22"/>
        </w:rPr>
        <w:t xml:space="preserve">Pilot showed SUS scores indicating 'easy to use' and 'not complex' — good early user acceptance.</w:t>
      </w:r>
    </w:p>
    <w:p>
      <w:pPr>
        <w:spacing w:before="40" w:after="40"/>
      </w:pPr>
      <w:r>
        <w:t xml:space="preserve"/>
      </w:r>
    </w:p>
    <w:p>
      <w:pPr>
        <w:pStyle w:val="Heading2"/>
        <w:spacing w:before="200" w:after="80"/>
      </w:pPr>
      <w:r>
        <w:rPr>
          <w:b/>
          <w:bCs/>
          <w:color w:val="2E75B6"/>
          <w:sz w:val="24"/>
          <w:szCs w:val="24"/>
        </w:rPr>
        <w:t xml:space="preserve">Limitations Mentioned</w:t>
      </w:r>
    </w:p>
    <w:p>
      <w:pPr>
        <w:pStyle w:val="ListParagraph"/>
        <w:numPr>
          <w:ilvl w:val="0"/>
          <w:numId w:val="2"/>
        </w:numPr>
        <w:spacing w:before="40" w:after="40"/>
      </w:pPr>
      <w:r>
        <w:rPr>
          <w:sz w:val="22"/>
          <w:szCs w:val="22"/>
        </w:rPr>
        <w:t xml:space="preserve">Only Android devices supported during pilot; iOS added later.</w:t>
      </w:r>
    </w:p>
    <w:p>
      <w:pPr>
        <w:pStyle w:val="ListParagraph"/>
        <w:numPr>
          <w:ilvl w:val="0"/>
          <w:numId w:val="2"/>
        </w:numPr>
        <w:spacing w:before="40" w:after="40"/>
      </w:pPr>
      <w:r>
        <w:rPr>
          <w:sz w:val="22"/>
          <w:szCs w:val="22"/>
        </w:rPr>
        <w:t xml:space="preserve">Small pilot (22 records, 8 users).</w:t>
      </w:r>
    </w:p>
    <w:p>
      <w:pPr>
        <w:pStyle w:val="ListParagraph"/>
        <w:numPr>
          <w:ilvl w:val="0"/>
          <w:numId w:val="2"/>
        </w:numPr>
        <w:spacing w:before="40" w:after="40"/>
      </w:pPr>
      <w:r>
        <w:rPr>
          <w:sz w:val="22"/>
          <w:szCs w:val="22"/>
        </w:rPr>
        <w:t xml:space="preserve">No quantitative accuracy (WER) metrics reported.</w:t>
      </w:r>
    </w:p>
    <w:p>
      <w:pPr>
        <w:pStyle w:val="ListParagraph"/>
        <w:numPr>
          <w:ilvl w:val="0"/>
          <w:numId w:val="2"/>
        </w:numPr>
        <w:spacing w:before="40" w:after="40"/>
      </w:pPr>
      <w:r>
        <w:rPr>
          <w:sz w:val="22"/>
          <w:szCs w:val="22"/>
        </w:rPr>
        <w:t xml:space="preserve">Not suitable for long, complex notes with structured data entry needs.</w:t>
      </w:r>
    </w:p>
    <w:p>
      <w:pPr>
        <w:pStyle w:val="ListParagraph"/>
        <w:numPr>
          <w:ilvl w:val="0"/>
          <w:numId w:val="2"/>
        </w:numPr>
        <w:spacing w:before="40" w:after="40"/>
      </w:pPr>
      <w:r>
        <w:rPr>
          <w:sz w:val="22"/>
          <w:szCs w:val="22"/>
        </w:rPr>
        <w:t xml:space="preserve">User behaviour varies by specialty, device type, and prior dictation experience.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7.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Tools / Libraries used</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disclosed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Model parameters / hyperparameters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disclosed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Training details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Not disclosed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Computational requirements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Hospital-grade server required</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Code 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Pre-trained models available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w:t>
            </w:r>
          </w:p>
        </w:tc>
      </w:tr>
      <w:tr>
        <w:tc>
          <w:tcPr>
            <w:tcW w:type="dxa" w:w="2500"/>
            <w:tcBorders>
              <w:top w:val="single" w:color="CCCCCC" w:sz="1"/>
              <w:left w:val="single" w:color="CCCCCC" w:sz="1"/>
              <w:bottom w:val="single" w:color="CCCCCC" w:sz="1"/>
              <w:right w:val="single" w:color="CCCCCC" w:sz="1"/>
            </w:tcBorders>
            <w:shd w:fill="E8F0FE" w:val="clear"/>
            <w:tcMar>
              <w:top w:type="dxa" w:w="80"/>
              <w:left w:type="dxa" w:w="120"/>
              <w:bottom w:type="dxa" w:w="80"/>
              <w:right w:type="dxa" w:w="120"/>
            </w:tcMar>
          </w:tcPr>
          <w:p>
            <w:r>
              <w:rPr>
                <w:b/>
                <w:bCs/>
                <w:sz w:val="21"/>
                <w:szCs w:val="21"/>
              </w:rPr>
              <w:t xml:space="preserve">Can we reproduce?</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1"/>
                <w:szCs w:val="21"/>
              </w:rPr>
              <w:t xml:space="preserve">No — proprietary hospital system</w:t>
            </w:r>
          </w:p>
        </w:tc>
      </w:tr>
    </w:tbl>
    <w:p>
      <w:pPr>
        <w:spacing w:before="40" w:after="40"/>
      </w:pPr>
      <w:r>
        <w:t xml:space="preserve"/>
      </w:r>
    </w:p>
    <w:p>
      <w:pPr>
        <w:pStyle w:val="Heading2"/>
        <w:spacing w:before="200" w:after="80"/>
      </w:pPr>
      <w:r>
        <w:rPr>
          <w:b/>
          <w:bCs/>
          <w:color w:val="2E75B6"/>
          <w:sz w:val="24"/>
          <w:szCs w:val="24"/>
        </w:rPr>
        <w:t xml:space="preserve">Reproducibility Constraints</w:t>
      </w:r>
    </w:p>
    <w:p>
      <w:pPr>
        <w:spacing w:before="60" w:after="60"/>
      </w:pPr>
      <w:r>
        <w:rPr>
          <w:b/>
          <w:bCs/>
          <w:sz w:val="22"/>
          <w:szCs w:val="22"/>
        </w:rPr>
        <w:t xml:space="preserve">Compute: </w:t>
      </w:r>
      <w:r>
        <w:rPr>
          <w:sz w:val="22"/>
          <w:szCs w:val="22"/>
        </w:rPr>
        <w:t xml:space="preserve">Not applicable — we cannot reproduce their system</w:t>
      </w:r>
    </w:p>
    <w:p>
      <w:pPr>
        <w:spacing w:before="60" w:after="60"/>
      </w:pPr>
      <w:r>
        <w:rPr>
          <w:b/>
          <w:bCs/>
          <w:sz w:val="22"/>
          <w:szCs w:val="22"/>
        </w:rPr>
        <w:t xml:space="preserve">Data: </w:t>
      </w:r>
      <w:r>
        <w:rPr>
          <w:sz w:val="22"/>
          <w:szCs w:val="22"/>
        </w:rPr>
        <w:t xml:space="preserve">Internal hospital records — not accessible</w:t>
      </w:r>
    </w:p>
    <w:p>
      <w:pPr>
        <w:spacing w:before="60" w:after="60"/>
      </w:pPr>
      <w:r>
        <w:rPr>
          <w:b/>
          <w:bCs/>
          <w:sz w:val="22"/>
          <w:szCs w:val="22"/>
        </w:rPr>
        <w:t xml:space="preserve">Time: </w:t>
      </w:r>
      <w:r>
        <w:rPr>
          <w:sz w:val="22"/>
          <w:szCs w:val="22"/>
        </w:rPr>
        <w:t xml:space="preserve">Not applicable</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8. Relevance to Our Project</w:t>
      </w:r>
    </w:p>
    <w:p>
      <w:pPr>
        <w:pStyle w:val="Heading2"/>
        <w:spacing w:before="200" w:after="80"/>
      </w:pPr>
      <w:r>
        <w:rPr>
          <w:b/>
          <w:bCs/>
          <w:color w:val="2E75B6"/>
          <w:sz w:val="24"/>
          <w:szCs w:val="24"/>
        </w:rPr>
        <w:t xml:space="preserve">Can We Use Their Approach?</w:t>
      </w:r>
    </w:p>
    <w:p>
      <w:pPr>
        <w:spacing w:before="60" w:after="60"/>
      </w:pPr>
      <w:r>
        <w:rPr>
          <w:sz w:val="22"/>
          <w:szCs w:val="22"/>
        </w:rPr>
        <w:t xml:space="preserve">Partially — not the ASR system itself (black box, proprietary), but the evaluation framework and deployment design are reusable.</w:t>
      </w:r>
    </w:p>
    <w:p>
      <w:pPr>
        <w:spacing w:before="40" w:after="40"/>
      </w:pPr>
      <w:r>
        <w:t xml:space="preserve"/>
      </w:r>
    </w:p>
    <w:p>
      <w:pPr>
        <w:pStyle w:val="Heading2"/>
        <w:spacing w:before="200" w:after="80"/>
      </w:pPr>
      <w:r>
        <w:rPr>
          <w:b/>
          <w:bCs/>
          <w:color w:val="2E75B6"/>
          <w:sz w:val="24"/>
          <w:szCs w:val="24"/>
        </w:rPr>
        <w:t xml:space="preserve">What We CAN Use</w:t>
      </w:r>
    </w:p>
    <w:p>
      <w:pPr>
        <w:pStyle w:val="ListParagraph"/>
        <w:numPr>
          <w:ilvl w:val="0"/>
          <w:numId w:val="2"/>
        </w:numPr>
        <w:spacing w:before="40" w:after="40"/>
      </w:pPr>
      <w:r>
        <w:rPr>
          <w:sz w:val="22"/>
          <w:szCs w:val="22"/>
        </w:rPr>
        <w:t xml:space="preserve">SUS questionnaire methodology for user/usability evaluation of our system.</w:t>
      </w:r>
    </w:p>
    <w:p>
      <w:pPr>
        <w:pStyle w:val="ListParagraph"/>
        <w:numPr>
          <w:ilvl w:val="0"/>
          <w:numId w:val="2"/>
        </w:numPr>
        <w:spacing w:before="40" w:after="40"/>
      </w:pPr>
      <w:r>
        <w:rPr>
          <w:sz w:val="22"/>
          <w:szCs w:val="22"/>
        </w:rPr>
        <w:t xml:space="preserve">Usage-log analysis as a deployment metric (number of records created, specialty breakdown).</w:t>
      </w:r>
    </w:p>
    <w:p>
      <w:pPr>
        <w:pStyle w:val="ListParagraph"/>
        <w:numPr>
          <w:ilvl w:val="0"/>
          <w:numId w:val="2"/>
        </w:numPr>
        <w:spacing w:before="40" w:after="40"/>
      </w:pPr>
      <w:r>
        <w:rPr>
          <w:sz w:val="22"/>
          <w:szCs w:val="22"/>
        </w:rPr>
        <w:t xml:space="preserve">Telephone interview approach for qualitative user feedback.</w:t>
      </w:r>
    </w:p>
    <w:p>
      <w:pPr>
        <w:pStyle w:val="ListParagraph"/>
        <w:numPr>
          <w:ilvl w:val="0"/>
          <w:numId w:val="2"/>
        </w:numPr>
        <w:spacing w:before="40" w:after="40"/>
      </w:pPr>
      <w:r>
        <w:rPr>
          <w:sz w:val="22"/>
          <w:szCs w:val="22"/>
        </w:rPr>
        <w:t xml:space="preserve">Their deployment architecture (client-server, mobile app front-end) as a future reference design.</w:t>
      </w:r>
    </w:p>
    <w:p>
      <w:pPr>
        <w:pStyle w:val="ListParagraph"/>
        <w:numPr>
          <w:ilvl w:val="0"/>
          <w:numId w:val="2"/>
        </w:numPr>
        <w:spacing w:before="40" w:after="40"/>
      </w:pPr>
      <w:r>
        <w:rPr>
          <w:sz w:val="22"/>
          <w:szCs w:val="22"/>
        </w:rPr>
        <w:t xml:space="preserve">Justification for our project: this paper confirms real clinical demand for voice-to-EHR pipelines.</w:t>
      </w:r>
    </w:p>
    <w:p>
      <w:pPr>
        <w:pStyle w:val="ListParagraph"/>
        <w:numPr>
          <w:ilvl w:val="0"/>
          <w:numId w:val="2"/>
        </w:numPr>
        <w:spacing w:before="40" w:after="40"/>
      </w:pPr>
      <w:r>
        <w:rPr>
          <w:sz w:val="22"/>
          <w:szCs w:val="22"/>
        </w:rPr>
        <w:t xml:space="preserve">Finding that 'short dictations work better' informs our scope — we target pre-consultation summaries, not long inpatient notes.</w:t>
      </w:r>
    </w:p>
    <w:p>
      <w:pPr>
        <w:spacing w:before="40" w:after="40"/>
      </w:pPr>
      <w:r>
        <w:t xml:space="preserve"/>
      </w:r>
    </w:p>
    <w:p>
      <w:pPr>
        <w:pStyle w:val="Heading2"/>
        <w:spacing w:before="200" w:after="80"/>
      </w:pPr>
      <w:r>
        <w:rPr>
          <w:b/>
          <w:bCs/>
          <w:color w:val="2E75B6"/>
          <w:sz w:val="24"/>
          <w:szCs w:val="24"/>
        </w:rPr>
        <w:t xml:space="preserve">What is NOT Applicable to Us</w:t>
      </w:r>
    </w:p>
    <w:p>
      <w:pPr>
        <w:pStyle w:val="ListParagraph"/>
        <w:numPr>
          <w:ilvl w:val="0"/>
          <w:numId w:val="2"/>
        </w:numPr>
        <w:spacing w:before="40" w:after="40"/>
      </w:pPr>
      <w:r>
        <w:rPr>
          <w:sz w:val="22"/>
          <w:szCs w:val="22"/>
        </w:rPr>
        <w:t xml:space="preserve">No ASR architecture to borrow — no Whisper/Wav2Vec2/LoRA details.</w:t>
      </w:r>
    </w:p>
    <w:p>
      <w:pPr>
        <w:pStyle w:val="ListParagraph"/>
        <w:numPr>
          <w:ilvl w:val="0"/>
          <w:numId w:val="2"/>
        </w:numPr>
        <w:spacing w:before="40" w:after="40"/>
      </w:pPr>
      <w:r>
        <w:rPr>
          <w:sz w:val="22"/>
          <w:szCs w:val="22"/>
        </w:rPr>
        <w:t xml:space="preserve">Spanish language — no Bangla or multilingual techniques.</w:t>
      </w:r>
    </w:p>
    <w:p>
      <w:pPr>
        <w:pStyle w:val="ListParagraph"/>
        <w:numPr>
          <w:ilvl w:val="0"/>
          <w:numId w:val="2"/>
        </w:numPr>
        <w:spacing w:before="40" w:after="40"/>
      </w:pPr>
      <w:r>
        <w:rPr>
          <w:sz w:val="22"/>
          <w:szCs w:val="22"/>
        </w:rPr>
        <w:t xml:space="preserve">No dialect/accent handling — irrelevant to our multi-dialect Bangla challenge.</w:t>
      </w:r>
    </w:p>
    <w:p>
      <w:pPr>
        <w:pStyle w:val="ListParagraph"/>
        <w:numPr>
          <w:ilvl w:val="0"/>
          <w:numId w:val="2"/>
        </w:numPr>
        <w:spacing w:before="40" w:after="40"/>
      </w:pPr>
      <w:r>
        <w:rPr>
          <w:sz w:val="22"/>
          <w:szCs w:val="22"/>
        </w:rPr>
        <w:t xml:space="preserve">No NER or structured EHR output — their pipeline ends at raw text.</w:t>
      </w:r>
    </w:p>
    <w:p>
      <w:pPr>
        <w:pStyle w:val="ListParagraph"/>
        <w:numPr>
          <w:ilvl w:val="0"/>
          <w:numId w:val="2"/>
        </w:numPr>
        <w:spacing w:before="40" w:after="40"/>
      </w:pPr>
      <w:r>
        <w:rPr>
          <w:sz w:val="22"/>
          <w:szCs w:val="22"/>
        </w:rPr>
        <w:t xml:space="preserve">No code-switching handling.</w:t>
      </w:r>
    </w:p>
    <w:p>
      <w:pPr>
        <w:pStyle w:val="ListParagraph"/>
        <w:numPr>
          <w:ilvl w:val="0"/>
          <w:numId w:val="2"/>
        </w:numPr>
        <w:spacing w:before="40" w:after="40"/>
      </w:pPr>
      <w:r>
        <w:rPr>
          <w:sz w:val="22"/>
          <w:szCs w:val="22"/>
        </w:rPr>
        <w:t xml:space="preserve">No dataset we can access.</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9. Questions &amp; Follow-ups</w:t>
      </w:r>
    </w:p>
    <w:p>
      <w:pPr>
        <w:pStyle w:val="Heading2"/>
        <w:spacing w:before="200" w:after="80"/>
      </w:pPr>
      <w:r>
        <w:rPr>
          <w:b/>
          <w:bCs/>
          <w:color w:val="2E75B6"/>
          <w:sz w:val="24"/>
          <w:szCs w:val="24"/>
        </w:rPr>
        <w:t xml:space="preserve">Confusing Parts</w:t>
      </w:r>
    </w:p>
    <w:p>
      <w:pPr>
        <w:pStyle w:val="ListParagraph"/>
        <w:numPr>
          <w:ilvl w:val="0"/>
          <w:numId w:val="2"/>
        </w:numPr>
        <w:spacing w:before="40" w:after="40"/>
      </w:pPr>
      <w:r>
        <w:rPr>
          <w:sz w:val="22"/>
          <w:szCs w:val="22"/>
        </w:rPr>
        <w:t xml:space="preserve">The paper references an earlier 2019 paper (Renato et al.) on their ASR model design — that paper likely has the actual technical architecture details. We should locate that paper.</w:t>
      </w:r>
    </w:p>
    <w:p>
      <w:pPr>
        <w:spacing w:before="40" w:after="40"/>
      </w:pPr>
      <w:r>
        <w:t xml:space="preserve"/>
      </w:r>
    </w:p>
    <w:p>
      <w:pPr>
        <w:pStyle w:val="Heading2"/>
        <w:spacing w:before="200" w:after="80"/>
      </w:pPr>
      <w:r>
        <w:rPr>
          <w:b/>
          <w:bCs/>
          <w:color w:val="2E75B6"/>
          <w:sz w:val="24"/>
          <w:szCs w:val="24"/>
        </w:rPr>
        <w:t xml:space="preserve">Unclear Concepts to Research</w:t>
      </w:r>
    </w:p>
    <w:p>
      <w:pPr>
        <w:pStyle w:val="ListParagraph"/>
        <w:numPr>
          <w:ilvl w:val="0"/>
          <w:numId w:val="2"/>
        </w:numPr>
        <w:spacing w:before="40" w:after="40"/>
      </w:pPr>
      <w:r>
        <w:rPr>
          <w:sz w:val="22"/>
          <w:szCs w:val="22"/>
        </w:rPr>
        <w:t xml:space="preserve">HIMSS Level 7 — what does this hospital certification mean for EHR maturity?</w:t>
      </w:r>
    </w:p>
    <w:p>
      <w:pPr>
        <w:pStyle w:val="ListParagraph"/>
        <w:numPr>
          <w:ilvl w:val="0"/>
          <w:numId w:val="2"/>
        </w:numPr>
        <w:spacing w:before="40" w:after="40"/>
      </w:pPr>
      <w:r>
        <w:rPr>
          <w:sz w:val="22"/>
          <w:szCs w:val="22"/>
        </w:rPr>
        <w:t xml:space="preserve">SUS (System Usability Scale) — how exactly is the 10-question survey scored?</w:t>
      </w:r>
    </w:p>
    <w:p>
      <w:pPr>
        <w:spacing w:before="40" w:after="40"/>
      </w:pPr>
      <w:r>
        <w:t xml:space="preserve"/>
      </w:r>
    </w:p>
    <w:p>
      <w:pPr>
        <w:pStyle w:val="Heading2"/>
        <w:spacing w:before="200" w:after="80"/>
      </w:pPr>
      <w:r>
        <w:rPr>
          <w:b/>
          <w:bCs/>
          <w:color w:val="2E75B6"/>
          <w:sz w:val="24"/>
          <w:szCs w:val="24"/>
        </w:rPr>
        <w:t xml:space="preserve">Questions for Supervisor AZK</w:t>
      </w:r>
    </w:p>
    <w:p>
      <w:pPr>
        <w:pStyle w:val="ListParagraph"/>
        <w:numPr>
          <w:ilvl w:val="0"/>
          <w:numId w:val="2"/>
        </w:numPr>
        <w:spacing w:before="40" w:after="40"/>
      </w:pPr>
      <w:r>
        <w:rPr>
          <w:sz w:val="22"/>
          <w:szCs w:val="22"/>
        </w:rPr>
        <w:t xml:space="preserve">Since this paper is purely a deployment study with no technical ML content, should we include it in our related work section as 'motivation/application evidence' rather than a 'method reference'?</w:t>
      </w:r>
    </w:p>
    <w:p>
      <w:pPr>
        <w:pStyle w:val="ListParagraph"/>
        <w:numPr>
          <w:ilvl w:val="0"/>
          <w:numId w:val="2"/>
        </w:numPr>
        <w:spacing w:before="40" w:after="40"/>
      </w:pPr>
      <w:r>
        <w:rPr>
          <w:sz w:val="22"/>
          <w:szCs w:val="22"/>
        </w:rPr>
        <w:t xml:space="preserve">The 2019 Renato et al. paper (SHTI 264:1761) appears to contain the actual ASR model details. Should we track that down and read it as the real technical reference?</w:t>
      </w:r>
    </w:p>
    <w:p>
      <w:pPr>
        <w:pStyle w:val="ListParagraph"/>
        <w:numPr>
          <w:ilvl w:val="0"/>
          <w:numId w:val="2"/>
        </w:numPr>
        <w:spacing w:before="40" w:after="40"/>
      </w:pPr>
      <w:r>
        <w:rPr>
          <w:sz w:val="22"/>
          <w:szCs w:val="22"/>
        </w:rPr>
        <w:t xml:space="preserve">For our evaluation section, is a SUS questionnaire realistic given our small volunteer dataset, or should we focus on objective metrics (WER, NER F1)?</w:t>
      </w:r>
    </w:p>
    <w:p>
      <w:pPr>
        <w:spacing w:before="40" w:after="40"/>
      </w:pPr>
      <w:r>
        <w:t xml:space="preserve"/>
      </w:r>
    </w:p>
    <w:p>
      <w:pPr>
        <w:pStyle w:val="Heading2"/>
        <w:spacing w:before="200" w:after="80"/>
      </w:pPr>
      <w:r>
        <w:rPr>
          <w:b/>
          <w:bCs/>
          <w:color w:val="2E75B6"/>
          <w:sz w:val="24"/>
          <w:szCs w:val="24"/>
        </w:rPr>
        <w:t xml:space="preserve">Discussion Points with Team</w:t>
      </w:r>
    </w:p>
    <w:p>
      <w:pPr>
        <w:pStyle w:val="ListParagraph"/>
        <w:numPr>
          <w:ilvl w:val="0"/>
          <w:numId w:val="2"/>
        </w:numPr>
        <w:spacing w:before="40" w:after="40"/>
      </w:pPr>
      <w:r>
        <w:rPr>
          <w:sz w:val="22"/>
          <w:szCs w:val="22"/>
        </w:rPr>
        <w:t xml:space="preserve">Our project adds NER + EHR structuring on top of what this paper's system does — we should frame this as 'extending prior work' in our introduction.</w:t>
      </w:r>
    </w:p>
    <w:p>
      <w:pPr>
        <w:pStyle w:val="ListParagraph"/>
        <w:numPr>
          <w:ilvl w:val="0"/>
          <w:numId w:val="2"/>
        </w:numPr>
        <w:spacing w:before="40" w:after="40"/>
      </w:pPr>
      <w:r>
        <w:rPr>
          <w:sz w:val="22"/>
          <w:szCs w:val="22"/>
        </w:rPr>
        <w:t xml:space="preserve">Their finding that ASR is best for short, low-complexity speech aligns with our pre-consultation scope — worth citing this in our paper.</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10. Project Integration Plan</w:t>
      </w:r>
    </w:p>
    <w:p>
      <w:pPr>
        <w:pStyle w:val="Heading2"/>
        <w:spacing w:before="200" w:after="80"/>
      </w:pPr>
      <w:r>
        <w:rPr>
          <w:b/>
          <w:bCs/>
          <w:color w:val="2E75B6"/>
          <w:sz w:val="24"/>
          <w:szCs w:val="24"/>
        </w:rPr>
        <w:t xml:space="preserve">Which Phase of Our Project Uses This?</w:t>
      </w:r>
    </w:p>
    <w:p>
      <w:pPr>
        <w:spacing w:before="40" w:after="40"/>
      </w:pPr>
      <w:r>
        <w:rPr>
          <w:sz w:val="22"/>
          <w:szCs w:val="22"/>
        </w:rPr>
        <w:t xml:space="preserve">☐  ASR baseline setup</w:t>
      </w:r>
    </w:p>
    <w:p>
      <w:pPr>
        <w:spacing w:before="40" w:after="40"/>
      </w:pPr>
      <w:r>
        <w:rPr>
          <w:sz w:val="22"/>
          <w:szCs w:val="22"/>
        </w:rPr>
        <w:t xml:space="preserve">☐  Fine-tuning ASR</w:t>
      </w:r>
    </w:p>
    <w:p>
      <w:pPr>
        <w:spacing w:before="40" w:after="40"/>
      </w:pPr>
      <w:r>
        <w:rPr>
          <w:sz w:val="22"/>
          <w:szCs w:val="22"/>
        </w:rPr>
        <w:t xml:space="preserve">☐  Medical NER</w:t>
      </w:r>
    </w:p>
    <w:p>
      <w:pPr>
        <w:spacing w:before="40" w:after="40"/>
      </w:pPr>
      <w:r>
        <w:rPr>
          <w:sz w:val="22"/>
          <w:szCs w:val="22"/>
        </w:rPr>
        <w:t xml:space="preserve">☐  Accent adaptation</w:t>
      </w:r>
    </w:p>
    <w:p>
      <w:pPr>
        <w:spacing w:before="40" w:after="40"/>
      </w:pPr>
      <w:r>
        <w:rPr>
          <w:sz w:val="22"/>
          <w:szCs w:val="22"/>
        </w:rPr>
        <w:t xml:space="preserve">☐  Data collection strategy</w:t>
      </w:r>
    </w:p>
    <w:p>
      <w:pPr>
        <w:spacing w:before="40" w:after="40"/>
      </w:pPr>
      <w:r>
        <w:rPr>
          <w:sz w:val="22"/>
          <w:szCs w:val="22"/>
        </w:rPr>
        <w:t xml:space="preserve">☑  System integration</w:t>
      </w:r>
    </w:p>
    <w:p>
      <w:pPr>
        <w:spacing w:before="40" w:after="40"/>
      </w:pPr>
      <w:r>
        <w:rPr>
          <w:sz w:val="22"/>
          <w:szCs w:val="22"/>
        </w:rPr>
        <w:t xml:space="preserve">☑  Evaluation</w:t>
      </w:r>
    </w:p>
    <w:p>
      <w:pPr>
        <w:spacing w:before="40" w:after="40"/>
      </w:pPr>
      <w:r>
        <w:t xml:space="preserve"/>
      </w:r>
    </w:p>
    <w:p>
      <w:pPr>
        <w:pStyle w:val="Heading2"/>
        <w:spacing w:before="200" w:after="80"/>
      </w:pPr>
      <w:r>
        <w:rPr>
          <w:b/>
          <w:bCs/>
          <w:color w:val="2E75B6"/>
          <w:sz w:val="24"/>
          <w:szCs w:val="24"/>
        </w:rPr>
        <w:t xml:space="preserve">Specific Action Items</w:t>
      </w:r>
    </w:p>
    <w:p>
      <w:pPr>
        <w:pStyle w:val="ListParagraph"/>
        <w:numPr>
          <w:ilvl w:val="0"/>
          <w:numId w:val="3"/>
        </w:numPr>
        <w:spacing w:before="60" w:after="60"/>
      </w:pPr>
      <w:r>
        <w:rPr>
          <w:sz w:val="22"/>
          <w:szCs w:val="22"/>
        </w:rPr>
        <w:t xml:space="preserve">Adopt SUS questionnaire for user evaluation: Download/adapt the 10-item SUS instrument and plan to administer it to the volunteers who test our system after the pipeline is built.</w:t>
      </w:r>
    </w:p>
    <w:p>
      <w:pPr>
        <w:pStyle w:val="ListParagraph"/>
        <w:numPr>
          <w:ilvl w:val="0"/>
          <w:numId w:val="3"/>
        </w:numPr>
        <w:spacing w:before="60" w:after="60"/>
      </w:pPr>
      <w:r>
        <w:rPr>
          <w:sz w:val="22"/>
          <w:szCs w:val="22"/>
        </w:rPr>
        <w:t xml:space="preserve">Locate Renato et al. 2019 (SHTI 264:1761): This earlier paper from the same group likely contains actual Spanish clinical ASR model architecture details — may have more technical reuse value than the current paper.</w:t>
      </w:r>
    </w:p>
    <w:p>
      <w:pPr>
        <w:pStyle w:val="ListParagraph"/>
        <w:numPr>
          <w:ilvl w:val="0"/>
          <w:numId w:val="3"/>
        </w:numPr>
        <w:spacing w:before="60" w:after="60"/>
      </w:pPr>
      <w:r>
        <w:rPr>
          <w:sz w:val="22"/>
          <w:szCs w:val="22"/>
        </w:rPr>
        <w:t xml:space="preserve">Use this paper in Introduction/Related Work as motivation evidence: Cite it to argue that voice-to-EHR integration reduces physician documentation burden, and that our project extends existing approaches by adding Bangla NER and structured EHR output.</w:t>
      </w:r>
    </w:p>
    <w:p>
      <w:pPr>
        <w:spacing w:before="40" w:after="40"/>
      </w:pPr>
      <w:r>
        <w:t xml:space="preserve"/>
      </w:r>
    </w:p>
    <w:p>
      <w:pPr>
        <w:pStyle w:val="Heading1"/>
        <w:pBdr>
          <w:bottom w:val="single" w:color="2E75B6" w:sz="6" w:space="1"/>
        </w:pBdr>
        <w:spacing w:before="300" w:after="120"/>
      </w:pPr>
      <w:r>
        <w:rPr>
          <w:b/>
          <w:bCs/>
          <w:color w:val="1F3864"/>
          <w:sz w:val="28"/>
          <w:szCs w:val="28"/>
        </w:rPr>
        <w:t xml:space="preserve">11. Keywords &amp; Concepts</w:t>
      </w:r>
    </w:p>
    <w:p>
      <w:pPr>
        <w:pStyle w:val="Heading2"/>
        <w:spacing w:before="200" w:after="80"/>
      </w:pPr>
      <w:r>
        <w:rPr>
          <w:b/>
          <w:bCs/>
          <w:color w:val="2E75B6"/>
          <w:sz w:val="24"/>
          <w:szCs w:val="24"/>
        </w:rPr>
        <w:t xml:space="preserve">Project-Relevant Keywords</w:t>
      </w:r>
    </w:p>
    <w:p>
      <w:pPr>
        <w:pStyle w:val="ListParagraph"/>
        <w:numPr>
          <w:ilvl w:val="0"/>
          <w:numId w:val="3"/>
        </w:numPr>
        <w:spacing w:before="40" w:after="40"/>
      </w:pPr>
      <w:r>
        <w:rPr>
          <w:sz w:val="22"/>
          <w:szCs w:val="22"/>
        </w:rPr>
        <w:t xml:space="preserve">Automatic Speech Recognition (ASR) — core technology of our pipeline</w:t>
      </w:r>
    </w:p>
    <w:p>
      <w:pPr>
        <w:pStyle w:val="ListParagraph"/>
        <w:numPr>
          <w:ilvl w:val="0"/>
          <w:numId w:val="3"/>
        </w:numPr>
        <w:spacing w:before="40" w:after="40"/>
      </w:pPr>
      <w:r>
        <w:rPr>
          <w:sz w:val="22"/>
          <w:szCs w:val="22"/>
        </w:rPr>
        <w:t xml:space="preserve">Electronic Health Record (EHR) — output target of our system</w:t>
      </w:r>
    </w:p>
    <w:p>
      <w:pPr>
        <w:pStyle w:val="ListParagraph"/>
        <w:numPr>
          <w:ilvl w:val="0"/>
          <w:numId w:val="3"/>
        </w:numPr>
        <w:spacing w:before="40" w:after="40"/>
      </w:pPr>
      <w:r>
        <w:rPr>
          <w:sz w:val="22"/>
          <w:szCs w:val="22"/>
        </w:rPr>
        <w:t xml:space="preserve">Progress Notes / Clinical Documentation — the EHR record type this paper addresses</w:t>
      </w:r>
    </w:p>
    <w:p>
      <w:pPr>
        <w:pStyle w:val="ListParagraph"/>
        <w:numPr>
          <w:ilvl w:val="0"/>
          <w:numId w:val="3"/>
        </w:numPr>
        <w:spacing w:before="40" w:after="40"/>
      </w:pPr>
      <w:r>
        <w:rPr>
          <w:sz w:val="22"/>
          <w:szCs w:val="22"/>
        </w:rPr>
        <w:t xml:space="preserve">Mobile EHR — deployment context; relevant if our system is ever productized</w:t>
      </w:r>
    </w:p>
    <w:p>
      <w:pPr>
        <w:pStyle w:val="ListParagraph"/>
        <w:numPr>
          <w:ilvl w:val="0"/>
          <w:numId w:val="3"/>
        </w:numPr>
        <w:spacing w:before="40" w:after="40"/>
      </w:pPr>
      <w:r>
        <w:rPr>
          <w:sz w:val="22"/>
          <w:szCs w:val="22"/>
        </w:rPr>
        <w:t xml:space="preserve">System Usability Scale (SUS) — evaluation instrument we can borrow</w:t>
      </w:r>
    </w:p>
    <w:p>
      <w:pPr>
        <w:pStyle w:val="ListParagraph"/>
        <w:numPr>
          <w:ilvl w:val="0"/>
          <w:numId w:val="3"/>
        </w:numPr>
        <w:spacing w:before="40" w:after="40"/>
      </w:pPr>
      <w:r>
        <w:rPr>
          <w:sz w:val="22"/>
          <w:szCs w:val="22"/>
        </w:rPr>
        <w:t xml:space="preserve">Voice-to-EHR pipeline — umbrella term for our project and this paper's system</w:t>
      </w:r>
    </w:p>
    <w:p>
      <w:pPr>
        <w:spacing w:before="40" w:after="40"/>
      </w:pPr>
      <w:r>
        <w:t xml:space="preserve"/>
      </w:r>
    </w:p>
    <w:p>
      <w:pPr>
        <w:pStyle w:val="Heading2"/>
        <w:spacing w:before="200" w:after="80"/>
      </w:pPr>
      <w:r>
        <w:rPr>
          <w:b/>
          <w:bCs/>
          <w:color w:val="2E75B6"/>
          <w:sz w:val="24"/>
          <w:szCs w:val="24"/>
        </w:rPr>
        <w:t xml:space="preserve">Technical Terms to Learn</w:t>
      </w:r>
    </w:p>
    <w:p>
      <w:pPr>
        <w:pStyle w:val="ListParagraph"/>
        <w:numPr>
          <w:ilvl w:val="0"/>
          <w:numId w:val="3"/>
        </w:numPr>
        <w:spacing w:before="40" w:after="40"/>
      </w:pPr>
      <w:r>
        <w:rPr>
          <w:sz w:val="22"/>
          <w:szCs w:val="22"/>
        </w:rPr>
        <w:t xml:space="preserve">HIMSS Level 7 — hospital EHR maturity certification scale</w:t>
      </w:r>
    </w:p>
    <w:p>
      <w:pPr>
        <w:pStyle w:val="ListParagraph"/>
        <w:numPr>
          <w:ilvl w:val="0"/>
          <w:numId w:val="3"/>
        </w:numPr>
        <w:spacing w:before="40" w:after="40"/>
      </w:pPr>
      <w:r>
        <w:rPr>
          <w:sz w:val="22"/>
          <w:szCs w:val="22"/>
        </w:rPr>
        <w:t xml:space="preserve">Client-server ASR architecture — how audio is streamed from device to server for processing</w:t>
      </w:r>
    </w:p>
    <w:p>
      <w:pPr>
        <w:pStyle w:val="ListParagraph"/>
        <w:numPr>
          <w:ilvl w:val="0"/>
          <w:numId w:val="3"/>
        </w:numPr>
        <w:spacing w:before="40" w:after="40"/>
      </w:pPr>
      <w:r>
        <w:rPr>
          <w:sz w:val="22"/>
          <w:szCs w:val="22"/>
        </w:rPr>
        <w:t xml:space="preserve">SUS scoring methodology — how to calculate and interpret the 0-100 SUS score</w:t>
      </w:r>
    </w:p>
    <w:p>
      <w:pPr>
        <w:spacing w:before="40" w:after="40"/>
      </w:pPr>
      <w:r>
        <w:t xml:space="preserve"/>
      </w:r>
    </w:p>
    <w:p>
      <w:pPr>
        <w:spacing w:before="200" w:after="0"/>
        <w:jc w:val="center"/>
      </w:pPr>
      <w:r>
        <w:rPr>
          <w:i/>
          <w:iCs/>
          <w:color w:val="888888"/>
          <w:sz w:val="20"/>
          <w:szCs w:val="20"/>
        </w:rPr>
        <w:t xml:space="preserve">Summary note: This paper is LOW technical value but HIGH motivational value for our project. Read the 2019 Renato et al. paper for actual ASR technical content.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00" w:after="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2026-03-05T16:29:06.524Z</dcterms:created>
  <dcterms:modified xsi:type="dcterms:W3CDTF">2026-03-05T16:29:06.525Z</dcterms:modified>
</cp:coreProperties>
</file>

<file path=docProps/custom.xml><?xml version="1.0" encoding="utf-8"?>
<Properties xmlns="http://schemas.openxmlformats.org/officeDocument/2006/custom-properties" xmlns:vt="http://schemas.openxmlformats.org/officeDocument/2006/docPropsVTypes"/>
</file>