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Раджабов</w:t>
      </w:r>
      <w:r>
        <w:t xml:space="preserve"> </w:t>
      </w:r>
      <w:r>
        <w:t xml:space="preserve">Р.З.</w:t>
      </w:r>
      <w:r>
        <w:t xml:space="preserve"> </w:t>
      </w:r>
      <w:r>
        <w:t xml:space="preserve">НКАбд-05-2023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35554"/>
            <wp:effectExtent b="0" l="0" r="0" t="0"/>
            <wp:docPr descr="Figure 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lab10-1.asm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94153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38219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00854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1:</w:t>
      </w:r>
      <w:r>
        <w:t xml:space="preserve"> </w:t>
      </w:r>
      <w:r>
        <w:rPr>
          <w:rStyle w:val="VerbatimChar"/>
        </w:rPr>
        <w:t xml:space="preserve">--x -wx rwx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000 110 010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70772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101389" cy="6901313"/>
            <wp:effectExtent b="0" l="0" r="0" t="0"/>
            <wp:docPr descr="Figure 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690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601774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Раджабов Р.З. НКАбд-05-2023</dc:creator>
  <dc:language>ru-RU</dc:language>
  <cp:keywords/>
  <dcterms:created xsi:type="dcterms:W3CDTF">2023-12-31T10:40:43Z</dcterms:created>
  <dcterms:modified xsi:type="dcterms:W3CDTF">2023-12-31T10:40:43Z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