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Industrial Holdings — diligence notes</w:t>
      </w:r>
    </w:p>
    <w:p>
      <w:pPr>
        <w:pStyle w:val="Heading1"/>
      </w:pPr>
      <w:r>
        <w:t>Management meeting notes</w:t>
      </w:r>
    </w:p>
    <w:p>
      <w:r>
        <w:t>Notes taken at the management presentation held on 14 January 2026.</w:t>
      </w:r>
    </w:p>
    <w:p>
      <w:r>
        <w:t>Present: the chief executive, the finance director and two advisers from INVRT.</w:t>
      </w:r>
    </w:p>
    <w:p>
      <w:pPr>
        <w:pStyle w:val="Heading1"/>
      </w:pPr>
      <w:r>
        <w:t>Operations</w:t>
      </w:r>
    </w:p>
    <w:p>
      <w:r>
        <w:t>Management confirmed that the Aberdeen site runs at approximately 78 per cent of</w:t>
      </w:r>
    </w:p>
    <w:p>
      <w:r>
        <w:t>capacity and that the Houston site runs at approximately 64 per cent of capacity.</w:t>
      </w:r>
    </w:p>
    <w:p>
      <w:r>
        <w:t>A capital expenditure programme of 3.4 million pounds is planned for 2026.</w:t>
      </w:r>
    </w:p>
    <w:p>
      <w:pPr>
        <w:pStyle w:val="Heading1"/>
      </w:pPr>
      <w:r>
        <w:t>Commercial</w:t>
      </w:r>
    </w:p>
    <w:p>
      <w:r>
        <w:t>Management stated that the contract with the largest customer runs to December 2027</w:t>
      </w:r>
    </w:p>
    <w:p>
      <w:r>
        <w:t>and contains a two year extension option exercisable by the customer.</w:t>
      </w:r>
    </w:p>
    <w:p>
      <w:r>
        <w:t>No pricing concessions were given in the 2025 renewal round.</w:t>
      </w:r>
    </w:p>
    <w:p>
      <w:pPr>
        <w:pStyle w:val="Heading1"/>
      </w:pPr>
      <w:r>
        <w:t>Headcount by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Capacity utilisation</w:t>
            </w:r>
          </w:p>
        </w:tc>
      </w:tr>
      <w:tr>
        <w:tc>
          <w:tcPr>
            <w:tcW w:type="dxa" w:w="2880"/>
          </w:tcPr>
          <w:p>
            <w:r>
              <w:t>Aberdeen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78 per cent</w:t>
            </w:r>
          </w:p>
        </w:tc>
      </w:tr>
      <w:tr>
        <w:tc>
          <w:tcPr>
            <w:tcW w:type="dxa" w:w="2880"/>
          </w:tcPr>
          <w:p>
            <w:r>
              <w:t>Houston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64 per cent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