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A2CB" w14:textId="77777777" w:rsidR="00C861B2" w:rsidRDefault="00000000">
      <w:pPr>
        <w:spacing w:after="50"/>
      </w:pPr>
      <w:r>
        <w:rPr>
          <w:rFonts w:ascii="Calibri" w:eastAsia="Calibri" w:hAnsi="Calibri" w:cs="Calibri"/>
          <w:b/>
          <w:bCs/>
          <w:color w:val="1F4E79"/>
          <w:sz w:val="34"/>
          <w:szCs w:val="34"/>
        </w:rPr>
        <w:t>HLC International</w:t>
      </w:r>
    </w:p>
    <w:p w14:paraId="1DA73EFC" w14:textId="77777777" w:rsidR="00C861B2" w:rsidRDefault="00000000">
      <w:pPr>
        <w:spacing w:after="30"/>
      </w:pPr>
      <w:r>
        <w:rPr>
          <w:rFonts w:ascii="Calibri" w:eastAsia="Calibri" w:hAnsi="Calibri" w:cs="Calibri"/>
          <w:color w:val="595959"/>
          <w:sz w:val="27"/>
          <w:szCs w:val="27"/>
        </w:rPr>
        <w:t>The Fee Conversation — Parent Counselling Script</w:t>
      </w:r>
    </w:p>
    <w:p w14:paraId="3427F8FA" w14:textId="77777777" w:rsidR="00C861B2" w:rsidRDefault="00000000">
      <w:pPr>
        <w:pBdr>
          <w:bottom w:val="single" w:sz="12" w:space="7" w:color="1F4E79"/>
        </w:pBdr>
        <w:spacing w:after="260"/>
      </w:pPr>
      <w:r>
        <w:rPr>
          <w:rFonts w:ascii="Calibri" w:eastAsia="Calibri" w:hAnsi="Calibri" w:cs="Calibri"/>
          <w:i/>
          <w:iCs/>
          <w:color w:val="595959"/>
          <w:sz w:val="19"/>
          <w:szCs w:val="19"/>
        </w:rPr>
        <w:t xml:space="preserve">For class teachers, mentors, family contacts and senior </w:t>
      </w:r>
      <w:proofErr w:type="gramStart"/>
      <w:r>
        <w:rPr>
          <w:rFonts w:ascii="Calibri" w:eastAsia="Calibri" w:hAnsi="Calibri" w:cs="Calibri"/>
          <w:i/>
          <w:iCs/>
          <w:color w:val="595959"/>
          <w:sz w:val="19"/>
          <w:szCs w:val="19"/>
        </w:rPr>
        <w:t>leadership  ·</w:t>
      </w:r>
      <w:proofErr w:type="gramEnd"/>
      <w:r>
        <w:rPr>
          <w:rFonts w:ascii="Calibri" w:eastAsia="Calibri" w:hAnsi="Calibri" w:cs="Calibri"/>
          <w:i/>
          <w:iCs/>
          <w:color w:val="595959"/>
          <w:sz w:val="19"/>
          <w:szCs w:val="19"/>
        </w:rPr>
        <w:t xml:space="preserve">  </w:t>
      </w:r>
      <w:proofErr w:type="gramStart"/>
      <w:r>
        <w:rPr>
          <w:rFonts w:ascii="Calibri" w:eastAsia="Calibri" w:hAnsi="Calibri" w:cs="Calibri"/>
          <w:i/>
          <w:iCs/>
          <w:color w:val="595959"/>
          <w:sz w:val="19"/>
          <w:szCs w:val="19"/>
        </w:rPr>
        <w:t>Internal  ·</w:t>
      </w:r>
      <w:proofErr w:type="gramEnd"/>
      <w:r>
        <w:rPr>
          <w:rFonts w:ascii="Calibri" w:eastAsia="Calibri" w:hAnsi="Calibri" w:cs="Calibri"/>
          <w:i/>
          <w:iCs/>
          <w:color w:val="595959"/>
          <w:sz w:val="19"/>
          <w:szCs w:val="19"/>
        </w:rPr>
        <w:t xml:space="preserve">  Not for circulation to parents</w:t>
      </w:r>
    </w:p>
    <w:p w14:paraId="7C8767D5" w14:textId="77777777" w:rsidR="00C861B2" w:rsidRDefault="00000000">
      <w:pPr>
        <w:pStyle w:val="Heading1"/>
        <w:pBdr>
          <w:bottom w:val="single" w:sz="6" w:space="5" w:color="BFBFBF"/>
        </w:pBdr>
        <w:spacing w:before="320" w:after="140"/>
      </w:pPr>
      <w:r>
        <w:rPr>
          <w:rFonts w:ascii="Calibri" w:eastAsia="Calibri" w:hAnsi="Calibri" w:cs="Calibri"/>
          <w:b/>
          <w:bCs/>
          <w:color w:val="1F4E79"/>
          <w:sz w:val="28"/>
          <w:szCs w:val="28"/>
        </w:rPr>
        <w:t>Before you brief anyone: three items to close first</w:t>
      </w:r>
    </w:p>
    <w:p w14:paraId="71A74E7C" w14:textId="77777777" w:rsidR="00C861B2" w:rsidRDefault="00000000">
      <w:pPr>
        <w:spacing w:after="120"/>
      </w:pPr>
      <w:r>
        <w:rPr>
          <w:rFonts w:ascii="Calibri" w:eastAsia="Calibri" w:hAnsi="Calibri" w:cs="Calibri"/>
          <w:color w:val="000000"/>
          <w:sz w:val="21"/>
          <w:szCs w:val="21"/>
        </w:rPr>
        <w:t>Do not release this script until these are settled. Each one will be exposed in the first week by a parent, not by us.</w:t>
      </w:r>
    </w:p>
    <w:p w14:paraId="3A7AF1D8" w14:textId="77777777" w:rsidR="00C861B2" w:rsidRDefault="00000000">
      <w:pPr>
        <w:pStyle w:val="ListParagraph"/>
        <w:numPr>
          <w:ilvl w:val="0"/>
          <w:numId w:val="2"/>
        </w:numPr>
        <w:spacing w:after="110"/>
      </w:pPr>
      <w:r>
        <w:rPr>
          <w:rFonts w:ascii="Calibri" w:eastAsia="Calibri" w:hAnsi="Calibri" w:cs="Calibri"/>
          <w:sz w:val="21"/>
          <w:szCs w:val="21"/>
        </w:rPr>
        <w:t>The baseline percentage. This script says “13% as usual.” At least one parent remembers last year as 10%. Verify against the actual circulars issued and correct every number in the pack accordingly. A counsellor caught overstating the baseline in the opening sentence loses the entire conversation.</w:t>
      </w:r>
    </w:p>
    <w:p w14:paraId="199CBC9E" w14:textId="77777777" w:rsidR="00C861B2" w:rsidRDefault="00000000">
      <w:pPr>
        <w:pStyle w:val="ListParagraph"/>
        <w:numPr>
          <w:ilvl w:val="0"/>
          <w:numId w:val="2"/>
        </w:numPr>
        <w:spacing w:after="110"/>
      </w:pPr>
      <w:r>
        <w:rPr>
          <w:rFonts w:ascii="Calibri" w:eastAsia="Calibri" w:hAnsi="Calibri" w:cs="Calibri"/>
          <w:sz w:val="21"/>
          <w:szCs w:val="21"/>
        </w:rPr>
        <w:t>The scholarship cap. The 5% cap is defined against “the increase.” Confirm whether that means the full 20% or the 7% alone. Two counsellors giving two answers to two families in the same WhatsApp group is worse than having no scheme.</w:t>
      </w:r>
    </w:p>
    <w:p w14:paraId="2CFCC860" w14:textId="77777777" w:rsidR="00C861B2" w:rsidRDefault="00000000">
      <w:pPr>
        <w:pStyle w:val="ListParagraph"/>
        <w:numPr>
          <w:ilvl w:val="0"/>
          <w:numId w:val="2"/>
        </w:numPr>
        <w:spacing w:after="110"/>
      </w:pPr>
      <w:r>
        <w:rPr>
          <w:rFonts w:ascii="Calibri" w:eastAsia="Calibri" w:hAnsi="Calibri" w:cs="Calibri"/>
          <w:sz w:val="21"/>
          <w:szCs w:val="21"/>
        </w:rPr>
        <w:t>The Grade 11–12 answer. Most of the funded roadmap is multi-year. A Grade 12 parent has one year left and will ask what changes for their own child. The four deliverables named in the objection table are this year’s answer — confirm all four are actually committed before any counsellor promises them.</w:t>
      </w:r>
    </w:p>
    <w:p w14:paraId="789FCF95" w14:textId="77777777" w:rsidR="00C861B2" w:rsidRDefault="00000000">
      <w:pPr>
        <w:pStyle w:val="Heading1"/>
        <w:pBdr>
          <w:bottom w:val="single" w:sz="6" w:space="5" w:color="BFBFBF"/>
        </w:pBdr>
        <w:spacing w:before="320" w:after="140"/>
      </w:pPr>
      <w:r>
        <w:rPr>
          <w:rFonts w:ascii="Calibri" w:eastAsia="Calibri" w:hAnsi="Calibri" w:cs="Calibri"/>
          <w:b/>
          <w:bCs/>
          <w:color w:val="1F4E79"/>
          <w:sz w:val="28"/>
          <w:szCs w:val="28"/>
        </w:rPr>
        <w:t>The one thing that decides this conversation</w:t>
      </w:r>
    </w:p>
    <w:p w14:paraId="25EB76A0" w14:textId="77777777" w:rsidR="00C861B2" w:rsidRDefault="00000000">
      <w:pPr>
        <w:spacing w:after="120"/>
      </w:pPr>
      <w:r>
        <w:rPr>
          <w:rFonts w:ascii="Calibri" w:eastAsia="Calibri" w:hAnsi="Calibri" w:cs="Calibri"/>
          <w:color w:val="000000"/>
          <w:sz w:val="21"/>
          <w:szCs w:val="21"/>
        </w:rPr>
        <w:t>The risk is not the angry parent. It is the parent who pays quietly and starts pricing a CBSE school for the younger child that same week. Nobody will tell you they have done it. You will find out at admissions time next year.</w:t>
      </w:r>
    </w:p>
    <w:p w14:paraId="55329664" w14:textId="77777777" w:rsidR="00C861B2" w:rsidRDefault="00000000">
      <w:pPr>
        <w:spacing w:after="120"/>
      </w:pPr>
      <w:proofErr w:type="gramStart"/>
      <w:r>
        <w:rPr>
          <w:rFonts w:ascii="Calibri" w:eastAsia="Calibri" w:hAnsi="Calibri" w:cs="Calibri"/>
          <w:b/>
          <w:bCs/>
          <w:color w:val="000000"/>
          <w:sz w:val="21"/>
          <w:szCs w:val="21"/>
        </w:rPr>
        <w:t>So</w:t>
      </w:r>
      <w:proofErr w:type="gramEnd"/>
      <w:r>
        <w:rPr>
          <w:rFonts w:ascii="Calibri" w:eastAsia="Calibri" w:hAnsi="Calibri" w:cs="Calibri"/>
          <w:b/>
          <w:bCs/>
          <w:color w:val="000000"/>
          <w:sz w:val="21"/>
          <w:szCs w:val="21"/>
        </w:rPr>
        <w:t xml:space="preserve"> the measure of a good conversation is not whether the parent agrees. </w:t>
      </w:r>
      <w:r>
        <w:rPr>
          <w:rFonts w:ascii="Calibri" w:eastAsia="Calibri" w:hAnsi="Calibri" w:cs="Calibri"/>
          <w:color w:val="000000"/>
          <w:sz w:val="21"/>
          <w:szCs w:val="21"/>
        </w:rPr>
        <w:t>It is whether they leave without the feeling that they were charged more because they were cornered. That feeling, not the rupee figure, is what turns into a joint representation and a quiet exit.</w:t>
      </w:r>
    </w:p>
    <w:p w14:paraId="10C051FF" w14:textId="77777777" w:rsidR="00C861B2" w:rsidRDefault="00000000">
      <w:pPr>
        <w:spacing w:after="120"/>
      </w:pPr>
      <w:r>
        <w:rPr>
          <w:rFonts w:ascii="Calibri" w:eastAsia="Calibri" w:hAnsi="Calibri" w:cs="Calibri"/>
          <w:color w:val="000000"/>
          <w:sz w:val="21"/>
          <w:szCs w:val="21"/>
        </w:rPr>
        <w:t>Everything below is built to remove that feeling.</w:t>
      </w:r>
    </w:p>
    <w:p w14:paraId="3D166B0B" w14:textId="77777777" w:rsidR="00C861B2" w:rsidRDefault="00000000">
      <w:pPr>
        <w:pStyle w:val="Heading1"/>
        <w:pBdr>
          <w:bottom w:val="single" w:sz="6" w:space="5" w:color="BFBFBF"/>
        </w:pBdr>
        <w:spacing w:before="320" w:after="140"/>
      </w:pPr>
      <w:r>
        <w:rPr>
          <w:rFonts w:ascii="Calibri" w:eastAsia="Calibri" w:hAnsi="Calibri" w:cs="Calibri"/>
          <w:b/>
          <w:bCs/>
          <w:color w:val="1F4E79"/>
          <w:sz w:val="28"/>
          <w:szCs w:val="28"/>
        </w:rPr>
        <w:t>The arithmetic: your strongest asset, and nobody is using it</w:t>
      </w:r>
    </w:p>
    <w:p w14:paraId="201562CF" w14:textId="77777777" w:rsidR="00C861B2" w:rsidRDefault="00000000">
      <w:pPr>
        <w:spacing w:after="140"/>
        <w:ind w:left="403"/>
      </w:pPr>
      <w:r>
        <w:rPr>
          <w:rFonts w:ascii="Calibri" w:eastAsia="Calibri" w:hAnsi="Calibri" w:cs="Calibri"/>
          <w:i/>
          <w:iCs/>
          <w:color w:val="595959"/>
        </w:rPr>
        <w:t>Learn this cold. Carry a printed version with your own grade bands. Put it in front of the parent — do not recite it.</w:t>
      </w:r>
    </w:p>
    <w:p w14:paraId="6F7C628F" w14:textId="77777777" w:rsidR="00C861B2" w:rsidRDefault="00000000">
      <w:pPr>
        <w:spacing w:after="120"/>
      </w:pPr>
      <w:r>
        <w:rPr>
          <w:rFonts w:ascii="Calibri" w:eastAsia="Calibri" w:hAnsi="Calibri" w:cs="Calibri"/>
          <w:color w:val="000000"/>
          <w:sz w:val="21"/>
          <w:szCs w:val="21"/>
        </w:rPr>
        <w:t>A parent with a Grade 5 daughter and a Grade 11 son sees ₹30,000 and ₹80,000 and concludes the senior grade was singled out. The arithmetic proves the opposite, and it is checkable in ten seconds.</w:t>
      </w:r>
    </w:p>
    <w:p w14:paraId="11DDED1B" w14:textId="77777777" w:rsidR="00C861B2" w:rsidRDefault="00C861B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C861B2" w14:paraId="7A0993BC" w14:textId="77777777">
        <w:tblPrEx>
          <w:tblCellMar>
            <w:top w:w="0" w:type="dxa"/>
            <w:bottom w:w="0" w:type="dxa"/>
          </w:tblCellMar>
        </w:tblPrEx>
        <w:trPr>
          <w:tblHeader/>
        </w:trPr>
        <w:tc>
          <w:tcPr>
            <w:tcW w:w="3360" w:type="dxa"/>
            <w:shd w:val="clear" w:color="auto" w:fill="1F4E79"/>
            <w:tcMar>
              <w:top w:w="90" w:type="dxa"/>
              <w:left w:w="110" w:type="dxa"/>
              <w:bottom w:w="90" w:type="dxa"/>
              <w:right w:w="110" w:type="dxa"/>
            </w:tcMar>
          </w:tcPr>
          <w:p w14:paraId="09DDE0AE" w14:textId="77777777" w:rsidR="00C861B2" w:rsidRDefault="00C861B2"/>
        </w:tc>
        <w:tc>
          <w:tcPr>
            <w:tcW w:w="3000" w:type="dxa"/>
            <w:shd w:val="clear" w:color="auto" w:fill="1F4E79"/>
            <w:tcMar>
              <w:top w:w="90" w:type="dxa"/>
              <w:left w:w="110" w:type="dxa"/>
              <w:bottom w:w="90" w:type="dxa"/>
              <w:right w:w="110" w:type="dxa"/>
            </w:tcMar>
          </w:tcPr>
          <w:p w14:paraId="20012BB6" w14:textId="77777777" w:rsidR="00C861B2" w:rsidRDefault="00000000">
            <w:r>
              <w:rPr>
                <w:rFonts w:ascii="Calibri" w:eastAsia="Calibri" w:hAnsi="Calibri" w:cs="Calibri"/>
                <w:b/>
                <w:bCs/>
                <w:color w:val="FFFFFF"/>
              </w:rPr>
              <w:t>Grade 5 daughter</w:t>
            </w:r>
          </w:p>
        </w:tc>
        <w:tc>
          <w:tcPr>
            <w:tcW w:w="3000" w:type="dxa"/>
            <w:shd w:val="clear" w:color="auto" w:fill="1F4E79"/>
            <w:tcMar>
              <w:top w:w="90" w:type="dxa"/>
              <w:left w:w="110" w:type="dxa"/>
              <w:bottom w:w="90" w:type="dxa"/>
              <w:right w:w="110" w:type="dxa"/>
            </w:tcMar>
          </w:tcPr>
          <w:p w14:paraId="67F696F1" w14:textId="77777777" w:rsidR="00C861B2" w:rsidRDefault="00000000">
            <w:r>
              <w:rPr>
                <w:rFonts w:ascii="Calibri" w:eastAsia="Calibri" w:hAnsi="Calibri" w:cs="Calibri"/>
                <w:b/>
                <w:bCs/>
                <w:color w:val="FFFFFF"/>
              </w:rPr>
              <w:t>Grade 11 son</w:t>
            </w:r>
          </w:p>
        </w:tc>
      </w:tr>
      <w:tr w:rsidR="00C861B2" w14:paraId="398383AC" w14:textId="77777777">
        <w:tblPrEx>
          <w:tblCellMar>
            <w:top w:w="0" w:type="dxa"/>
            <w:bottom w:w="0" w:type="dxa"/>
          </w:tblCellMar>
        </w:tblPrEx>
        <w:tc>
          <w:tcPr>
            <w:tcW w:w="3360" w:type="dxa"/>
            <w:tcMar>
              <w:top w:w="90" w:type="dxa"/>
              <w:left w:w="110" w:type="dxa"/>
              <w:bottom w:w="90" w:type="dxa"/>
              <w:right w:w="110" w:type="dxa"/>
            </w:tcMar>
          </w:tcPr>
          <w:p w14:paraId="5C757A9F" w14:textId="77777777" w:rsidR="00C861B2" w:rsidRDefault="00000000">
            <w:r>
              <w:rPr>
                <w:rFonts w:ascii="Calibri" w:eastAsia="Calibri" w:hAnsi="Calibri" w:cs="Calibri"/>
                <w:color w:val="000000"/>
              </w:rPr>
              <w:t>Current annual fee</w:t>
            </w:r>
          </w:p>
        </w:tc>
        <w:tc>
          <w:tcPr>
            <w:tcW w:w="3000" w:type="dxa"/>
            <w:tcMar>
              <w:top w:w="90" w:type="dxa"/>
              <w:left w:w="110" w:type="dxa"/>
              <w:bottom w:w="90" w:type="dxa"/>
              <w:right w:w="110" w:type="dxa"/>
            </w:tcMar>
          </w:tcPr>
          <w:p w14:paraId="21EE122F" w14:textId="77777777" w:rsidR="00C861B2" w:rsidRDefault="00000000">
            <w:r>
              <w:rPr>
                <w:rFonts w:ascii="Calibri" w:eastAsia="Calibri" w:hAnsi="Calibri" w:cs="Calibri"/>
                <w:color w:val="000000"/>
              </w:rPr>
              <w:t>₹1,50,000</w:t>
            </w:r>
          </w:p>
        </w:tc>
        <w:tc>
          <w:tcPr>
            <w:tcW w:w="3000" w:type="dxa"/>
            <w:tcMar>
              <w:top w:w="90" w:type="dxa"/>
              <w:left w:w="110" w:type="dxa"/>
              <w:bottom w:w="90" w:type="dxa"/>
              <w:right w:w="110" w:type="dxa"/>
            </w:tcMar>
          </w:tcPr>
          <w:p w14:paraId="453C688B" w14:textId="77777777" w:rsidR="00C861B2" w:rsidRDefault="00000000">
            <w:r>
              <w:rPr>
                <w:rFonts w:ascii="Calibri" w:eastAsia="Calibri" w:hAnsi="Calibri" w:cs="Calibri"/>
                <w:color w:val="000000"/>
              </w:rPr>
              <w:t>₹4,00,000</w:t>
            </w:r>
          </w:p>
        </w:tc>
      </w:tr>
      <w:tr w:rsidR="00C861B2" w14:paraId="1ADA4498" w14:textId="77777777">
        <w:tblPrEx>
          <w:tblCellMar>
            <w:top w:w="0" w:type="dxa"/>
            <w:bottom w:w="0" w:type="dxa"/>
          </w:tblCellMar>
        </w:tblPrEx>
        <w:tc>
          <w:tcPr>
            <w:tcW w:w="3360" w:type="dxa"/>
            <w:tcMar>
              <w:top w:w="90" w:type="dxa"/>
              <w:left w:w="110" w:type="dxa"/>
              <w:bottom w:w="90" w:type="dxa"/>
              <w:right w:w="110" w:type="dxa"/>
            </w:tcMar>
          </w:tcPr>
          <w:p w14:paraId="055F3BE6" w14:textId="77777777" w:rsidR="00C861B2" w:rsidRDefault="00000000">
            <w:r>
              <w:rPr>
                <w:rFonts w:ascii="Calibri" w:eastAsia="Calibri" w:hAnsi="Calibri" w:cs="Calibri"/>
                <w:color w:val="000000"/>
              </w:rPr>
              <w:t>The usual annual increase (13%)</w:t>
            </w:r>
          </w:p>
        </w:tc>
        <w:tc>
          <w:tcPr>
            <w:tcW w:w="3000" w:type="dxa"/>
            <w:tcMar>
              <w:top w:w="90" w:type="dxa"/>
              <w:left w:w="110" w:type="dxa"/>
              <w:bottom w:w="90" w:type="dxa"/>
              <w:right w:w="110" w:type="dxa"/>
            </w:tcMar>
          </w:tcPr>
          <w:p w14:paraId="318994F0" w14:textId="77777777" w:rsidR="00C861B2" w:rsidRDefault="00000000">
            <w:r>
              <w:rPr>
                <w:rFonts w:ascii="Calibri" w:eastAsia="Calibri" w:hAnsi="Calibri" w:cs="Calibri"/>
                <w:color w:val="000000"/>
              </w:rPr>
              <w:t>₹19,500</w:t>
            </w:r>
          </w:p>
        </w:tc>
        <w:tc>
          <w:tcPr>
            <w:tcW w:w="3000" w:type="dxa"/>
            <w:tcMar>
              <w:top w:w="90" w:type="dxa"/>
              <w:left w:w="110" w:type="dxa"/>
              <w:bottom w:w="90" w:type="dxa"/>
              <w:right w:w="110" w:type="dxa"/>
            </w:tcMar>
          </w:tcPr>
          <w:p w14:paraId="06237F60" w14:textId="77777777" w:rsidR="00C861B2" w:rsidRDefault="00000000">
            <w:r>
              <w:rPr>
                <w:rFonts w:ascii="Calibri" w:eastAsia="Calibri" w:hAnsi="Calibri" w:cs="Calibri"/>
                <w:color w:val="000000"/>
              </w:rPr>
              <w:t>₹52,000</w:t>
            </w:r>
          </w:p>
        </w:tc>
      </w:tr>
      <w:tr w:rsidR="00C861B2" w14:paraId="040E8887" w14:textId="77777777">
        <w:tblPrEx>
          <w:tblCellMar>
            <w:top w:w="0" w:type="dxa"/>
            <w:bottom w:w="0" w:type="dxa"/>
          </w:tblCellMar>
        </w:tblPrEx>
        <w:tc>
          <w:tcPr>
            <w:tcW w:w="3360" w:type="dxa"/>
            <w:shd w:val="clear" w:color="auto" w:fill="DCE8D5"/>
            <w:tcMar>
              <w:top w:w="90" w:type="dxa"/>
              <w:left w:w="110" w:type="dxa"/>
              <w:bottom w:w="90" w:type="dxa"/>
              <w:right w:w="110" w:type="dxa"/>
            </w:tcMar>
          </w:tcPr>
          <w:p w14:paraId="42862FF8" w14:textId="77777777" w:rsidR="00C861B2" w:rsidRDefault="00000000">
            <w:r>
              <w:rPr>
                <w:rFonts w:ascii="Calibri" w:eastAsia="Calibri" w:hAnsi="Calibri" w:cs="Calibri"/>
                <w:b/>
                <w:bCs/>
                <w:color w:val="000000"/>
              </w:rPr>
              <w:t>This year only, the addition (7%)</w:t>
            </w:r>
          </w:p>
        </w:tc>
        <w:tc>
          <w:tcPr>
            <w:tcW w:w="3000" w:type="dxa"/>
            <w:shd w:val="clear" w:color="auto" w:fill="DCE8D5"/>
            <w:tcMar>
              <w:top w:w="90" w:type="dxa"/>
              <w:left w:w="110" w:type="dxa"/>
              <w:bottom w:w="90" w:type="dxa"/>
              <w:right w:w="110" w:type="dxa"/>
            </w:tcMar>
          </w:tcPr>
          <w:p w14:paraId="30EB1223" w14:textId="77777777" w:rsidR="00C861B2" w:rsidRDefault="00000000">
            <w:r>
              <w:rPr>
                <w:rFonts w:ascii="Calibri" w:eastAsia="Calibri" w:hAnsi="Calibri" w:cs="Calibri"/>
                <w:b/>
                <w:bCs/>
                <w:color w:val="000000"/>
              </w:rPr>
              <w:t>₹10,500</w:t>
            </w:r>
          </w:p>
        </w:tc>
        <w:tc>
          <w:tcPr>
            <w:tcW w:w="3000" w:type="dxa"/>
            <w:shd w:val="clear" w:color="auto" w:fill="DCE8D5"/>
            <w:tcMar>
              <w:top w:w="90" w:type="dxa"/>
              <w:left w:w="110" w:type="dxa"/>
              <w:bottom w:w="90" w:type="dxa"/>
              <w:right w:w="110" w:type="dxa"/>
            </w:tcMar>
          </w:tcPr>
          <w:p w14:paraId="4523A8C6" w14:textId="77777777" w:rsidR="00C861B2" w:rsidRDefault="00000000">
            <w:r>
              <w:rPr>
                <w:rFonts w:ascii="Calibri" w:eastAsia="Calibri" w:hAnsi="Calibri" w:cs="Calibri"/>
                <w:b/>
                <w:bCs/>
                <w:color w:val="000000"/>
              </w:rPr>
              <w:t>₹28,000</w:t>
            </w:r>
          </w:p>
        </w:tc>
      </w:tr>
      <w:tr w:rsidR="00C861B2" w14:paraId="0E656BB4" w14:textId="77777777">
        <w:tblPrEx>
          <w:tblCellMar>
            <w:top w:w="0" w:type="dxa"/>
            <w:bottom w:w="0" w:type="dxa"/>
          </w:tblCellMar>
        </w:tblPrEx>
        <w:tc>
          <w:tcPr>
            <w:tcW w:w="3360" w:type="dxa"/>
            <w:shd w:val="clear" w:color="auto" w:fill="F2F2F2"/>
            <w:tcMar>
              <w:top w:w="90" w:type="dxa"/>
              <w:left w:w="110" w:type="dxa"/>
              <w:bottom w:w="90" w:type="dxa"/>
              <w:right w:w="110" w:type="dxa"/>
            </w:tcMar>
          </w:tcPr>
          <w:p w14:paraId="3C98594B" w14:textId="77777777" w:rsidR="00C861B2" w:rsidRDefault="00000000">
            <w:r>
              <w:rPr>
                <w:rFonts w:ascii="Calibri" w:eastAsia="Calibri" w:hAnsi="Calibri" w:cs="Calibri"/>
                <w:color w:val="000000"/>
              </w:rPr>
              <w:t>Total increase (20%)</w:t>
            </w:r>
          </w:p>
        </w:tc>
        <w:tc>
          <w:tcPr>
            <w:tcW w:w="3000" w:type="dxa"/>
            <w:shd w:val="clear" w:color="auto" w:fill="F2F2F2"/>
            <w:tcMar>
              <w:top w:w="90" w:type="dxa"/>
              <w:left w:w="110" w:type="dxa"/>
              <w:bottom w:w="90" w:type="dxa"/>
              <w:right w:w="110" w:type="dxa"/>
            </w:tcMar>
          </w:tcPr>
          <w:p w14:paraId="3BA65934" w14:textId="77777777" w:rsidR="00C861B2" w:rsidRDefault="00000000">
            <w:r>
              <w:rPr>
                <w:rFonts w:ascii="Calibri" w:eastAsia="Calibri" w:hAnsi="Calibri" w:cs="Calibri"/>
                <w:color w:val="000000"/>
              </w:rPr>
              <w:t>₹30,000</w:t>
            </w:r>
          </w:p>
        </w:tc>
        <w:tc>
          <w:tcPr>
            <w:tcW w:w="3000" w:type="dxa"/>
            <w:shd w:val="clear" w:color="auto" w:fill="F2F2F2"/>
            <w:tcMar>
              <w:top w:w="90" w:type="dxa"/>
              <w:left w:w="110" w:type="dxa"/>
              <w:bottom w:w="90" w:type="dxa"/>
              <w:right w:w="110" w:type="dxa"/>
            </w:tcMar>
          </w:tcPr>
          <w:p w14:paraId="77B8FA40" w14:textId="77777777" w:rsidR="00C861B2" w:rsidRDefault="00000000">
            <w:r>
              <w:rPr>
                <w:rFonts w:ascii="Calibri" w:eastAsia="Calibri" w:hAnsi="Calibri" w:cs="Calibri"/>
                <w:color w:val="000000"/>
              </w:rPr>
              <w:t>₹80,000</w:t>
            </w:r>
          </w:p>
        </w:tc>
      </w:tr>
    </w:tbl>
    <w:p w14:paraId="63E19501" w14:textId="77777777" w:rsidR="00C861B2" w:rsidRDefault="00C861B2">
      <w:pPr>
        <w:spacing w:after="140"/>
      </w:pPr>
    </w:p>
    <w:p w14:paraId="601E458A" w14:textId="77777777" w:rsidR="00C861B2" w:rsidRDefault="00000000">
      <w:pPr>
        <w:spacing w:after="120"/>
      </w:pPr>
      <w:r>
        <w:rPr>
          <w:rFonts w:ascii="Calibri" w:eastAsia="Calibri" w:hAnsi="Calibri" w:cs="Calibri"/>
          <w:b/>
          <w:bCs/>
          <w:color w:val="000000"/>
          <w:sz w:val="21"/>
          <w:szCs w:val="21"/>
        </w:rPr>
        <w:t xml:space="preserve">The line that does the work: </w:t>
      </w:r>
      <w:r>
        <w:rPr>
          <w:rFonts w:ascii="Calibri" w:eastAsia="Calibri" w:hAnsi="Calibri" w:cs="Calibri"/>
          <w:color w:val="000000"/>
          <w:sz w:val="21"/>
          <w:szCs w:val="21"/>
        </w:rPr>
        <w:t>“The percentage is identical for both your children, and identical to every other child in this school. And once you separate the usual annual increase from this year’s addition, the genuinely new ask across both of them is ₹38,500 — not ₹1,10,000.”</w:t>
      </w:r>
    </w:p>
    <w:p w14:paraId="045EBAD8" w14:textId="77777777" w:rsidR="00C861B2" w:rsidRDefault="00000000">
      <w:pPr>
        <w:spacing w:after="140"/>
        <w:ind w:left="403"/>
      </w:pPr>
      <w:r>
        <w:rPr>
          <w:rFonts w:ascii="Calibri" w:eastAsia="Calibri" w:hAnsi="Calibri" w:cs="Calibri"/>
          <w:i/>
          <w:iCs/>
          <w:color w:val="595959"/>
        </w:rPr>
        <w:lastRenderedPageBreak/>
        <w:t>Never show a rupee figure without its percentage beside it. A flat, unanchored number in a board-exam year is precisely what reads as leverage — and it is the single avoidable error in this whole exercise.</w:t>
      </w:r>
    </w:p>
    <w:p w14:paraId="41329FAD" w14:textId="77777777" w:rsidR="00C861B2" w:rsidRDefault="00000000">
      <w:pPr>
        <w:pStyle w:val="Heading1"/>
        <w:pBdr>
          <w:bottom w:val="single" w:sz="6" w:space="5" w:color="BFBFBF"/>
        </w:pBdr>
        <w:spacing w:before="320" w:after="140"/>
      </w:pPr>
      <w:r>
        <w:rPr>
          <w:rFonts w:ascii="Calibri" w:eastAsia="Calibri" w:hAnsi="Calibri" w:cs="Calibri"/>
          <w:b/>
          <w:bCs/>
          <w:color w:val="1F4E79"/>
          <w:sz w:val="28"/>
          <w:szCs w:val="28"/>
        </w:rPr>
        <w:t>The five stages</w:t>
      </w:r>
    </w:p>
    <w:p w14:paraId="4E2473F5" w14:textId="77777777" w:rsidR="00C861B2" w:rsidRDefault="00000000">
      <w:pPr>
        <w:spacing w:after="140"/>
        <w:ind w:left="403"/>
      </w:pPr>
      <w:r>
        <w:rPr>
          <w:rFonts w:ascii="Calibri" w:eastAsia="Calibri" w:hAnsi="Calibri" w:cs="Calibri"/>
          <w:i/>
          <w:iCs/>
          <w:color w:val="595959"/>
        </w:rPr>
        <w:t>20–25 minutes, one family at a time. The formal circular must already have been preceded by the informal signal and the visible pilots. If it has not, stop and fix the sequence first — this script cannot rescue an ambush.</w:t>
      </w:r>
    </w:p>
    <w:p w14:paraId="67815C1D" w14:textId="77777777" w:rsidR="00C861B2" w:rsidRDefault="00000000">
      <w:pPr>
        <w:pStyle w:val="Heading2"/>
        <w:spacing w:before="220" w:after="90"/>
      </w:pPr>
      <w:r>
        <w:rPr>
          <w:rFonts w:ascii="Calibri" w:eastAsia="Calibri" w:hAnsi="Calibri" w:cs="Calibri"/>
          <w:b/>
          <w:bCs/>
          <w:color w:val="1F4E79"/>
          <w:sz w:val="23"/>
          <w:szCs w:val="23"/>
        </w:rPr>
        <w:t>Stage 1 — Start with what already changed, and make no ask</w:t>
      </w:r>
    </w:p>
    <w:p w14:paraId="68B7A3C4" w14:textId="77777777" w:rsidR="00C861B2" w:rsidRDefault="00000000">
      <w:pPr>
        <w:spacing w:after="140"/>
        <w:ind w:left="403"/>
      </w:pPr>
      <w:r>
        <w:rPr>
          <w:rFonts w:ascii="Calibri" w:eastAsia="Calibri" w:hAnsi="Calibri" w:cs="Calibri"/>
          <w:i/>
          <w:iCs/>
          <w:color w:val="595959"/>
        </w:rPr>
        <w:t>3 minutes. This stage is the whole credibility of the meeting.</w:t>
      </w:r>
    </w:p>
    <w:p w14:paraId="6812913C" w14:textId="77777777" w:rsidR="00C861B2" w:rsidRDefault="00000000">
      <w:pPr>
        <w:pBdr>
          <w:left w:val="single" w:sz="12" w:space="9" w:color="1F4E79"/>
        </w:pBdr>
        <w:spacing w:after="120"/>
        <w:ind w:left="403"/>
      </w:pPr>
      <w:r>
        <w:rPr>
          <w:rFonts w:ascii="Calibri" w:eastAsia="Calibri" w:hAnsi="Calibri" w:cs="Calibri"/>
          <w:sz w:val="21"/>
          <w:szCs w:val="21"/>
        </w:rPr>
        <w:t>“Before we talk about fees at all — did you see the exhibition was opened to the whole parent body this time, not just the presenting grade? And that we had an outside judge at the showcase? Those started in September. Nobody paid anything extra for them.”</w:t>
      </w:r>
    </w:p>
    <w:p w14:paraId="2B5A8E61" w14:textId="1FB1B4CF" w:rsidR="00C861B2" w:rsidRDefault="00000000">
      <w:pPr>
        <w:spacing w:after="140"/>
        <w:ind w:left="403"/>
      </w:pPr>
      <w:r>
        <w:rPr>
          <w:rFonts w:ascii="Calibri" w:eastAsia="Calibri" w:hAnsi="Calibri" w:cs="Calibri"/>
          <w:i/>
          <w:iCs/>
          <w:color w:val="595959"/>
        </w:rPr>
        <w:t xml:space="preserve">Name only that have actually happened, with dates. One real thing beats five planned ones. </w:t>
      </w:r>
    </w:p>
    <w:p w14:paraId="4C14E213" w14:textId="77777777" w:rsidR="00C861B2" w:rsidRDefault="00000000">
      <w:pPr>
        <w:pStyle w:val="Heading2"/>
        <w:spacing w:before="220" w:after="90"/>
      </w:pPr>
      <w:r>
        <w:rPr>
          <w:rFonts w:ascii="Calibri" w:eastAsia="Calibri" w:hAnsi="Calibri" w:cs="Calibri"/>
          <w:b/>
          <w:bCs/>
          <w:color w:val="1F4E79"/>
          <w:sz w:val="23"/>
          <w:szCs w:val="23"/>
        </w:rPr>
        <w:t>Stage 2 — Put the number on the table yourself</w:t>
      </w:r>
    </w:p>
    <w:p w14:paraId="5831CDA4" w14:textId="77777777" w:rsidR="00C861B2" w:rsidRDefault="00000000">
      <w:pPr>
        <w:spacing w:after="140"/>
        <w:ind w:left="403"/>
      </w:pPr>
      <w:r>
        <w:rPr>
          <w:rFonts w:ascii="Calibri" w:eastAsia="Calibri" w:hAnsi="Calibri" w:cs="Calibri"/>
          <w:i/>
          <w:iCs/>
          <w:color w:val="595959"/>
        </w:rPr>
        <w:t>5 minutes. Never let the parent raise it first. A number you volunteer is a decision; a number they have to drag out of you is a concealment.</w:t>
      </w:r>
    </w:p>
    <w:p w14:paraId="09AAE526" w14:textId="77777777" w:rsidR="00C861B2" w:rsidRDefault="00000000">
      <w:pPr>
        <w:pBdr>
          <w:left w:val="single" w:sz="12" w:space="9" w:color="1F4E79"/>
        </w:pBdr>
        <w:spacing w:after="120"/>
        <w:ind w:left="403"/>
      </w:pPr>
      <w:r>
        <w:rPr>
          <w:rFonts w:ascii="Calibri" w:eastAsia="Calibri" w:hAnsi="Calibri" w:cs="Calibri"/>
          <w:sz w:val="21"/>
          <w:szCs w:val="21"/>
        </w:rPr>
        <w:t>“You will have seen the circular. Let me show you exactly how that figure was built, because the headline number is the least useful way to look at it.”</w:t>
      </w:r>
    </w:p>
    <w:p w14:paraId="7C258ABD" w14:textId="77777777" w:rsidR="00C861B2" w:rsidRDefault="00000000">
      <w:pPr>
        <w:spacing w:after="120"/>
      </w:pPr>
      <w:r>
        <w:rPr>
          <w:rFonts w:ascii="Calibri" w:eastAsia="Calibri" w:hAnsi="Calibri" w:cs="Calibri"/>
          <w:color w:val="000000"/>
          <w:sz w:val="21"/>
          <w:szCs w:val="21"/>
        </w:rPr>
        <w:t>Show the table. Walk the two columns. Then:</w:t>
      </w:r>
    </w:p>
    <w:p w14:paraId="47486DBF" w14:textId="77777777" w:rsidR="00C861B2" w:rsidRDefault="00000000">
      <w:pPr>
        <w:pBdr>
          <w:left w:val="single" w:sz="12" w:space="9" w:color="1F4E79"/>
        </w:pBdr>
        <w:spacing w:after="120"/>
        <w:ind w:left="403"/>
      </w:pPr>
      <w:r>
        <w:rPr>
          <w:rFonts w:ascii="Calibri" w:eastAsia="Calibri" w:hAnsi="Calibri" w:cs="Calibri"/>
          <w:sz w:val="21"/>
          <w:szCs w:val="21"/>
        </w:rPr>
        <w:t>“Thirteen per cent is the increase you have seen from us before and would have seen this year regardless. Seven per cent is new, it is for this year only, and it is funding a specific list I will show you. From next year we return to the usual annual increase.”</w:t>
      </w:r>
    </w:p>
    <w:p w14:paraId="40A7003E" w14:textId="77777777" w:rsidR="00C861B2" w:rsidRDefault="00000000">
      <w:pPr>
        <w:spacing w:after="120"/>
      </w:pPr>
      <w:r>
        <w:rPr>
          <w:rFonts w:ascii="Calibri" w:eastAsia="Calibri" w:hAnsi="Calibri" w:cs="Calibri"/>
          <w:b/>
          <w:bCs/>
          <w:color w:val="000000"/>
          <w:sz w:val="21"/>
          <w:szCs w:val="21"/>
        </w:rPr>
        <w:t xml:space="preserve">Say the clarification out loud, every time: </w:t>
      </w:r>
      <w:r>
        <w:rPr>
          <w:rFonts w:ascii="Calibri" w:eastAsia="Calibri" w:hAnsi="Calibri" w:cs="Calibri"/>
          <w:color w:val="000000"/>
          <w:sz w:val="21"/>
          <w:szCs w:val="21"/>
        </w:rPr>
        <w:t>“Returning to normal means the rate of increase goes back to normal. It does not mean this year’s fee reduces next year. I would rather you hear that from me now than feel misled in twelve months.”</w:t>
      </w:r>
    </w:p>
    <w:p w14:paraId="61C12BC7" w14:textId="77777777" w:rsidR="00C861B2" w:rsidRDefault="00000000">
      <w:pPr>
        <w:spacing w:after="140"/>
        <w:ind w:left="403"/>
      </w:pPr>
      <w:r>
        <w:rPr>
          <w:rFonts w:ascii="Calibri" w:eastAsia="Calibri" w:hAnsi="Calibri" w:cs="Calibri"/>
          <w:i/>
          <w:iCs/>
          <w:color w:val="595959"/>
        </w:rPr>
        <w:t>Volunteering the unflattering half of a clarification is what buys you credibility for the flattering half. Do not skip it to keep the meeting pleasant.</w:t>
      </w:r>
    </w:p>
    <w:p w14:paraId="4AB968A7" w14:textId="77777777" w:rsidR="00C861B2" w:rsidRDefault="00000000">
      <w:pPr>
        <w:pStyle w:val="Heading2"/>
        <w:spacing w:before="220" w:after="90"/>
      </w:pPr>
      <w:r>
        <w:rPr>
          <w:rFonts w:ascii="Calibri" w:eastAsia="Calibri" w:hAnsi="Calibri" w:cs="Calibri"/>
          <w:b/>
          <w:bCs/>
          <w:color w:val="1F4E79"/>
          <w:sz w:val="23"/>
          <w:szCs w:val="23"/>
        </w:rPr>
        <w:t>Stage 3 — Say the board-year sentence before they have to</w:t>
      </w:r>
    </w:p>
    <w:p w14:paraId="45F0B612" w14:textId="77777777" w:rsidR="00C861B2" w:rsidRDefault="00000000">
      <w:pPr>
        <w:spacing w:after="140"/>
        <w:ind w:left="403"/>
      </w:pPr>
      <w:r>
        <w:rPr>
          <w:rFonts w:ascii="Calibri" w:eastAsia="Calibri" w:hAnsi="Calibri" w:cs="Calibri"/>
          <w:i/>
          <w:iCs/>
          <w:color w:val="595959"/>
        </w:rPr>
        <w:t>4 minutes. This is the difficult part of the entire conversation, and the one most likely to be avoided. Do not avoid it.</w:t>
      </w:r>
    </w:p>
    <w:p w14:paraId="3E859D7E" w14:textId="77777777" w:rsidR="00C861B2" w:rsidRDefault="00000000">
      <w:pPr>
        <w:pBdr>
          <w:left w:val="single" w:sz="12" w:space="9" w:color="1F4E79"/>
        </w:pBdr>
        <w:spacing w:after="120"/>
        <w:ind w:left="403"/>
      </w:pPr>
      <w:r>
        <w:rPr>
          <w:rFonts w:ascii="Calibri" w:eastAsia="Calibri" w:hAnsi="Calibri" w:cs="Calibri"/>
          <w:sz w:val="21"/>
          <w:szCs w:val="21"/>
        </w:rPr>
        <w:t>“There is something I want to raise before you have to. You have a child in Grade 11. A large number arriving in a board year can look like it is being asked precisely because you cannot move him now. If I were sitting where you are, that is what I would be thinking.”</w:t>
      </w:r>
    </w:p>
    <w:p w14:paraId="26F7B328" w14:textId="77777777" w:rsidR="00C861B2" w:rsidRDefault="00000000">
      <w:pPr>
        <w:spacing w:after="120"/>
      </w:pPr>
      <w:r>
        <w:rPr>
          <w:rFonts w:ascii="Calibri" w:eastAsia="Calibri" w:hAnsi="Calibri" w:cs="Calibri"/>
          <w:color w:val="000000"/>
          <w:sz w:val="21"/>
          <w:szCs w:val="21"/>
        </w:rPr>
        <w:t>Then, immediately, the evidence:</w:t>
      </w:r>
    </w:p>
    <w:p w14:paraId="07A0CAD8" w14:textId="77777777" w:rsidR="00C861B2" w:rsidRDefault="00000000">
      <w:pPr>
        <w:pBdr>
          <w:left w:val="single" w:sz="12" w:space="9" w:color="1F4E79"/>
        </w:pBdr>
        <w:spacing w:after="120"/>
        <w:ind w:left="403"/>
      </w:pPr>
      <w:r>
        <w:rPr>
          <w:rFonts w:ascii="Calibri" w:eastAsia="Calibri" w:hAnsi="Calibri" w:cs="Calibri"/>
          <w:sz w:val="21"/>
          <w:szCs w:val="21"/>
        </w:rPr>
        <w:t>“So here is the check. It is the identical percentage a Grade 1 family is paying. The rupee amount is larger only because his fee was already larger. And of the ₹80,000, ₹52,000 is the ordinary annual increase — the new part is ₹28,000.”</w:t>
      </w:r>
    </w:p>
    <w:p w14:paraId="3E92749F" w14:textId="77777777" w:rsidR="00C861B2" w:rsidRDefault="00000000">
      <w:pPr>
        <w:spacing w:after="120"/>
      </w:pPr>
      <w:r>
        <w:rPr>
          <w:rFonts w:ascii="Calibri" w:eastAsia="Calibri" w:hAnsi="Calibri" w:cs="Calibri"/>
          <w:color w:val="000000"/>
          <w:sz w:val="21"/>
          <w:szCs w:val="21"/>
        </w:rPr>
        <w:t>Then answer the question they were about to ask:</w:t>
      </w:r>
    </w:p>
    <w:p w14:paraId="1390BB6D" w14:textId="77777777" w:rsidR="00C861B2" w:rsidRDefault="00000000">
      <w:pPr>
        <w:pBdr>
          <w:left w:val="single" w:sz="12" w:space="9" w:color="1F4E79"/>
        </w:pBdr>
        <w:spacing w:after="120"/>
        <w:ind w:left="403"/>
      </w:pPr>
      <w:r>
        <w:rPr>
          <w:rFonts w:ascii="Calibri" w:eastAsia="Calibri" w:hAnsi="Calibri" w:cs="Calibri"/>
          <w:sz w:val="21"/>
          <w:szCs w:val="21"/>
        </w:rPr>
        <w:t>“And you are still entitled to ask what he gets for it in his final stretch. Four things, this academic year: external judges at Knowledge Fair and Shark Tank, the expert engagement series mapped to his subjects, the alumni mentor network for his applications, and deeper college counselling and LOR work. If any of those four does not happen, come back to me by name.”</w:t>
      </w:r>
    </w:p>
    <w:p w14:paraId="3272F8E6" w14:textId="77777777" w:rsidR="00C861B2" w:rsidRDefault="00000000">
      <w:pPr>
        <w:spacing w:after="140"/>
        <w:ind w:left="403"/>
      </w:pPr>
      <w:r>
        <w:rPr>
          <w:rFonts w:ascii="Calibri" w:eastAsia="Calibri" w:hAnsi="Calibri" w:cs="Calibri"/>
          <w:i/>
          <w:iCs/>
          <w:color w:val="595959"/>
        </w:rPr>
        <w:t>If the parent goes quiet here, let the silence sit. This is the moment the grievance either forms or dissolves.</w:t>
      </w:r>
    </w:p>
    <w:p w14:paraId="7FC36126" w14:textId="77777777" w:rsidR="00C861B2" w:rsidRDefault="00000000">
      <w:pPr>
        <w:pStyle w:val="Heading2"/>
        <w:spacing w:before="220" w:after="90"/>
      </w:pPr>
      <w:r>
        <w:rPr>
          <w:rFonts w:ascii="Calibri" w:eastAsia="Calibri" w:hAnsi="Calibri" w:cs="Calibri"/>
          <w:b/>
          <w:bCs/>
          <w:color w:val="1F4E79"/>
          <w:sz w:val="23"/>
          <w:szCs w:val="23"/>
        </w:rPr>
        <w:t>Stage 4 — What the 7% buys, at this child’s grade</w:t>
      </w:r>
    </w:p>
    <w:p w14:paraId="0572E798" w14:textId="77777777" w:rsidR="00C861B2" w:rsidRDefault="00000000">
      <w:pPr>
        <w:spacing w:after="140"/>
        <w:ind w:left="403"/>
      </w:pPr>
      <w:r>
        <w:rPr>
          <w:rFonts w:ascii="Calibri" w:eastAsia="Calibri" w:hAnsi="Calibri" w:cs="Calibri"/>
          <w:i/>
          <w:iCs/>
          <w:color w:val="595959"/>
        </w:rPr>
        <w:lastRenderedPageBreak/>
        <w:t>5 minutes. Never describe the roadmap in general. A Grade 3 parent does not care what Grade 11 gets.</w:t>
      </w:r>
    </w:p>
    <w:p w14:paraId="242B5E34" w14:textId="77777777" w:rsidR="00C861B2" w:rsidRDefault="00000000">
      <w:pPr>
        <w:spacing w:after="120"/>
      </w:pPr>
      <w:r>
        <w:rPr>
          <w:rFonts w:ascii="Calibri" w:eastAsia="Calibri" w:hAnsi="Calibri" w:cs="Calibri"/>
          <w:color w:val="000000"/>
          <w:sz w:val="21"/>
          <w:szCs w:val="21"/>
        </w:rPr>
        <w:t>For Grades 1–8(9), the organising sentence is “by the end of this year your child will be able to…” — concrete and checkable within months:</w:t>
      </w:r>
    </w:p>
    <w:p w14:paraId="2EC9BC45" w14:textId="77777777" w:rsidR="00C861B2" w:rsidRDefault="00000000">
      <w:pPr>
        <w:pBdr>
          <w:left w:val="single" w:sz="12" w:space="9" w:color="1F4E79"/>
        </w:pBdr>
        <w:spacing w:after="120"/>
        <w:ind w:left="403"/>
      </w:pPr>
      <w:r>
        <w:rPr>
          <w:rFonts w:ascii="Calibri" w:eastAsia="Calibri" w:hAnsi="Calibri" w:cs="Calibri"/>
          <w:sz w:val="21"/>
          <w:szCs w:val="21"/>
        </w:rPr>
        <w:t>“For your daughter specifically: a written Learning Story about her each term — a real, dated account of one moment of her growth, not a checklist; a student-led conference where she presents her own work to you instead of me talking about her; documentation panels outside the classroom so you can see the project in progress at pickup; and teacher training in stretching a child with feedback and structure rather than more homework.”</w:t>
      </w:r>
    </w:p>
    <w:p w14:paraId="0C487292" w14:textId="77777777" w:rsidR="00C861B2" w:rsidRDefault="00000000">
      <w:pPr>
        <w:spacing w:after="120"/>
      </w:pPr>
      <w:r>
        <w:rPr>
          <w:rFonts w:ascii="Calibri" w:eastAsia="Calibri" w:hAnsi="Calibri" w:cs="Calibri"/>
          <w:color w:val="000000"/>
          <w:sz w:val="21"/>
          <w:szCs w:val="21"/>
        </w:rPr>
        <w:t>For Grades 9–12, the unit of time is the pathway, not the term. Use the four deliverables from Stage 3 and connect them to subject choice, college counselling and the alumni register.</w:t>
      </w:r>
    </w:p>
    <w:p w14:paraId="525FF3CD" w14:textId="77777777" w:rsidR="00C861B2" w:rsidRDefault="00000000">
      <w:pPr>
        <w:spacing w:after="120"/>
      </w:pPr>
      <w:r>
        <w:rPr>
          <w:rFonts w:ascii="Calibri" w:eastAsia="Calibri" w:hAnsi="Calibri" w:cs="Calibri"/>
          <w:b/>
          <w:bCs/>
          <w:color w:val="000000"/>
          <w:sz w:val="21"/>
          <w:szCs w:val="21"/>
        </w:rPr>
        <w:t xml:space="preserve">The discipline: </w:t>
      </w:r>
      <w:r>
        <w:rPr>
          <w:rFonts w:ascii="Calibri" w:eastAsia="Calibri" w:hAnsi="Calibri" w:cs="Calibri"/>
          <w:color w:val="000000"/>
          <w:sz w:val="21"/>
          <w:szCs w:val="21"/>
        </w:rPr>
        <w:t>both versions must visibly rest on the same three pillars — Academics, Personality, Interests — and the same activities. A family with children in both bands will compare, and two stories that look unrelated read as improvisation.</w:t>
      </w:r>
    </w:p>
    <w:p w14:paraId="4618D21E" w14:textId="77777777" w:rsidR="00C861B2" w:rsidRDefault="00000000">
      <w:pPr>
        <w:pStyle w:val="Heading2"/>
        <w:spacing w:before="220" w:after="90"/>
      </w:pPr>
      <w:r>
        <w:rPr>
          <w:rFonts w:ascii="Calibri" w:eastAsia="Calibri" w:hAnsi="Calibri" w:cs="Calibri"/>
          <w:b/>
          <w:bCs/>
          <w:color w:val="1F4E79"/>
          <w:sz w:val="23"/>
          <w:szCs w:val="23"/>
        </w:rPr>
        <w:t>Stage 5 — Close on the family, not the fee</w:t>
      </w:r>
    </w:p>
    <w:p w14:paraId="4141B026" w14:textId="77777777" w:rsidR="00C861B2" w:rsidRDefault="00000000">
      <w:pPr>
        <w:spacing w:after="140"/>
        <w:ind w:left="403"/>
      </w:pPr>
      <w:r>
        <w:rPr>
          <w:rFonts w:ascii="Calibri" w:eastAsia="Calibri" w:hAnsi="Calibri" w:cs="Calibri"/>
          <w:i/>
          <w:iCs/>
          <w:color w:val="595959"/>
        </w:rPr>
        <w:t>3 minutes. For a multi-child household this is the most important ninety seconds in the meeting — it is aimed squarely at the younger child you are at risk of losing.</w:t>
      </w:r>
    </w:p>
    <w:p w14:paraId="100F8730" w14:textId="77777777" w:rsidR="00C861B2" w:rsidRDefault="00000000">
      <w:pPr>
        <w:pBdr>
          <w:left w:val="single" w:sz="12" w:space="9" w:color="1F4E79"/>
        </w:pBdr>
        <w:spacing w:after="120"/>
        <w:ind w:left="403"/>
      </w:pPr>
      <w:r>
        <w:rPr>
          <w:rFonts w:ascii="Calibri" w:eastAsia="Calibri" w:hAnsi="Calibri" w:cs="Calibri"/>
          <w:sz w:val="21"/>
          <w:szCs w:val="21"/>
        </w:rPr>
        <w:t>“One last thing, and it matters more than anything else I have said today. Because you have two children with us, there is a sibling benefit on the increase — and it runs for as long as they are both here, not just this year. This is not a concession on this hike. It is a standing arrangement for your family.”</w:t>
      </w:r>
    </w:p>
    <w:p w14:paraId="3EC1E6B3" w14:textId="77777777" w:rsidR="00C861B2" w:rsidRDefault="00000000">
      <w:pPr>
        <w:spacing w:after="120"/>
      </w:pPr>
      <w:r>
        <w:rPr>
          <w:rFonts w:ascii="Calibri" w:eastAsia="Calibri" w:hAnsi="Calibri" w:cs="Calibri"/>
          <w:color w:val="000000"/>
          <w:sz w:val="21"/>
          <w:szCs w:val="21"/>
        </w:rPr>
        <w:t>Then close:</w:t>
      </w:r>
    </w:p>
    <w:p w14:paraId="2FBC2597" w14:textId="77777777" w:rsidR="00C861B2" w:rsidRDefault="00000000">
      <w:pPr>
        <w:pBdr>
          <w:left w:val="single" w:sz="12" w:space="9" w:color="1F4E79"/>
        </w:pBdr>
        <w:spacing w:after="120"/>
        <w:ind w:left="403"/>
      </w:pPr>
      <w:r>
        <w:rPr>
          <w:rFonts w:ascii="Calibri" w:eastAsia="Calibri" w:hAnsi="Calibri" w:cs="Calibri"/>
          <w:sz w:val="21"/>
          <w:szCs w:val="21"/>
        </w:rPr>
        <w:t>“I would rather you go home and check every number I have given you than take my word for it. If anything does not add up, call me — not the office. And whatever you decide about the fee, nothing changes about how your daughter is looked after here.”</w:t>
      </w:r>
    </w:p>
    <w:p w14:paraId="5FFACD0C" w14:textId="77777777" w:rsidR="00C861B2" w:rsidRDefault="00000000">
      <w:pPr>
        <w:spacing w:after="140"/>
        <w:ind w:left="403"/>
      </w:pPr>
      <w:r>
        <w:rPr>
          <w:rFonts w:ascii="Calibri" w:eastAsia="Calibri" w:hAnsi="Calibri" w:cs="Calibri"/>
          <w:i/>
          <w:iCs/>
          <w:color w:val="595959"/>
        </w:rPr>
        <w:t>That last sentence is not decoration. The parent’s real fear in a fee conversation is that raising an objection will cost their child something. Remove that fear explicitly.</w:t>
      </w:r>
    </w:p>
    <w:p w14:paraId="3399323B" w14:textId="77777777" w:rsidR="00C861B2" w:rsidRDefault="00000000">
      <w:pPr>
        <w:pStyle w:val="Heading1"/>
        <w:pBdr>
          <w:bottom w:val="single" w:sz="6" w:space="5" w:color="BFBFBF"/>
        </w:pBdr>
        <w:spacing w:before="320" w:after="140"/>
      </w:pPr>
      <w:proofErr w:type="spellStart"/>
      <w:r>
        <w:rPr>
          <w:rFonts w:ascii="Calibri" w:eastAsia="Calibri" w:hAnsi="Calibri" w:cs="Calibri"/>
          <w:b/>
          <w:bCs/>
          <w:color w:val="1F4E79"/>
          <w:sz w:val="28"/>
          <w:szCs w:val="28"/>
        </w:rPr>
        <w:t>Preempting</w:t>
      </w:r>
      <w:proofErr w:type="spellEnd"/>
      <w:r>
        <w:rPr>
          <w:rFonts w:ascii="Calibri" w:eastAsia="Calibri" w:hAnsi="Calibri" w:cs="Calibri"/>
          <w:b/>
          <w:bCs/>
          <w:color w:val="1F4E79"/>
          <w:sz w:val="28"/>
          <w:szCs w:val="28"/>
        </w:rPr>
        <w:t xml:space="preserve"> the </w:t>
      </w:r>
      <w:proofErr w:type="gramStart"/>
      <w:r>
        <w:rPr>
          <w:rFonts w:ascii="Calibri" w:eastAsia="Calibri" w:hAnsi="Calibri" w:cs="Calibri"/>
          <w:b/>
          <w:bCs/>
          <w:color w:val="1F4E79"/>
          <w:sz w:val="28"/>
          <w:szCs w:val="28"/>
        </w:rPr>
        <w:t>reaction</w:t>
      </w:r>
      <w:proofErr w:type="gramEnd"/>
      <w:r>
        <w:rPr>
          <w:rFonts w:ascii="Calibri" w:eastAsia="Calibri" w:hAnsi="Calibri" w:cs="Calibri"/>
          <w:b/>
          <w:bCs/>
          <w:color w:val="1F4E79"/>
          <w:sz w:val="28"/>
          <w:szCs w:val="28"/>
        </w:rPr>
        <w:t xml:space="preserve"> you will not see</w:t>
      </w:r>
    </w:p>
    <w:p w14:paraId="1728D85A" w14:textId="77777777" w:rsidR="00C861B2" w:rsidRDefault="00000000">
      <w:pPr>
        <w:spacing w:after="120"/>
      </w:pPr>
      <w:r>
        <w:rPr>
          <w:rFonts w:ascii="Calibri" w:eastAsia="Calibri" w:hAnsi="Calibri" w:cs="Calibri"/>
          <w:color w:val="000000"/>
          <w:sz w:val="21"/>
          <w:szCs w:val="21"/>
        </w:rPr>
        <w:t>The circular’s first forty-eight hours happen in a WhatsApp group, not in your office. Parents compare figures before anyone contacts the school. Plan for it:</w:t>
      </w:r>
    </w:p>
    <w:p w14:paraId="1500C326" w14:textId="77777777" w:rsidR="00C861B2" w:rsidRDefault="00000000">
      <w:pPr>
        <w:pStyle w:val="ListParagraph"/>
        <w:numPr>
          <w:ilvl w:val="0"/>
          <w:numId w:val="3"/>
        </w:numPr>
        <w:spacing w:after="100"/>
      </w:pPr>
      <w:r>
        <w:rPr>
          <w:rFonts w:ascii="Calibri" w:eastAsia="Calibri" w:hAnsi="Calibri" w:cs="Calibri"/>
          <w:sz w:val="21"/>
          <w:szCs w:val="21"/>
        </w:rPr>
        <w:t>Every family in the same grade band must receive the identical explanation, in identical words. Inconsistency between two counsellors is discovered within hours and reads as improvisation or favouritism.</w:t>
      </w:r>
    </w:p>
    <w:p w14:paraId="594B4319" w14:textId="77777777" w:rsidR="00C861B2" w:rsidRDefault="00000000">
      <w:pPr>
        <w:pStyle w:val="ListParagraph"/>
        <w:numPr>
          <w:ilvl w:val="0"/>
          <w:numId w:val="3"/>
        </w:numPr>
        <w:spacing w:after="100"/>
      </w:pPr>
      <w:r>
        <w:rPr>
          <w:rFonts w:ascii="Calibri" w:eastAsia="Calibri" w:hAnsi="Calibri" w:cs="Calibri"/>
          <w:sz w:val="21"/>
          <w:szCs w:val="21"/>
        </w:rPr>
        <w:t>Assume every sentence you say will be screenshotted and forwarded. Say nothing you would not put in writing.</w:t>
      </w:r>
    </w:p>
    <w:p w14:paraId="3759FC0F" w14:textId="77777777" w:rsidR="00C861B2" w:rsidRDefault="00000000">
      <w:pPr>
        <w:pStyle w:val="ListParagraph"/>
        <w:numPr>
          <w:ilvl w:val="0"/>
          <w:numId w:val="3"/>
        </w:numPr>
        <w:spacing w:after="100"/>
      </w:pPr>
      <w:r>
        <w:rPr>
          <w:rFonts w:ascii="Calibri" w:eastAsia="Calibri" w:hAnsi="Calibri" w:cs="Calibri"/>
          <w:sz w:val="21"/>
          <w:szCs w:val="21"/>
        </w:rPr>
        <w:t>Multi-child households get contacted first and personally, before the circular lands — they carry the highest exposure and the highest risk of quiet exit.</w:t>
      </w:r>
    </w:p>
    <w:p w14:paraId="1227AD75" w14:textId="77777777" w:rsidR="00C861B2" w:rsidRDefault="00000000">
      <w:pPr>
        <w:pStyle w:val="ListParagraph"/>
        <w:numPr>
          <w:ilvl w:val="0"/>
          <w:numId w:val="3"/>
        </w:numPr>
        <w:spacing w:after="100"/>
      </w:pPr>
      <w:r>
        <w:rPr>
          <w:rFonts w:ascii="Calibri" w:eastAsia="Calibri" w:hAnsi="Calibri" w:cs="Calibri"/>
          <w:sz w:val="21"/>
          <w:szCs w:val="21"/>
        </w:rPr>
        <w:t>Never discuss another family’s discount, scholarship or arrangement, even to reassure. Route every such question to the named senior contact.</w:t>
      </w:r>
    </w:p>
    <w:p w14:paraId="17362B76" w14:textId="77777777" w:rsidR="00C861B2" w:rsidRDefault="00000000">
      <w:pPr>
        <w:pStyle w:val="Heading1"/>
        <w:pBdr>
          <w:bottom w:val="single" w:sz="6" w:space="5" w:color="BFBFBF"/>
        </w:pBdr>
        <w:spacing w:before="320" w:after="140"/>
      </w:pPr>
      <w:r>
        <w:rPr>
          <w:rFonts w:ascii="Calibri" w:eastAsia="Calibri" w:hAnsi="Calibri" w:cs="Calibri"/>
          <w:b/>
          <w:bCs/>
          <w:color w:val="1F4E79"/>
          <w:sz w:val="28"/>
          <w:szCs w:val="28"/>
        </w:rPr>
        <w:t>Nine objections, with the exact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C861B2" w14:paraId="76EEB954" w14:textId="77777777">
        <w:tblPrEx>
          <w:tblCellMar>
            <w:top w:w="0" w:type="dxa"/>
            <w:bottom w:w="0" w:type="dxa"/>
          </w:tblCellMar>
        </w:tblPrEx>
        <w:trPr>
          <w:tblHeader/>
        </w:trPr>
        <w:tc>
          <w:tcPr>
            <w:tcW w:w="3100" w:type="dxa"/>
            <w:shd w:val="clear" w:color="auto" w:fill="1F4E79"/>
            <w:tcMar>
              <w:top w:w="90" w:type="dxa"/>
              <w:left w:w="110" w:type="dxa"/>
              <w:bottom w:w="90" w:type="dxa"/>
              <w:right w:w="110" w:type="dxa"/>
            </w:tcMar>
          </w:tcPr>
          <w:p w14:paraId="142E0C10" w14:textId="77777777" w:rsidR="00C861B2" w:rsidRDefault="00000000">
            <w:r>
              <w:rPr>
                <w:rFonts w:ascii="Calibri" w:eastAsia="Calibri" w:hAnsi="Calibri" w:cs="Calibri"/>
                <w:b/>
                <w:bCs/>
                <w:color w:val="FFFFFF"/>
              </w:rPr>
              <w:t>The parent says…</w:t>
            </w:r>
          </w:p>
        </w:tc>
        <w:tc>
          <w:tcPr>
            <w:tcW w:w="6260" w:type="dxa"/>
            <w:shd w:val="clear" w:color="auto" w:fill="1F4E79"/>
            <w:tcMar>
              <w:top w:w="90" w:type="dxa"/>
              <w:left w:w="110" w:type="dxa"/>
              <w:bottom w:w="90" w:type="dxa"/>
              <w:right w:w="110" w:type="dxa"/>
            </w:tcMar>
          </w:tcPr>
          <w:p w14:paraId="45916C26" w14:textId="77777777" w:rsidR="00C861B2" w:rsidRDefault="00000000">
            <w:r>
              <w:rPr>
                <w:rFonts w:ascii="Calibri" w:eastAsia="Calibri" w:hAnsi="Calibri" w:cs="Calibri"/>
                <w:b/>
                <w:bCs/>
                <w:color w:val="FFFFFF"/>
              </w:rPr>
              <w:t>You say…</w:t>
            </w:r>
          </w:p>
        </w:tc>
      </w:tr>
      <w:tr w:rsidR="00C861B2" w14:paraId="07E212F8" w14:textId="77777777">
        <w:tblPrEx>
          <w:tblCellMar>
            <w:top w:w="0" w:type="dxa"/>
            <w:bottom w:w="0" w:type="dxa"/>
          </w:tblCellMar>
        </w:tblPrEx>
        <w:tc>
          <w:tcPr>
            <w:tcW w:w="3100" w:type="dxa"/>
            <w:tcMar>
              <w:top w:w="90" w:type="dxa"/>
              <w:left w:w="110" w:type="dxa"/>
              <w:bottom w:w="90" w:type="dxa"/>
              <w:right w:w="110" w:type="dxa"/>
            </w:tcMar>
          </w:tcPr>
          <w:p w14:paraId="3F48CF51" w14:textId="77777777" w:rsidR="00C861B2" w:rsidRDefault="00000000">
            <w:r>
              <w:rPr>
                <w:rFonts w:ascii="Calibri" w:eastAsia="Calibri" w:hAnsi="Calibri" w:cs="Calibri"/>
                <w:color w:val="000000"/>
              </w:rPr>
              <w:t>“Last year was 10%, not 13%.”</w:t>
            </w:r>
          </w:p>
        </w:tc>
        <w:tc>
          <w:tcPr>
            <w:tcW w:w="6260" w:type="dxa"/>
            <w:tcMar>
              <w:top w:w="90" w:type="dxa"/>
              <w:left w:w="110" w:type="dxa"/>
              <w:bottom w:w="90" w:type="dxa"/>
              <w:right w:w="110" w:type="dxa"/>
            </w:tcMar>
          </w:tcPr>
          <w:p w14:paraId="67461D61" w14:textId="77777777" w:rsidR="00C861B2" w:rsidRDefault="00000000">
            <w:r>
              <w:rPr>
                <w:rFonts w:ascii="Calibri" w:eastAsia="Calibri" w:hAnsi="Calibri" w:cs="Calibri"/>
                <w:color w:val="000000"/>
              </w:rPr>
              <w:t xml:space="preserve">“Let me check that against your actual circular rather than argue from memory — mine or yours. I will come back to you with the exact figure by </w:t>
            </w:r>
            <w:r>
              <w:rPr>
                <w:rFonts w:ascii="Calibri" w:eastAsia="Calibri" w:hAnsi="Calibri" w:cs="Calibri"/>
                <w:color w:val="000000"/>
              </w:rPr>
              <w:lastRenderedPageBreak/>
              <w:t>tomorrow.” Then do it. Never defend a baseline number you have not verified for that family.</w:t>
            </w:r>
          </w:p>
        </w:tc>
      </w:tr>
      <w:tr w:rsidR="00C861B2" w14:paraId="3239113A" w14:textId="77777777">
        <w:tblPrEx>
          <w:tblCellMar>
            <w:top w:w="0" w:type="dxa"/>
            <w:bottom w:w="0" w:type="dxa"/>
          </w:tblCellMar>
        </w:tblPrEx>
        <w:tc>
          <w:tcPr>
            <w:tcW w:w="3100" w:type="dxa"/>
            <w:tcMar>
              <w:top w:w="90" w:type="dxa"/>
              <w:left w:w="110" w:type="dxa"/>
              <w:bottom w:w="90" w:type="dxa"/>
              <w:right w:w="110" w:type="dxa"/>
            </w:tcMar>
          </w:tcPr>
          <w:p w14:paraId="06FE69D2" w14:textId="77777777" w:rsidR="00C861B2" w:rsidRDefault="00000000">
            <w:r>
              <w:rPr>
                <w:rFonts w:ascii="Calibri" w:eastAsia="Calibri" w:hAnsi="Calibri" w:cs="Calibri"/>
                <w:color w:val="000000"/>
              </w:rPr>
              <w:lastRenderedPageBreak/>
              <w:t>“A lakh, in his board year. You know I can’t move him.”</w:t>
            </w:r>
          </w:p>
        </w:tc>
        <w:tc>
          <w:tcPr>
            <w:tcW w:w="6260" w:type="dxa"/>
            <w:tcMar>
              <w:top w:w="90" w:type="dxa"/>
              <w:left w:w="110" w:type="dxa"/>
              <w:bottom w:w="90" w:type="dxa"/>
              <w:right w:w="110" w:type="dxa"/>
            </w:tcMar>
          </w:tcPr>
          <w:p w14:paraId="692E59D4" w14:textId="77777777" w:rsidR="00C861B2" w:rsidRDefault="00000000">
            <w:r>
              <w:rPr>
                <w:rFonts w:ascii="Calibri" w:eastAsia="Calibri" w:hAnsi="Calibri" w:cs="Calibri"/>
                <w:color w:val="000000"/>
              </w:rPr>
              <w:t>“I would have the same thought in your position, so let me put the arithmetic on the table rather than ask you to trust me. It is the identical percentage every Grade 1 family is paying. The rupee figure is larger only because his base fee is larger. And of that ₹80,000, ₹52,000 is the increase you would have seen in any year — the genuinely new ask on him is ₹28,000.”</w:t>
            </w:r>
          </w:p>
        </w:tc>
      </w:tr>
      <w:tr w:rsidR="00C861B2" w14:paraId="1E28E65D" w14:textId="77777777">
        <w:tblPrEx>
          <w:tblCellMar>
            <w:top w:w="0" w:type="dxa"/>
            <w:bottom w:w="0" w:type="dxa"/>
          </w:tblCellMar>
        </w:tblPrEx>
        <w:tc>
          <w:tcPr>
            <w:tcW w:w="3100" w:type="dxa"/>
            <w:tcMar>
              <w:top w:w="90" w:type="dxa"/>
              <w:left w:w="110" w:type="dxa"/>
              <w:bottom w:w="90" w:type="dxa"/>
              <w:right w:w="110" w:type="dxa"/>
            </w:tcMar>
          </w:tcPr>
          <w:p w14:paraId="5256B789" w14:textId="77777777" w:rsidR="00C861B2" w:rsidRDefault="00000000">
            <w:r>
              <w:rPr>
                <w:rFonts w:ascii="Calibri" w:eastAsia="Calibri" w:hAnsi="Calibri" w:cs="Calibri"/>
                <w:color w:val="000000"/>
              </w:rPr>
              <w:t>“Fine, but what actually changes for HIM this year? He leaves in eighteen months.”</w:t>
            </w:r>
          </w:p>
        </w:tc>
        <w:tc>
          <w:tcPr>
            <w:tcW w:w="6260" w:type="dxa"/>
            <w:tcMar>
              <w:top w:w="90" w:type="dxa"/>
              <w:left w:w="110" w:type="dxa"/>
              <w:bottom w:w="90" w:type="dxa"/>
              <w:right w:w="110" w:type="dxa"/>
            </w:tcMar>
          </w:tcPr>
          <w:p w14:paraId="63CBD7F6" w14:textId="77777777" w:rsidR="00C861B2" w:rsidRDefault="00000000">
            <w:r>
              <w:rPr>
                <w:rFonts w:ascii="Calibri" w:eastAsia="Calibri" w:hAnsi="Calibri" w:cs="Calibri"/>
                <w:color w:val="000000"/>
              </w:rPr>
              <w:t>“Four things, all inside this academic year: external judges from outside HLC at Knowledge Fair and Shark Tank, so his work carries a benchmark a college can read; the External Expert Engagement Series mapped to his subject combination; the alumni mentor network for his applications; and deeper college counselling and LOR work. If any of those four does not happen this year, come back to me directly.”</w:t>
            </w:r>
          </w:p>
        </w:tc>
      </w:tr>
      <w:tr w:rsidR="00C861B2" w14:paraId="0612052F" w14:textId="77777777">
        <w:tblPrEx>
          <w:tblCellMar>
            <w:top w:w="0" w:type="dxa"/>
            <w:bottom w:w="0" w:type="dxa"/>
          </w:tblCellMar>
        </w:tblPrEx>
        <w:tc>
          <w:tcPr>
            <w:tcW w:w="3100" w:type="dxa"/>
            <w:tcMar>
              <w:top w:w="90" w:type="dxa"/>
              <w:left w:w="110" w:type="dxa"/>
              <w:bottom w:w="90" w:type="dxa"/>
              <w:right w:w="110" w:type="dxa"/>
            </w:tcMar>
          </w:tcPr>
          <w:p w14:paraId="221A4A24" w14:textId="77777777" w:rsidR="00C861B2" w:rsidRDefault="00000000">
            <w:r>
              <w:rPr>
                <w:rFonts w:ascii="Calibri" w:eastAsia="Calibri" w:hAnsi="Calibri" w:cs="Calibri"/>
                <w:color w:val="000000"/>
              </w:rPr>
              <w:t>“So next year it will be 20% again.”</w:t>
            </w:r>
          </w:p>
        </w:tc>
        <w:tc>
          <w:tcPr>
            <w:tcW w:w="6260" w:type="dxa"/>
            <w:tcMar>
              <w:top w:w="90" w:type="dxa"/>
              <w:left w:w="110" w:type="dxa"/>
              <w:bottom w:w="90" w:type="dxa"/>
              <w:right w:w="110" w:type="dxa"/>
            </w:tcMar>
          </w:tcPr>
          <w:p w14:paraId="659AFE13" w14:textId="77777777" w:rsidR="00C861B2" w:rsidRDefault="00000000">
            <w:r>
              <w:rPr>
                <w:rFonts w:ascii="Calibri" w:eastAsia="Calibri" w:hAnsi="Calibri" w:cs="Calibri"/>
                <w:color w:val="000000"/>
              </w:rPr>
              <w:t>“No. The 7% is for this year and this purpose only. From next year we return to the usual annual increase. And to be precise, because parents have misheard this: returning to normal means the rate goes back to normal. It does not mean this year’s fee comes down.”</w:t>
            </w:r>
          </w:p>
        </w:tc>
      </w:tr>
      <w:tr w:rsidR="00C861B2" w14:paraId="0EF1890C" w14:textId="77777777">
        <w:tblPrEx>
          <w:tblCellMar>
            <w:top w:w="0" w:type="dxa"/>
            <w:bottom w:w="0" w:type="dxa"/>
          </w:tblCellMar>
        </w:tblPrEx>
        <w:tc>
          <w:tcPr>
            <w:tcW w:w="3100" w:type="dxa"/>
            <w:tcMar>
              <w:top w:w="90" w:type="dxa"/>
              <w:left w:w="110" w:type="dxa"/>
              <w:bottom w:w="90" w:type="dxa"/>
              <w:right w:w="110" w:type="dxa"/>
            </w:tcMar>
          </w:tcPr>
          <w:p w14:paraId="7C5D8D39" w14:textId="77777777" w:rsidR="00C861B2" w:rsidRDefault="00000000">
            <w:r>
              <w:rPr>
                <w:rFonts w:ascii="Calibri" w:eastAsia="Calibri" w:hAnsi="Calibri" w:cs="Calibri"/>
                <w:color w:val="000000"/>
              </w:rPr>
              <w:t>“Can you stagger it over two terms?”</w:t>
            </w:r>
          </w:p>
        </w:tc>
        <w:tc>
          <w:tcPr>
            <w:tcW w:w="6260" w:type="dxa"/>
            <w:tcMar>
              <w:top w:w="90" w:type="dxa"/>
              <w:left w:w="110" w:type="dxa"/>
              <w:bottom w:w="90" w:type="dxa"/>
              <w:right w:w="110" w:type="dxa"/>
            </w:tcMar>
          </w:tcPr>
          <w:p w14:paraId="2BFFC9E8" w14:textId="77777777" w:rsidR="00C861B2" w:rsidRDefault="00000000">
            <w:r>
              <w:rPr>
                <w:rFonts w:ascii="Calibri" w:eastAsia="Calibri" w:hAnsi="Calibri" w:cs="Calibri"/>
                <w:color w:val="000000"/>
              </w:rPr>
              <w:t>“Let me take that to [named senior contact] rather than answer it at the gate. There is a private channel for families who need to discuss payment, and it is handled one-to-one, not through the office.” Do not promise an instalment. Do not describe the 75% rule. Route it.</w:t>
            </w:r>
          </w:p>
        </w:tc>
      </w:tr>
      <w:tr w:rsidR="00C861B2" w14:paraId="53259CA4" w14:textId="77777777">
        <w:tblPrEx>
          <w:tblCellMar>
            <w:top w:w="0" w:type="dxa"/>
            <w:bottom w:w="0" w:type="dxa"/>
          </w:tblCellMar>
        </w:tblPrEx>
        <w:tc>
          <w:tcPr>
            <w:tcW w:w="3100" w:type="dxa"/>
            <w:tcMar>
              <w:top w:w="90" w:type="dxa"/>
              <w:left w:w="110" w:type="dxa"/>
              <w:bottom w:w="90" w:type="dxa"/>
              <w:right w:w="110" w:type="dxa"/>
            </w:tcMar>
          </w:tcPr>
          <w:p w14:paraId="63235AF0" w14:textId="77777777" w:rsidR="00C861B2" w:rsidRDefault="00000000">
            <w:r>
              <w:rPr>
                <w:rFonts w:ascii="Calibri" w:eastAsia="Calibri" w:hAnsi="Calibri" w:cs="Calibri"/>
                <w:color w:val="000000"/>
              </w:rPr>
              <w:t>“I have two children here. Does that count for anything?”</w:t>
            </w:r>
          </w:p>
        </w:tc>
        <w:tc>
          <w:tcPr>
            <w:tcW w:w="6260" w:type="dxa"/>
            <w:tcMar>
              <w:top w:w="90" w:type="dxa"/>
              <w:left w:w="110" w:type="dxa"/>
              <w:bottom w:w="90" w:type="dxa"/>
              <w:right w:w="110" w:type="dxa"/>
            </w:tcMar>
          </w:tcPr>
          <w:p w14:paraId="5E649143" w14:textId="77777777" w:rsidR="00C861B2" w:rsidRDefault="00000000">
            <w:r>
              <w:rPr>
                <w:rFonts w:ascii="Calibri" w:eastAsia="Calibri" w:hAnsi="Calibri" w:cs="Calibri"/>
                <w:color w:val="000000"/>
              </w:rPr>
              <w:t>“Yes, and this is the part I most want you to hear. There is a sibling benefit on the increase, and it runs for as long as both children stay with us — not one year. It is not a concession on this hike; it is a standing arrangement for your family.”</w:t>
            </w:r>
          </w:p>
        </w:tc>
      </w:tr>
      <w:tr w:rsidR="00C861B2" w14:paraId="18DAF086" w14:textId="77777777">
        <w:tblPrEx>
          <w:tblCellMar>
            <w:top w:w="0" w:type="dxa"/>
            <w:bottom w:w="0" w:type="dxa"/>
          </w:tblCellMar>
        </w:tblPrEx>
        <w:tc>
          <w:tcPr>
            <w:tcW w:w="3100" w:type="dxa"/>
            <w:tcMar>
              <w:top w:w="90" w:type="dxa"/>
              <w:left w:w="110" w:type="dxa"/>
              <w:bottom w:w="90" w:type="dxa"/>
              <w:right w:w="110" w:type="dxa"/>
            </w:tcMar>
          </w:tcPr>
          <w:p w14:paraId="64F72F98" w14:textId="77777777" w:rsidR="00C861B2" w:rsidRDefault="00000000">
            <w:r>
              <w:rPr>
                <w:rFonts w:ascii="Calibri" w:eastAsia="Calibri" w:hAnsi="Calibri" w:cs="Calibri"/>
                <w:color w:val="000000"/>
              </w:rPr>
              <w:t>“What is this actually funding? Don’t say infrastructure.”</w:t>
            </w:r>
          </w:p>
        </w:tc>
        <w:tc>
          <w:tcPr>
            <w:tcW w:w="6260" w:type="dxa"/>
            <w:tcMar>
              <w:top w:w="90" w:type="dxa"/>
              <w:left w:w="110" w:type="dxa"/>
              <w:bottom w:w="90" w:type="dxa"/>
              <w:right w:w="110" w:type="dxa"/>
            </w:tcMar>
          </w:tcPr>
          <w:p w14:paraId="79E9C942" w14:textId="77777777" w:rsidR="00C861B2" w:rsidRDefault="00000000">
            <w:r>
              <w:rPr>
                <w:rFonts w:ascii="Calibri" w:eastAsia="Calibri" w:hAnsi="Calibri" w:cs="Calibri"/>
                <w:color w:val="000000"/>
              </w:rPr>
              <w:t>“I won’t, because it isn’t. Teacher training in assessment design, an external expert calendar, external judges at showcases, the Learning Story notes, and protected time to write them. If you want, I will show you the line-by-line sheet for your daughter’s grade band.”</w:t>
            </w:r>
          </w:p>
        </w:tc>
      </w:tr>
      <w:tr w:rsidR="00C861B2" w14:paraId="6306D742" w14:textId="77777777">
        <w:tblPrEx>
          <w:tblCellMar>
            <w:top w:w="0" w:type="dxa"/>
            <w:bottom w:w="0" w:type="dxa"/>
          </w:tblCellMar>
        </w:tblPrEx>
        <w:tc>
          <w:tcPr>
            <w:tcW w:w="3100" w:type="dxa"/>
            <w:tcMar>
              <w:top w:w="90" w:type="dxa"/>
              <w:left w:w="110" w:type="dxa"/>
              <w:bottom w:w="90" w:type="dxa"/>
              <w:right w:w="110" w:type="dxa"/>
            </w:tcMar>
          </w:tcPr>
          <w:p w14:paraId="224A0EC9" w14:textId="77777777" w:rsidR="00C861B2" w:rsidRDefault="00000000">
            <w:r>
              <w:rPr>
                <w:rFonts w:ascii="Calibri" w:eastAsia="Calibri" w:hAnsi="Calibri" w:cs="Calibri"/>
                <w:color w:val="000000"/>
              </w:rPr>
              <w:t>“Some of us are thinking of writing jointly to the management.”</w:t>
            </w:r>
          </w:p>
        </w:tc>
        <w:tc>
          <w:tcPr>
            <w:tcW w:w="6260" w:type="dxa"/>
            <w:tcMar>
              <w:top w:w="90" w:type="dxa"/>
              <w:left w:w="110" w:type="dxa"/>
              <w:bottom w:w="90" w:type="dxa"/>
              <w:right w:w="110" w:type="dxa"/>
            </w:tcMar>
          </w:tcPr>
          <w:p w14:paraId="0E260126" w14:textId="77777777" w:rsidR="00C861B2" w:rsidRDefault="00000000">
            <w:r>
              <w:rPr>
                <w:rFonts w:ascii="Calibri" w:eastAsia="Calibri" w:hAnsi="Calibri" w:cs="Calibri"/>
                <w:color w:val="000000"/>
              </w:rPr>
              <w:t>“That is entirely your right, and I will make sure it reaches [named senior contact] the same day. I would still rather answer your three questions first, today, and let you decide afterwards.” Then report it internally the same day. Never discourage it, never appear rattled.</w:t>
            </w:r>
          </w:p>
        </w:tc>
      </w:tr>
      <w:tr w:rsidR="00C861B2" w14:paraId="29E6FFC8" w14:textId="77777777">
        <w:tblPrEx>
          <w:tblCellMar>
            <w:top w:w="0" w:type="dxa"/>
            <w:bottom w:w="0" w:type="dxa"/>
          </w:tblCellMar>
        </w:tblPrEx>
        <w:tc>
          <w:tcPr>
            <w:tcW w:w="3100" w:type="dxa"/>
            <w:tcMar>
              <w:top w:w="90" w:type="dxa"/>
              <w:left w:w="110" w:type="dxa"/>
              <w:bottom w:w="90" w:type="dxa"/>
              <w:right w:w="110" w:type="dxa"/>
            </w:tcMar>
          </w:tcPr>
          <w:p w14:paraId="187CF19F" w14:textId="77777777" w:rsidR="00C861B2" w:rsidRDefault="00000000">
            <w:r>
              <w:rPr>
                <w:rFonts w:ascii="Calibri" w:eastAsia="Calibri" w:hAnsi="Calibri" w:cs="Calibri"/>
                <w:color w:val="000000"/>
              </w:rPr>
              <w:t>“The CBSE school two streets away costs a third of this.”</w:t>
            </w:r>
          </w:p>
        </w:tc>
        <w:tc>
          <w:tcPr>
            <w:tcW w:w="6260" w:type="dxa"/>
            <w:tcMar>
              <w:top w:w="90" w:type="dxa"/>
              <w:left w:w="110" w:type="dxa"/>
              <w:bottom w:w="90" w:type="dxa"/>
              <w:right w:w="110" w:type="dxa"/>
            </w:tcMar>
          </w:tcPr>
          <w:p w14:paraId="0C4E10CB" w14:textId="77777777" w:rsidR="00C861B2" w:rsidRDefault="00000000">
            <w:r>
              <w:rPr>
                <w:rFonts w:ascii="Calibri" w:eastAsia="Calibri" w:hAnsi="Calibri" w:cs="Calibri"/>
                <w:color w:val="000000"/>
              </w:rPr>
              <w:t>“It does, and on price that comparison is already over — we cannot win it and I will not pretend otherwise. What that school cannot do is tell you the names of the three adults who track your daughter. Can I give you those three names now?”</w:t>
            </w:r>
          </w:p>
        </w:tc>
      </w:tr>
    </w:tbl>
    <w:p w14:paraId="1DEF72CD" w14:textId="77777777" w:rsidR="00C861B2" w:rsidRDefault="00C861B2">
      <w:pPr>
        <w:spacing w:after="180"/>
      </w:pPr>
    </w:p>
    <w:p w14:paraId="0613DF78" w14:textId="77777777" w:rsidR="00C861B2" w:rsidRDefault="00000000">
      <w:pPr>
        <w:pStyle w:val="Heading1"/>
        <w:pBdr>
          <w:bottom w:val="single" w:sz="6" w:space="5" w:color="BFBFBF"/>
        </w:pBdr>
        <w:spacing w:before="320" w:after="140"/>
      </w:pPr>
      <w:r>
        <w:rPr>
          <w:rFonts w:ascii="Calibri" w:eastAsia="Calibri" w:hAnsi="Calibri" w:cs="Calibri"/>
          <w:b/>
          <w:bCs/>
          <w:color w:val="1F4E79"/>
          <w:sz w:val="28"/>
          <w:szCs w:val="28"/>
        </w:rPr>
        <w:t>Six sentences that must never be said</w:t>
      </w:r>
    </w:p>
    <w:p w14:paraId="4370AC86" w14:textId="77777777" w:rsidR="00C861B2" w:rsidRDefault="00000000">
      <w:pPr>
        <w:pStyle w:val="ListParagraph"/>
        <w:numPr>
          <w:ilvl w:val="0"/>
          <w:numId w:val="3"/>
        </w:numPr>
        <w:spacing w:after="100"/>
      </w:pPr>
      <w:r>
        <w:rPr>
          <w:rFonts w:ascii="Calibri" w:eastAsia="Calibri" w:hAnsi="Calibri" w:cs="Calibri"/>
          <w:b/>
          <w:bCs/>
          <w:color w:val="000000"/>
          <w:sz w:val="21"/>
          <w:szCs w:val="21"/>
        </w:rPr>
        <w:t xml:space="preserve">“Inflation.” “Rising costs.” “Infrastructure.” </w:t>
      </w:r>
      <w:r>
        <w:rPr>
          <w:rFonts w:ascii="Calibri" w:eastAsia="Calibri" w:hAnsi="Calibri" w:cs="Calibri"/>
          <w:color w:val="000000"/>
          <w:sz w:val="21"/>
          <w:szCs w:val="21"/>
        </w:rPr>
        <w:t>A vague answer is the documented trigger for joint representations in this city. Specific or nothing.</w:t>
      </w:r>
    </w:p>
    <w:p w14:paraId="549777C8" w14:textId="77777777" w:rsidR="00C861B2" w:rsidRDefault="00000000">
      <w:pPr>
        <w:pStyle w:val="ListParagraph"/>
        <w:numPr>
          <w:ilvl w:val="0"/>
          <w:numId w:val="3"/>
        </w:numPr>
        <w:spacing w:after="100"/>
      </w:pPr>
      <w:r>
        <w:rPr>
          <w:rFonts w:ascii="Calibri" w:eastAsia="Calibri" w:hAnsi="Calibri" w:cs="Calibri"/>
          <w:b/>
          <w:bCs/>
          <w:color w:val="000000"/>
          <w:sz w:val="21"/>
          <w:szCs w:val="21"/>
        </w:rPr>
        <w:t xml:space="preserve">“Every school is increasing fees this year.” </w:t>
      </w:r>
      <w:r>
        <w:rPr>
          <w:rFonts w:ascii="Calibri" w:eastAsia="Calibri" w:hAnsi="Calibri" w:cs="Calibri"/>
          <w:color w:val="000000"/>
          <w:sz w:val="21"/>
          <w:szCs w:val="21"/>
        </w:rPr>
        <w:t>It invites the parent to go and check what every other school actually did.</w:t>
      </w:r>
    </w:p>
    <w:p w14:paraId="51DB0B19" w14:textId="77777777" w:rsidR="00C861B2" w:rsidRDefault="00000000">
      <w:pPr>
        <w:pStyle w:val="ListParagraph"/>
        <w:numPr>
          <w:ilvl w:val="0"/>
          <w:numId w:val="3"/>
        </w:numPr>
        <w:spacing w:after="100"/>
      </w:pPr>
      <w:r>
        <w:rPr>
          <w:rFonts w:ascii="Calibri" w:eastAsia="Calibri" w:hAnsi="Calibri" w:cs="Calibri"/>
          <w:b/>
          <w:bCs/>
          <w:color w:val="000000"/>
          <w:sz w:val="21"/>
          <w:szCs w:val="21"/>
        </w:rPr>
        <w:t xml:space="preserve">Any rupee figure without its percentage beside it. </w:t>
      </w:r>
      <w:r>
        <w:rPr>
          <w:rFonts w:ascii="Calibri" w:eastAsia="Calibri" w:hAnsi="Calibri" w:cs="Calibri"/>
          <w:color w:val="000000"/>
          <w:sz w:val="21"/>
          <w:szCs w:val="21"/>
        </w:rPr>
        <w:t>Especially in Grades 9–12.</w:t>
      </w:r>
    </w:p>
    <w:p w14:paraId="5B4596F2" w14:textId="77777777" w:rsidR="00C861B2" w:rsidRDefault="00000000">
      <w:pPr>
        <w:pStyle w:val="ListParagraph"/>
        <w:numPr>
          <w:ilvl w:val="0"/>
          <w:numId w:val="3"/>
        </w:numPr>
        <w:spacing w:after="100"/>
      </w:pPr>
      <w:r>
        <w:rPr>
          <w:rFonts w:ascii="Calibri" w:eastAsia="Calibri" w:hAnsi="Calibri" w:cs="Calibri"/>
          <w:b/>
          <w:bCs/>
          <w:color w:val="000000"/>
          <w:sz w:val="21"/>
          <w:szCs w:val="21"/>
        </w:rPr>
        <w:lastRenderedPageBreak/>
        <w:t xml:space="preserve">“You are of course free to consider other options.” </w:t>
      </w:r>
      <w:r>
        <w:rPr>
          <w:rFonts w:ascii="Calibri" w:eastAsia="Calibri" w:hAnsi="Calibri" w:cs="Calibri"/>
          <w:color w:val="000000"/>
          <w:sz w:val="21"/>
          <w:szCs w:val="21"/>
        </w:rPr>
        <w:t>Never, in any tone, to any parent, under any provocation.</w:t>
      </w:r>
    </w:p>
    <w:p w14:paraId="17BCAC17" w14:textId="77777777" w:rsidR="00C861B2" w:rsidRDefault="00000000">
      <w:pPr>
        <w:pStyle w:val="ListParagraph"/>
        <w:numPr>
          <w:ilvl w:val="0"/>
          <w:numId w:val="3"/>
        </w:numPr>
        <w:spacing w:after="100"/>
      </w:pPr>
      <w:r>
        <w:rPr>
          <w:rFonts w:ascii="Calibri" w:eastAsia="Calibri" w:hAnsi="Calibri" w:cs="Calibri"/>
          <w:b/>
          <w:bCs/>
          <w:color w:val="000000"/>
          <w:sz w:val="21"/>
          <w:szCs w:val="21"/>
        </w:rPr>
        <w:t xml:space="preserve">“Don’t worry, we can work something out.” </w:t>
      </w:r>
      <w:r>
        <w:rPr>
          <w:rFonts w:ascii="Calibri" w:eastAsia="Calibri" w:hAnsi="Calibri" w:cs="Calibri"/>
          <w:color w:val="000000"/>
          <w:sz w:val="21"/>
          <w:szCs w:val="21"/>
        </w:rPr>
        <w:t>You are not authorised to. Route it and say you are routing it.</w:t>
      </w:r>
    </w:p>
    <w:p w14:paraId="3C22B098" w14:textId="77777777" w:rsidR="00C861B2" w:rsidRDefault="00000000">
      <w:pPr>
        <w:pStyle w:val="ListParagraph"/>
        <w:numPr>
          <w:ilvl w:val="0"/>
          <w:numId w:val="3"/>
        </w:numPr>
        <w:spacing w:after="100"/>
      </w:pPr>
      <w:r>
        <w:rPr>
          <w:rFonts w:ascii="Calibri" w:eastAsia="Calibri" w:hAnsi="Calibri" w:cs="Calibri"/>
          <w:b/>
          <w:bCs/>
          <w:color w:val="000000"/>
          <w:sz w:val="21"/>
          <w:szCs w:val="21"/>
        </w:rPr>
        <w:t xml:space="preserve">“The fee will come down next year.” </w:t>
      </w:r>
      <w:r>
        <w:rPr>
          <w:rFonts w:ascii="Calibri" w:eastAsia="Calibri" w:hAnsi="Calibri" w:cs="Calibri"/>
          <w:color w:val="000000"/>
          <w:sz w:val="21"/>
          <w:szCs w:val="21"/>
        </w:rPr>
        <w:t>It will not. The rate of increase returns to normal. Saying anything looser than that is a promise the school will be held to.</w:t>
      </w:r>
    </w:p>
    <w:p w14:paraId="19DD8094" w14:textId="77777777" w:rsidR="00C861B2" w:rsidRDefault="00000000">
      <w:pPr>
        <w:pStyle w:val="Heading1"/>
        <w:pBdr>
          <w:bottom w:val="single" w:sz="6" w:space="5" w:color="BFBFBF"/>
        </w:pBdr>
        <w:spacing w:before="320" w:after="140"/>
      </w:pPr>
      <w:r>
        <w:rPr>
          <w:rFonts w:ascii="Calibri" w:eastAsia="Calibri" w:hAnsi="Calibri" w:cs="Calibri"/>
          <w:b/>
          <w:bCs/>
          <w:color w:val="1F4E79"/>
          <w:sz w:val="28"/>
          <w:szCs w:val="28"/>
        </w:rPr>
        <w:t>Report the same day</w:t>
      </w:r>
    </w:p>
    <w:p w14:paraId="619A5A92" w14:textId="77777777" w:rsidR="00C861B2" w:rsidRDefault="00000000">
      <w:pPr>
        <w:spacing w:after="120"/>
      </w:pPr>
      <w:r>
        <w:rPr>
          <w:rFonts w:ascii="Calibri" w:eastAsia="Calibri" w:hAnsi="Calibri" w:cs="Calibri"/>
          <w:color w:val="000000"/>
          <w:sz w:val="21"/>
          <w:szCs w:val="21"/>
        </w:rPr>
        <w:t>Any of these goes to the named senior contact before you go home — not at the end of the week:</w:t>
      </w:r>
    </w:p>
    <w:p w14:paraId="5E9CDC48" w14:textId="77777777" w:rsidR="00C861B2" w:rsidRDefault="00000000">
      <w:pPr>
        <w:pStyle w:val="ListParagraph"/>
        <w:numPr>
          <w:ilvl w:val="0"/>
          <w:numId w:val="3"/>
        </w:numPr>
        <w:spacing w:after="100"/>
      </w:pPr>
      <w:r>
        <w:rPr>
          <w:rFonts w:ascii="Calibri" w:eastAsia="Calibri" w:hAnsi="Calibri" w:cs="Calibri"/>
          <w:sz w:val="21"/>
          <w:szCs w:val="21"/>
        </w:rPr>
        <w:t>Any mention of “some of us,” a joint letter, or a group of parents.</w:t>
      </w:r>
    </w:p>
    <w:p w14:paraId="42BBAFC4" w14:textId="77777777" w:rsidR="00C861B2" w:rsidRDefault="00000000">
      <w:pPr>
        <w:pStyle w:val="ListParagraph"/>
        <w:numPr>
          <w:ilvl w:val="0"/>
          <w:numId w:val="3"/>
        </w:numPr>
        <w:spacing w:after="100"/>
      </w:pPr>
      <w:r>
        <w:rPr>
          <w:rFonts w:ascii="Calibri" w:eastAsia="Calibri" w:hAnsi="Calibri" w:cs="Calibri"/>
          <w:sz w:val="21"/>
          <w:szCs w:val="21"/>
        </w:rPr>
        <w:t>Any enquiry about Transfer Certificate timelines, however casual.</w:t>
      </w:r>
    </w:p>
    <w:p w14:paraId="3552C47A" w14:textId="77777777" w:rsidR="00C861B2" w:rsidRDefault="00000000">
      <w:pPr>
        <w:pStyle w:val="ListParagraph"/>
        <w:numPr>
          <w:ilvl w:val="0"/>
          <w:numId w:val="3"/>
        </w:numPr>
        <w:spacing w:after="100"/>
      </w:pPr>
      <w:r>
        <w:rPr>
          <w:rFonts w:ascii="Calibri" w:eastAsia="Calibri" w:hAnsi="Calibri" w:cs="Calibri"/>
          <w:sz w:val="21"/>
          <w:szCs w:val="21"/>
        </w:rPr>
        <w:t>Any multi-child family that leaves the conversation still feeling the senior grade was targeted — the older child will stay and the younger one will quietly be priced elsewhere.</w:t>
      </w:r>
    </w:p>
    <w:p w14:paraId="434840BB" w14:textId="77777777" w:rsidR="00C861B2" w:rsidRDefault="00000000">
      <w:pPr>
        <w:pStyle w:val="ListParagraph"/>
        <w:numPr>
          <w:ilvl w:val="0"/>
          <w:numId w:val="3"/>
        </w:numPr>
        <w:spacing w:after="100"/>
      </w:pPr>
      <w:r>
        <w:rPr>
          <w:rFonts w:ascii="Calibri" w:eastAsia="Calibri" w:hAnsi="Calibri" w:cs="Calibri"/>
          <w:sz w:val="21"/>
          <w:szCs w:val="21"/>
        </w:rPr>
        <w:t>Any question you could not answer. An unanswered question that reaches the WhatsApp group before the school’s answer does is worth more damage than the question itself.</w:t>
      </w:r>
    </w:p>
    <w:p w14:paraId="45E8198E" w14:textId="77777777" w:rsidR="00C861B2" w:rsidRDefault="00000000">
      <w:pPr>
        <w:pStyle w:val="Heading1"/>
        <w:pBdr>
          <w:bottom w:val="single" w:sz="6" w:space="5" w:color="BFBFBF"/>
        </w:pBdr>
        <w:spacing w:before="320" w:after="140"/>
      </w:pPr>
      <w:r>
        <w:rPr>
          <w:rFonts w:ascii="Calibri" w:eastAsia="Calibri" w:hAnsi="Calibri" w:cs="Calibri"/>
          <w:b/>
          <w:bCs/>
          <w:color w:val="1F4E79"/>
          <w:sz w:val="28"/>
          <w:szCs w:val="28"/>
        </w:rPr>
        <w:t>The two-minute version</w:t>
      </w:r>
    </w:p>
    <w:p w14:paraId="74292B55" w14:textId="77777777" w:rsidR="00C861B2" w:rsidRDefault="00000000">
      <w:pPr>
        <w:spacing w:after="90"/>
      </w:pPr>
      <w:r>
        <w:rPr>
          <w:rFonts w:ascii="Calibri" w:eastAsia="Calibri" w:hAnsi="Calibri" w:cs="Calibri"/>
          <w:color w:val="000000"/>
          <w:sz w:val="21"/>
          <w:szCs w:val="21"/>
        </w:rPr>
        <w:t>If a parent stops you at pickup and you have two minutes:</w:t>
      </w:r>
    </w:p>
    <w:p w14:paraId="6A705868" w14:textId="77777777" w:rsidR="00C861B2" w:rsidRDefault="00000000">
      <w:pPr>
        <w:pBdr>
          <w:left w:val="single" w:sz="12" w:space="9" w:color="1F4E79"/>
        </w:pBdr>
        <w:spacing w:after="120"/>
        <w:ind w:left="403"/>
      </w:pPr>
      <w:r>
        <w:rPr>
          <w:rFonts w:ascii="Calibri" w:eastAsia="Calibri" w:hAnsi="Calibri" w:cs="Calibri"/>
          <w:sz w:val="21"/>
          <w:szCs w:val="21"/>
        </w:rPr>
        <w:t>“The percentage is the same for every child in the school — yours, mine, Grade 1 to Grade 12. Most of it is the annual increase you have seen before. Seven per cent is new, it is for this year only, and it funds a specific list I can show you. If you have two children here, there is a sibling benefit that runs for as long as they are both with us. And some of what it pays for has already started — you saw it at the exhibition. Come and see me properly this week and I will take you through your own two numbers.”</w:t>
      </w:r>
    </w:p>
    <w:p w14:paraId="72FC89C9" w14:textId="77777777" w:rsidR="00C861B2" w:rsidRDefault="00000000">
      <w:pPr>
        <w:pStyle w:val="Heading1"/>
        <w:pBdr>
          <w:bottom w:val="single" w:sz="6" w:space="5" w:color="BFBFBF"/>
        </w:pBdr>
        <w:spacing w:before="320" w:after="140"/>
      </w:pPr>
      <w:r>
        <w:rPr>
          <w:rFonts w:ascii="Calibri" w:eastAsia="Calibri" w:hAnsi="Calibri" w:cs="Calibri"/>
          <w:b/>
          <w:bCs/>
          <w:color w:val="1F4E79"/>
          <w:sz w:val="28"/>
          <w:szCs w:val="28"/>
        </w:rPr>
        <w:t>Source note</w:t>
      </w:r>
    </w:p>
    <w:p w14:paraId="5D3ED576" w14:textId="77777777" w:rsidR="00C861B2" w:rsidRDefault="00000000">
      <w:pPr>
        <w:spacing w:after="120"/>
      </w:pPr>
      <w:r>
        <w:rPr>
          <w:rFonts w:ascii="Calibri" w:eastAsia="Calibri" w:hAnsi="Calibri" w:cs="Calibri"/>
          <w:color w:val="000000"/>
          <w:sz w:val="21"/>
          <w:szCs w:val="21"/>
        </w:rPr>
        <w:t>Built from: HLC Fee Hike — Parent Communication Action Plan; HLC Value Upgrade &amp; Fee Justification; the parent reaction memo; and the Activities at HLC register (three worksheets). Figures in the arithmetic table are illustrative, derived from the reaction memo — replace with actual grade-band figures before briefing.</w:t>
      </w:r>
    </w:p>
    <w:sectPr w:rsidR="00C861B2">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57A0F"/>
    <w:multiLevelType w:val="hybridMultilevel"/>
    <w:tmpl w:val="D3144266"/>
    <w:lvl w:ilvl="0" w:tplc="AC2CA764">
      <w:start w:val="1"/>
      <w:numFmt w:val="decimal"/>
      <w:lvlText w:val="%1."/>
      <w:lvlJc w:val="left"/>
      <w:pPr>
        <w:ind w:left="460" w:hanging="316"/>
      </w:pPr>
    </w:lvl>
    <w:lvl w:ilvl="1" w:tplc="5B3220FA">
      <w:numFmt w:val="decimal"/>
      <w:lvlText w:val=""/>
      <w:lvlJc w:val="left"/>
    </w:lvl>
    <w:lvl w:ilvl="2" w:tplc="9E049382">
      <w:numFmt w:val="decimal"/>
      <w:lvlText w:val=""/>
      <w:lvlJc w:val="left"/>
    </w:lvl>
    <w:lvl w:ilvl="3" w:tplc="68560730">
      <w:numFmt w:val="decimal"/>
      <w:lvlText w:val=""/>
      <w:lvlJc w:val="left"/>
    </w:lvl>
    <w:lvl w:ilvl="4" w:tplc="3CD637EA">
      <w:numFmt w:val="decimal"/>
      <w:lvlText w:val=""/>
      <w:lvlJc w:val="left"/>
    </w:lvl>
    <w:lvl w:ilvl="5" w:tplc="65782782">
      <w:numFmt w:val="decimal"/>
      <w:lvlText w:val=""/>
      <w:lvlJc w:val="left"/>
    </w:lvl>
    <w:lvl w:ilvl="6" w:tplc="1C6479A8">
      <w:numFmt w:val="decimal"/>
      <w:lvlText w:val=""/>
      <w:lvlJc w:val="left"/>
    </w:lvl>
    <w:lvl w:ilvl="7" w:tplc="B53E888E">
      <w:numFmt w:val="decimal"/>
      <w:lvlText w:val=""/>
      <w:lvlJc w:val="left"/>
    </w:lvl>
    <w:lvl w:ilvl="8" w:tplc="1DB2821E">
      <w:numFmt w:val="decimal"/>
      <w:lvlText w:val=""/>
      <w:lvlJc w:val="left"/>
    </w:lvl>
  </w:abstractNum>
  <w:abstractNum w:abstractNumId="1" w15:restartNumberingAfterBreak="0">
    <w:nsid w:val="622437CF"/>
    <w:multiLevelType w:val="hybridMultilevel"/>
    <w:tmpl w:val="7A241B80"/>
    <w:lvl w:ilvl="0" w:tplc="65BAE7F6">
      <w:start w:val="1"/>
      <w:numFmt w:val="bullet"/>
      <w:lvlText w:val="•"/>
      <w:lvlJc w:val="left"/>
      <w:pPr>
        <w:ind w:left="460" w:hanging="259"/>
      </w:pPr>
    </w:lvl>
    <w:lvl w:ilvl="1" w:tplc="682E2760">
      <w:numFmt w:val="decimal"/>
      <w:lvlText w:val=""/>
      <w:lvlJc w:val="left"/>
    </w:lvl>
    <w:lvl w:ilvl="2" w:tplc="07581862">
      <w:numFmt w:val="decimal"/>
      <w:lvlText w:val=""/>
      <w:lvlJc w:val="left"/>
    </w:lvl>
    <w:lvl w:ilvl="3" w:tplc="DE96C56E">
      <w:numFmt w:val="decimal"/>
      <w:lvlText w:val=""/>
      <w:lvlJc w:val="left"/>
    </w:lvl>
    <w:lvl w:ilvl="4" w:tplc="8488C0CE">
      <w:numFmt w:val="decimal"/>
      <w:lvlText w:val=""/>
      <w:lvlJc w:val="left"/>
    </w:lvl>
    <w:lvl w:ilvl="5" w:tplc="3A705AC6">
      <w:numFmt w:val="decimal"/>
      <w:lvlText w:val=""/>
      <w:lvlJc w:val="left"/>
    </w:lvl>
    <w:lvl w:ilvl="6" w:tplc="F91659F8">
      <w:numFmt w:val="decimal"/>
      <w:lvlText w:val=""/>
      <w:lvlJc w:val="left"/>
    </w:lvl>
    <w:lvl w:ilvl="7" w:tplc="F9667AEE">
      <w:numFmt w:val="decimal"/>
      <w:lvlText w:val=""/>
      <w:lvlJc w:val="left"/>
    </w:lvl>
    <w:lvl w:ilvl="8" w:tplc="63CE578A">
      <w:numFmt w:val="decimal"/>
      <w:lvlText w:val=""/>
      <w:lvlJc w:val="left"/>
    </w:lvl>
  </w:abstractNum>
  <w:abstractNum w:abstractNumId="2" w15:restartNumberingAfterBreak="0">
    <w:nsid w:val="74BC31E5"/>
    <w:multiLevelType w:val="hybridMultilevel"/>
    <w:tmpl w:val="BC523D2C"/>
    <w:lvl w:ilvl="0" w:tplc="51D2560C">
      <w:start w:val="1"/>
      <w:numFmt w:val="bullet"/>
      <w:lvlText w:val="●"/>
      <w:lvlJc w:val="left"/>
      <w:pPr>
        <w:ind w:left="720" w:hanging="360"/>
      </w:pPr>
    </w:lvl>
    <w:lvl w:ilvl="1" w:tplc="806AFA84">
      <w:start w:val="1"/>
      <w:numFmt w:val="bullet"/>
      <w:lvlText w:val="○"/>
      <w:lvlJc w:val="left"/>
      <w:pPr>
        <w:ind w:left="1440" w:hanging="360"/>
      </w:pPr>
    </w:lvl>
    <w:lvl w:ilvl="2" w:tplc="3C6EAE20">
      <w:start w:val="1"/>
      <w:numFmt w:val="bullet"/>
      <w:lvlText w:val="■"/>
      <w:lvlJc w:val="left"/>
      <w:pPr>
        <w:ind w:left="2160" w:hanging="360"/>
      </w:pPr>
    </w:lvl>
    <w:lvl w:ilvl="3" w:tplc="9986468C">
      <w:start w:val="1"/>
      <w:numFmt w:val="bullet"/>
      <w:lvlText w:val="●"/>
      <w:lvlJc w:val="left"/>
      <w:pPr>
        <w:ind w:left="2880" w:hanging="360"/>
      </w:pPr>
    </w:lvl>
    <w:lvl w:ilvl="4" w:tplc="F8743EB8">
      <w:start w:val="1"/>
      <w:numFmt w:val="bullet"/>
      <w:lvlText w:val="○"/>
      <w:lvlJc w:val="left"/>
      <w:pPr>
        <w:ind w:left="3600" w:hanging="360"/>
      </w:pPr>
    </w:lvl>
    <w:lvl w:ilvl="5" w:tplc="88F81B24">
      <w:start w:val="1"/>
      <w:numFmt w:val="bullet"/>
      <w:lvlText w:val="■"/>
      <w:lvlJc w:val="left"/>
      <w:pPr>
        <w:ind w:left="4320" w:hanging="360"/>
      </w:pPr>
    </w:lvl>
    <w:lvl w:ilvl="6" w:tplc="B92C41E2">
      <w:start w:val="1"/>
      <w:numFmt w:val="bullet"/>
      <w:lvlText w:val="●"/>
      <w:lvlJc w:val="left"/>
      <w:pPr>
        <w:ind w:left="5040" w:hanging="360"/>
      </w:pPr>
    </w:lvl>
    <w:lvl w:ilvl="7" w:tplc="E3F2679C">
      <w:start w:val="1"/>
      <w:numFmt w:val="bullet"/>
      <w:lvlText w:val="●"/>
      <w:lvlJc w:val="left"/>
      <w:pPr>
        <w:ind w:left="5760" w:hanging="360"/>
      </w:pPr>
    </w:lvl>
    <w:lvl w:ilvl="8" w:tplc="69C070A0">
      <w:start w:val="1"/>
      <w:numFmt w:val="bullet"/>
      <w:lvlText w:val="●"/>
      <w:lvlJc w:val="left"/>
      <w:pPr>
        <w:ind w:left="6480" w:hanging="360"/>
      </w:pPr>
    </w:lvl>
  </w:abstractNum>
  <w:num w:numId="1" w16cid:durableId="918564152">
    <w:abstractNumId w:val="2"/>
    <w:lvlOverride w:ilvl="0">
      <w:startOverride w:val="1"/>
    </w:lvlOverride>
  </w:num>
  <w:num w:numId="2" w16cid:durableId="1512144885">
    <w:abstractNumId w:val="0"/>
    <w:lvlOverride w:ilvl="0">
      <w:startOverride w:val="1"/>
    </w:lvlOverride>
  </w:num>
  <w:num w:numId="3" w16cid:durableId="9554120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1B2"/>
    <w:rsid w:val="00213866"/>
    <w:rsid w:val="00C861B2"/>
    <w:rsid w:val="00F52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9C1A5"/>
  <w15:docId w15:val="{E8452A35-4FFC-4D0B-9CC2-1F1C0387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2122</Words>
  <Characters>12099</Characters>
  <Application>Microsoft Office Word</Application>
  <DocSecurity>0</DocSecurity>
  <Lines>100</Lines>
  <Paragraphs>28</Paragraphs>
  <ScaleCrop>false</ScaleCrop>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HLC Fee Conversation — Parent Counselling Script</dc:title>
  <dc:creator>HLC International</dc:creator>
  <cp:lastModifiedBy>Ravi Radhakrishnan</cp:lastModifiedBy>
  <cp:revision>3</cp:revision>
  <dcterms:created xsi:type="dcterms:W3CDTF">2026-09-13T12:50:00Z</dcterms:created>
  <dcterms:modified xsi:type="dcterms:W3CDTF">2026-09-13T13:05:00Z</dcterms:modified>
</cp:coreProperties>
</file>