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4A584" w14:textId="77777777" w:rsidR="00977085" w:rsidRDefault="00000000">
      <w:pPr>
        <w:spacing w:before="800" w:after="80"/>
        <w:jc w:val="center"/>
      </w:pPr>
      <w:r>
        <w:rPr>
          <w:b/>
          <w:bCs/>
          <w:color w:val="D33427"/>
          <w:sz w:val="36"/>
          <w:szCs w:val="36"/>
        </w:rPr>
        <w:t>HLC FEE HIKE — PARENT COMMUNICATION ACTION PLAN</w:t>
      </w:r>
    </w:p>
    <w:p w14:paraId="690E88E6" w14:textId="77777777" w:rsidR="00977085" w:rsidRDefault="00000000">
      <w:pPr>
        <w:spacing w:after="400"/>
        <w:jc w:val="center"/>
      </w:pPr>
      <w:r>
        <w:rPr>
          <w:i/>
          <w:iCs/>
          <w:color w:val="595959"/>
        </w:rPr>
        <w:t>Timeline, channels, and structural trade-offs for announcing the fee revision by the last week of October</w:t>
      </w:r>
    </w:p>
    <w:p w14:paraId="6DA6D87D" w14:textId="77777777" w:rsidR="00977085" w:rsidRDefault="00000000">
      <w:pPr>
        <w:pStyle w:val="Heading1"/>
      </w:pPr>
      <w:r>
        <w:t>A. Action Plan, Communication Channels, and Timeline</w:t>
      </w:r>
    </w:p>
    <w:p w14:paraId="34CC13B2" w14:textId="77777777" w:rsidR="00977085" w:rsidRDefault="00000000">
      <w:pPr>
        <w:spacing w:after="160"/>
      </w:pPr>
      <w:r>
        <w:t>Today is 10 September, leaving roughly seven weeks to the last-week-of-October deadline. The sequencing matters more than any single communication: the goal is that the formal circular is the last thing a parent hears about this, not the first.</w:t>
      </w:r>
    </w:p>
    <w:p w14:paraId="141C56E1" w14:textId="77777777" w:rsidR="00977085" w:rsidRDefault="00000000">
      <w:pPr>
        <w:pStyle w:val="Heading2"/>
      </w:pPr>
      <w:r>
        <w:t>The number to lead with: 13% + 7%, not 20%</w:t>
      </w:r>
    </w:p>
    <w:p w14:paraId="1E3DA698" w14:textId="77777777" w:rsidR="00977085" w:rsidRDefault="00000000">
      <w:pPr>
        <w:spacing w:after="160"/>
      </w:pPr>
      <w:r>
        <w:t>Last year’s increase was 13% — already the pattern parents have seen and accepted. Of this year’s 20%, only 7 percentage points are genuinely new: the balance is a continuation of the increase parents already expect as normal. This changes what the entire value case (the personalization advantage, the roadmap, the proof points) needs to justify — it is not carrying the weight of 20%, only of the incremental 7%, which is a materially easier and more honest case to make.</w:t>
      </w:r>
    </w:p>
    <w:p w14:paraId="3E2CD92E" w14:textId="77777777" w:rsidR="00977085" w:rsidRDefault="00000000">
      <w:pPr>
        <w:pStyle w:val="ListParagraph"/>
        <w:numPr>
          <w:ilvl w:val="0"/>
          <w:numId w:val="1"/>
        </w:numPr>
        <w:spacing w:after="80"/>
      </w:pPr>
      <w:r>
        <w:rPr>
          <w:b/>
          <w:bCs/>
        </w:rPr>
        <w:t xml:space="preserve">The message to lead with: </w:t>
      </w:r>
      <w:r>
        <w:t>“Your fee reflects the usual annual increase you have seen before, plus an additional 7% this year specifically to fund the initiatives described here.” This should appear in the FAQ, the circular, and every small-group session — the 20% headline should not be the first number a parent sees without this breakdown attached.</w:t>
      </w:r>
    </w:p>
    <w:p w14:paraId="599489E2" w14:textId="77777777" w:rsidR="00977085" w:rsidRDefault="00000000">
      <w:pPr>
        <w:pStyle w:val="ListParagraph"/>
        <w:numPr>
          <w:ilvl w:val="0"/>
          <w:numId w:val="1"/>
        </w:numPr>
        <w:spacing w:after="80"/>
      </w:pPr>
      <w:r>
        <w:rPr>
          <w:b/>
          <w:bCs/>
        </w:rPr>
        <w:t xml:space="preserve">This 7% is for this academic year only: </w:t>
      </w:r>
      <w:r>
        <w:t>it is not a new permanent layer stacked on top of the usual annual increase going forward. HLC will revert to its usual annual increase pattern from next year — this should be stated as an explicit, dated commitment, not left implied.</w:t>
      </w:r>
    </w:p>
    <w:p w14:paraId="327A8A94" w14:textId="77777777" w:rsidR="00977085" w:rsidRDefault="00000000">
      <w:pPr>
        <w:pStyle w:val="ListParagraph"/>
        <w:numPr>
          <w:ilvl w:val="0"/>
          <w:numId w:val="1"/>
        </w:numPr>
        <w:spacing w:after="80"/>
      </w:pPr>
      <w:r>
        <w:rPr>
          <w:b/>
          <w:bCs/>
        </w:rPr>
        <w:t xml:space="preserve">One mechanic worth spelling out precisely, to avoid confusion: </w:t>
      </w:r>
      <w:r>
        <w:t>“revert to the usual annual increase” means the rate of future increases returns to normal — it does not mean this year’s fee reduces or rolls back next year. Parents should not be left to infer this; state it plainly so no one mistakenly expects a decrease.</w:t>
      </w:r>
    </w:p>
    <w:p w14:paraId="222323B0" w14:textId="77777777" w:rsidR="00977085" w:rsidRDefault="00000000">
      <w:pPr>
        <w:pStyle w:val="ListParagraph"/>
        <w:numPr>
          <w:ilvl w:val="0"/>
          <w:numId w:val="1"/>
        </w:numPr>
        <w:spacing w:after="80"/>
      </w:pPr>
      <w:r>
        <w:rPr>
          <w:b/>
          <w:bCs/>
        </w:rPr>
        <w:t xml:space="preserve">A commitment worth protecting: </w:t>
      </w:r>
      <w:r>
        <w:t>having told parents this is a one-year, purpose-specific premium, HLC needs to actually revert next year. This promise is easy to make now and costly to break later — flag it to management as a standing constraint on next year’s planning cycle, not just this year’s messaging.</w:t>
      </w:r>
    </w:p>
    <w:p w14:paraId="391CDB33" w14:textId="77777777" w:rsidR="00977085" w:rsidRDefault="00000000">
      <w:pPr>
        <w:pStyle w:val="Heading2"/>
      </w:pPr>
      <w:r>
        <w:t>Week 1 (Sep 10–17): Lock the number and the roadmap</w:t>
      </w:r>
    </w:p>
    <w:p w14:paraId="2311F936" w14:textId="77777777" w:rsidR="00977085" w:rsidRDefault="00000000">
      <w:pPr>
        <w:spacing w:after="160"/>
      </w:pPr>
      <w:r>
        <w:t>Finalise the exact fee figures per grade band, confirm which personalization commitments (triangulated contacts, promoter touchpoints, small-group pedagogy) launch this year versus later, and secure promoter/governing-council sign-off. In parallel, get a legal check on whether HLC falls under the Tamil Nadu Schools (Regulation of Collection of Fee) Act’s disclosure requirements.</w:t>
      </w:r>
    </w:p>
    <w:p w14:paraId="0392639D" w14:textId="77777777" w:rsidR="00977085" w:rsidRDefault="00000000">
      <w:pPr>
        <w:pStyle w:val="Heading2"/>
      </w:pPr>
      <w:r>
        <w:t>Week 2 (Sep 17–24): Build parent-facing materials</w:t>
      </w:r>
    </w:p>
    <w:p w14:paraId="22042D18" w14:textId="77777777" w:rsidR="00977085" w:rsidRDefault="00000000">
      <w:pPr>
        <w:spacing w:after="160"/>
      </w:pPr>
      <w:r>
        <w:t>Prepare the grade-band one-pagers (a near-term “becoming” version for Grades 1–8/9, a long-term “direction” version for Grades 9–12), a plain-language version of the cost-to-value justification framed against the 7% only, and an FAQ that answers the hard questions head-on — why now, why 7% specifically, why it applies only this year, and why Grade 11’s rupee figure is larger than Grade 5’s even though the percentage is identical (Section B). The FAQ should also note, briefly and without detail, that a private channel exists for the sibling discount and for genuine hardship cases (Section D).</w:t>
      </w:r>
    </w:p>
    <w:p w14:paraId="1542A7E5" w14:textId="77777777" w:rsidR="00977085" w:rsidRDefault="00000000">
      <w:pPr>
        <w:pStyle w:val="Heading2"/>
      </w:pPr>
      <w:r>
        <w:lastRenderedPageBreak/>
        <w:t>Week 2–3 (Sep 17–Oct 1): Launch the free upgrades first</w:t>
      </w:r>
    </w:p>
    <w:p w14:paraId="392FBC2E" w14:textId="77777777" w:rsidR="00977085" w:rsidRDefault="00000000">
      <w:pPr>
        <w:spacing w:after="160"/>
      </w:pPr>
      <w:r>
        <w:t xml:space="preserve">Quietly start the low-cost, high-visibility pilots — widened exhibitions, the three named adults per child published, a </w:t>
      </w:r>
      <w:proofErr w:type="gramStart"/>
      <w:r>
        <w:t>single family</w:t>
      </w:r>
      <w:proofErr w:type="gramEnd"/>
      <w:r>
        <w:t xml:space="preserve"> point of contact, external judges at the next showcase — so parents see something real and dated before any fee letter lands. This is the highest-leverage move available: it converts the story from “they want more money” to “they already started delivering more,” and it is exactly what the 7% is being asked to fund.</w:t>
      </w:r>
    </w:p>
    <w:p w14:paraId="77530F31" w14:textId="77777777" w:rsidR="00977085" w:rsidRDefault="00000000">
      <w:pPr>
        <w:pStyle w:val="Heading2"/>
      </w:pPr>
      <w:r>
        <w:t>Week 3–4 (Sep 24–Oct 8): Soft signal through class teachers</w:t>
      </w:r>
    </w:p>
    <w:p w14:paraId="487ACCE0" w14:textId="77777777" w:rsidR="00977085" w:rsidRDefault="00000000">
      <w:pPr>
        <w:spacing w:after="160"/>
      </w:pPr>
      <w:r>
        <w:t>Homeroom teachers and mentors give parents an informal, low-key heads-up during routine interactions — pickup, a PTM, a casual note — that a revision is coming for next year, framed from the outset as the usual increase plus a one-year 7% addition. This is how a conservative Chennai parent body absorbs news best: informally, from someone they already trust, before anything formal arrives.</w:t>
      </w:r>
    </w:p>
    <w:p w14:paraId="2A1293CE" w14:textId="77777777" w:rsidR="00977085" w:rsidRDefault="00000000">
      <w:pPr>
        <w:pStyle w:val="Heading2"/>
      </w:pPr>
      <w:r>
        <w:t>Week 4–5 (Oct 1–15): Small-group sessions, split by audience</w:t>
      </w:r>
    </w:p>
    <w:p w14:paraId="25BD04ED" w14:textId="6A5C0CBE" w:rsidR="00977085" w:rsidRDefault="00000000">
      <w:pPr>
        <w:spacing w:after="160"/>
      </w:pPr>
      <w:r>
        <w:t>Run small-group (not mass) sessions with senior leadership, split by the near-term versus long-term audience. For the Grade 9–12 group specifically, proactively address the board-year timing concern before anyone has to ask — silence here is what turns a fee hike into a grievance.</w:t>
      </w:r>
      <w:r w:rsidR="0000055D">
        <w:t xml:space="preserve"> (Tip: Make them say yes to your first 3 questions related to HLC has done these)</w:t>
      </w:r>
    </w:p>
    <w:p w14:paraId="5F72CFB0" w14:textId="77777777" w:rsidR="00977085" w:rsidRDefault="00000000">
      <w:pPr>
        <w:pStyle w:val="Heading2"/>
      </w:pPr>
      <w:r>
        <w:t>Week 5–6 (Oct 15–20): Send the formal circular</w:t>
      </w:r>
    </w:p>
    <w:p w14:paraId="529679BD" w14:textId="77777777" w:rsidR="00977085" w:rsidRDefault="00000000">
      <w:pPr>
        <w:spacing w:after="160"/>
      </w:pPr>
      <w:r>
        <w:t>Email, parent portal, and a physical letter together — leading with the 13%-plus-7% breakdown and the one-year, revert-after commitment, followed by the itemised justification for the 7%, any sibling or staggering options, and a named senior escalation contact rather than the front office. Land this by Oct 20 so there is a buffer before the last-week-of-October deadline, and ensure it lands well before any Transfer Certificate or re-enrolment deadline for next year — never after.</w:t>
      </w:r>
    </w:p>
    <w:p w14:paraId="71C92997" w14:textId="77777777" w:rsidR="00977085" w:rsidRDefault="00000000">
      <w:pPr>
        <w:pStyle w:val="Heading2"/>
      </w:pPr>
      <w:r>
        <w:t>Last week of Oct–mid-Nov: Open a query and grievance window</w:t>
      </w:r>
    </w:p>
    <w:p w14:paraId="4D4D6F34" w14:textId="77777777" w:rsidR="00977085" w:rsidRDefault="00000000">
      <w:pPr>
        <w:spacing w:after="160"/>
      </w:pPr>
      <w:r>
        <w:t>A two-week window with a named senior person who acknowledges every query within 48 hours and resolves or responds substantively within two weeks. Track how many queries come from families with children spanning multiple grade bands (e.g. a Grade 5 and a Grade 11 child in the same household) — they are the highest-value, highest-risk segment to get right.</w:t>
      </w:r>
    </w:p>
    <w:p w14:paraId="2EB006B7" w14:textId="77777777" w:rsidR="00977085" w:rsidRDefault="00000000">
      <w:pPr>
        <w:pStyle w:val="Heading2"/>
      </w:pPr>
      <w:r>
        <w:t>Channels, ranked by trust</w:t>
      </w:r>
    </w:p>
    <w:p w14:paraId="31FE78BE" w14:textId="77777777" w:rsidR="00977085" w:rsidRDefault="00000000">
      <w:pPr>
        <w:spacing w:after="160"/>
      </w:pPr>
      <w:r>
        <w:t>Informal contact (class teacher, one-on-one) carries the most trust with this parent body and should go first; small-group sessions second; the formal letter last, once the ground is prepared. Never let the formal letter be the first touchpoint — that is what turns a fee hike into an ambush rather than a decision made in the open.</w:t>
      </w:r>
    </w:p>
    <w:p w14:paraId="0A6AD7D6" w14:textId="77777777" w:rsidR="00977085" w:rsidRDefault="00000000">
      <w:pPr>
        <w:pStyle w:val="Heading1"/>
      </w:pPr>
      <w:r>
        <w:t>B. Differential Fee Increases by Grade Band — Decision: Not Viable</w:t>
      </w:r>
    </w:p>
    <w:p w14:paraId="3FE6D2CE" w14:textId="77777777" w:rsidR="00977085" w:rsidRDefault="00000000">
      <w:pPr>
        <w:spacing w:after="160"/>
      </w:pPr>
      <w:r>
        <w:t>Management has ruled this out: a different percentage increase for different grade bands is too complicated to justify consistently, and the earlier analysis of this option (varying the rate itself) is set aside. This applies to both parts of the number — the usual 13% and the additional 7% are each uniform across every grade; neither is varied by band. The biggest risk with differential rates was always a multi-child household directly comparing two letters with two different percentages and concluding one child is being treated unfairly relative to the other.</w:t>
      </w:r>
    </w:p>
    <w:p w14:paraId="15320D2B" w14:textId="77777777" w:rsidR="00977085" w:rsidRDefault="00000000">
      <w:pPr>
        <w:spacing w:after="160"/>
      </w:pPr>
      <w:r>
        <w:lastRenderedPageBreak/>
        <w:t>What remains, and what should be communicated explicitly, is that a single uniform percentage applied to every grade’s own current fee still produces different absolute rupee figures purely because base fees differ by grade — and this difference needs to be named plainly rather than left for parents to work out or misread as a hidden differential:</w:t>
      </w:r>
    </w:p>
    <w:p w14:paraId="3C2FE66A" w14:textId="77777777" w:rsidR="00977085" w:rsidRDefault="00000000">
      <w:pPr>
        <w:pStyle w:val="ListParagraph"/>
        <w:numPr>
          <w:ilvl w:val="0"/>
          <w:numId w:val="1"/>
        </w:numPr>
        <w:spacing w:after="80"/>
      </w:pPr>
      <w:r>
        <w:rPr>
          <w:b/>
          <w:bCs/>
        </w:rPr>
        <w:t xml:space="preserve">The message to use: </w:t>
      </w:r>
      <w:r>
        <w:t>“The increase is the same percentage for every child in the school — 13% as usual, plus 7% this year only. The rupee amount is larger for senior grades only because their existing fee is already larger — not because either rate is different.”</w:t>
      </w:r>
    </w:p>
    <w:p w14:paraId="14A74867" w14:textId="77777777" w:rsidR="00977085" w:rsidRDefault="00000000">
      <w:pPr>
        <w:pStyle w:val="ListParagraph"/>
        <w:numPr>
          <w:ilvl w:val="0"/>
          <w:numId w:val="1"/>
        </w:numPr>
        <w:spacing w:after="80"/>
      </w:pPr>
      <w:r>
        <w:rPr>
          <w:b/>
          <w:bCs/>
        </w:rPr>
        <w:t xml:space="preserve">Why this matters for the board-exam year specifically: </w:t>
      </w:r>
      <w:r>
        <w:t>a Grade 11 family seeing a large absolute number needs to hear, explicitly and early, that it is the identical 13%-plus-7% every other family is paying — this is what prevents the number from reading as leverage aimed at a captive cohort, without requiring any actual change in policy.</w:t>
      </w:r>
    </w:p>
    <w:p w14:paraId="70914D5D" w14:textId="77777777" w:rsidR="00977085" w:rsidRDefault="00000000">
      <w:pPr>
        <w:pStyle w:val="ListParagraph"/>
        <w:numPr>
          <w:ilvl w:val="0"/>
          <w:numId w:val="1"/>
        </w:numPr>
        <w:spacing w:after="80"/>
      </w:pPr>
      <w:r>
        <w:rPr>
          <w:b/>
          <w:bCs/>
        </w:rPr>
        <w:t xml:space="preserve">Build this into the Week 2 materials (Section A): </w:t>
      </w:r>
      <w:r>
        <w:t>the FAQ should show the calculation itself — base fee × 13%, plus base fee × 7% — for at least one junior and one senior grade side by side, so the consistency is visible rather than asserted.</w:t>
      </w:r>
    </w:p>
    <w:p w14:paraId="1151E099" w14:textId="77777777" w:rsidR="00977085" w:rsidRDefault="00000000">
      <w:pPr>
        <w:pStyle w:val="Heading1"/>
      </w:pPr>
      <w:r>
        <w:t>C. A Fixed Absolute Revenue Target — What Can Actually Move</w:t>
      </w:r>
    </w:p>
    <w:p w14:paraId="0D221225" w14:textId="77777777" w:rsidR="00977085" w:rsidRDefault="00000000">
      <w:pPr>
        <w:spacing w:after="160"/>
      </w:pPr>
      <w:r>
        <w:t>With differential rates off the table, the absolute target cannot be rebalanced by charging different grades different percentages. What matters more now is that only the 7% portion needs to carry the value case in this document — the 13% is the increase parents already expect year to year and requires no special justification beyond what HLC has always given. This considerably narrows what actually needs defending: not “why 20%,” but “why this additional 7%, this year, for these specific things.”</w:t>
      </w:r>
    </w:p>
    <w:p w14:paraId="6F1ED0A2" w14:textId="77777777" w:rsidR="00977085" w:rsidRDefault="00000000">
      <w:pPr>
        <w:spacing w:after="160"/>
      </w:pPr>
      <w:r>
        <w:t>What HLC has approved as relief are three bounded, individually-triggered mechanisms (Section D) — not a lever for shifting the target across cohorts, but a safety valve for genuine hardship cases within a fixed, predictable cost. This is a materially better position than open-ended differential pricing: the exposure is capped by design (a limited number of scholarship awards, each capped at 5% of the increase; rare, case-by-case part-payment with at least 75% collected upfront; and a sibling discount whose population is already known).</w:t>
      </w:r>
    </w:p>
    <w:p w14:paraId="0C36C3BA" w14:textId="77777777" w:rsidR="00977085" w:rsidRDefault="00000000">
      <w:pPr>
        <w:pStyle w:val="ListParagraph"/>
        <w:numPr>
          <w:ilvl w:val="0"/>
          <w:numId w:val="1"/>
        </w:numPr>
        <w:spacing w:after="80"/>
      </w:pPr>
      <w:r>
        <w:rPr>
          <w:b/>
          <w:bCs/>
        </w:rPr>
        <w:t xml:space="preserve">Grades 1–8 remain the price-elastic segment: </w:t>
      </w:r>
      <w:r>
        <w:t>these are the families who can realistically move to a CBSE school with the least disruption, so this is where flight risk actually lives, regardless of how the target is met.</w:t>
      </w:r>
    </w:p>
    <w:p w14:paraId="2BFF6733" w14:textId="77777777" w:rsidR="00977085" w:rsidRDefault="00000000">
      <w:pPr>
        <w:pStyle w:val="ListParagraph"/>
        <w:numPr>
          <w:ilvl w:val="0"/>
          <w:numId w:val="1"/>
        </w:numPr>
        <w:spacing w:after="80"/>
      </w:pPr>
      <w:r>
        <w:rPr>
          <w:b/>
          <w:bCs/>
        </w:rPr>
        <w:t xml:space="preserve">Grades 9–12, especially exam years, remain price-inelastic in the short term: </w:t>
      </w:r>
      <w:r>
        <w:t>a family will not pull a child out mid-board-preparation over a fee letter — which is exactly why the messaging discipline in Section B matters here, since this segment cannot be relied upon to self-correct a perception of unfairness the way a junior-grade family might by simply leaving.</w:t>
      </w:r>
    </w:p>
    <w:p w14:paraId="0026E4F3" w14:textId="77777777" w:rsidR="00977085" w:rsidRDefault="00000000">
      <w:pPr>
        <w:pStyle w:val="ListParagraph"/>
        <w:numPr>
          <w:ilvl w:val="0"/>
          <w:numId w:val="1"/>
        </w:numPr>
        <w:spacing w:after="80"/>
      </w:pPr>
      <w:r>
        <w:rPr>
          <w:b/>
          <w:bCs/>
        </w:rPr>
        <w:t xml:space="preserve">The hidden cost to keep modelling: </w:t>
      </w:r>
      <w:r>
        <w:t>a family that feels exploited on the senior-grade side does not just grumble and pay — it is often the moment they quietly start pricing alternatives for a younger sibling, even though the older child stays. This is precisely the household the sibling discount and clear percentage messaging are designed to protect.</w:t>
      </w:r>
    </w:p>
    <w:p w14:paraId="6F29F473" w14:textId="77777777" w:rsidR="00977085" w:rsidRDefault="00000000">
      <w:pPr>
        <w:pStyle w:val="ListParagraph"/>
        <w:numPr>
          <w:ilvl w:val="0"/>
          <w:numId w:val="1"/>
        </w:numPr>
        <w:spacing w:after="80"/>
      </w:pPr>
      <w:r>
        <w:rPr>
          <w:b/>
          <w:bCs/>
        </w:rPr>
        <w:t xml:space="preserve">Non-differential levers still available if the target needs easing: </w:t>
      </w:r>
      <w:r>
        <w:t>extending the rollout timeline and accepting a slightly lower first-year figure in exchange for lower attrition and reputational risk; or introducing a small number of clearly optional, separately priced offerings (an international exchange programme once live, specialist masterclasses) so core tuition itself can rise marginally less while overall revenue is still met — these are opt-in additions, not a differential base rate, so they do not reopen the fairness question Section B closes.</w:t>
      </w:r>
    </w:p>
    <w:p w14:paraId="3793C622" w14:textId="0B306A43" w:rsidR="00977085" w:rsidRDefault="00000000">
      <w:pPr>
        <w:pStyle w:val="Heading1"/>
      </w:pPr>
      <w:r>
        <w:t>D. Relief Policies — How to Communicate Them</w:t>
      </w:r>
    </w:p>
    <w:p w14:paraId="3B24CCDC" w14:textId="1FB68D0C" w:rsidR="00977085" w:rsidRDefault="00000000" w:rsidP="00E942A4">
      <w:pPr>
        <w:pStyle w:val="ListParagraph"/>
        <w:numPr>
          <w:ilvl w:val="0"/>
          <w:numId w:val="3"/>
        </w:numPr>
        <w:spacing w:after="80"/>
      </w:pPr>
      <w:r>
        <w:rPr>
          <w:b/>
          <w:bCs/>
        </w:rPr>
        <w:lastRenderedPageBreak/>
        <w:t xml:space="preserve">Sibling discount, for the duration of enrolment: </w:t>
      </w:r>
      <w:r>
        <w:t>a fee-increase discount for siblings is available for as long as the student remains enrolled, up to graduation or exit — not a one-year concession. This is a durable, standing commitment and should be message accordingly: a family enrolling more than one child at HLC gets this benefit for the entire remaining school journey, not just this year’s hike. This is the single strongest, lowest-cost tool available against the exact spillover risk described in Section C — a multi-child household should hear this early and clearly, ideally in the same communication that carries the fee number itself.</w:t>
      </w:r>
    </w:p>
    <w:p w14:paraId="0DD3EAD8" w14:textId="270619F5" w:rsidR="00977085" w:rsidRDefault="00000000" w:rsidP="00E942A4">
      <w:pPr>
        <w:pStyle w:val="ListParagraph"/>
        <w:numPr>
          <w:ilvl w:val="0"/>
          <w:numId w:val="3"/>
        </w:numPr>
        <w:spacing w:after="80"/>
      </w:pPr>
      <w:r>
        <w:rPr>
          <w:b/>
          <w:bCs/>
        </w:rPr>
        <w:t xml:space="preserve">Merit-cum-Means scholarship, limited and means-led: </w:t>
      </w:r>
      <w:r>
        <w:t>a limited number of one-year scholarship applications will be considered, covering up to 5% of the increase for the academic year — not the full hike, and not the full fee. Eligibility leans on financial means significantly more than academic merit. One clarification worth confirming internally now that the increase is being communicated as 13% usual plus 7% additional: whether the 5% cap is calculated on the full increase (13%+7%) or on the 7% portion alone — the policy as stated refers to “the increase,” which this document treats as the full amount unless management specifies otherwise. Because the number of awards is limited and the coverage is capped, this should be positioned discreetly — available on request through the named senior contact from Section A, not announced as a headline feature — both to manage expectations realistically and to respect the preference of a conservative family environment to seek this kind of help privately rather than publicly.</w:t>
      </w:r>
    </w:p>
    <w:p w14:paraId="15E5088F" w14:textId="6217EFC9" w:rsidR="00977085" w:rsidRDefault="00000000" w:rsidP="00E942A4">
      <w:pPr>
        <w:pStyle w:val="ListParagraph"/>
        <w:numPr>
          <w:ilvl w:val="0"/>
          <w:numId w:val="3"/>
        </w:numPr>
        <w:spacing w:after="80"/>
      </w:pPr>
      <w:r>
        <w:rPr>
          <w:b/>
          <w:bCs/>
        </w:rPr>
        <w:t xml:space="preserve">Part-payment, rare and case-by-case only: </w:t>
      </w:r>
      <w:r>
        <w:t>a small number of part-payment arrangements may be considered strictly case by case, based on demonstrated means, with the upfront portion never less than 75% of the amount due. This is a narrow exception mechanism, not a general instalment plan — it should not be advertised broadly, both to avoid an unmanageable volume of requests and to keep it genuinely reserved for real hardship. Route all requests through the same named contact as the scholarship applications, assessed on the same footing.</w:t>
      </w:r>
    </w:p>
    <w:p w14:paraId="0E86103F" w14:textId="77777777" w:rsidR="00977085" w:rsidRDefault="00000000">
      <w:pPr>
        <w:pStyle w:val="ListParagraph"/>
        <w:numPr>
          <w:ilvl w:val="0"/>
          <w:numId w:val="1"/>
        </w:numPr>
        <w:spacing w:after="80"/>
      </w:pPr>
      <w:r>
        <w:rPr>
          <w:b/>
          <w:bCs/>
        </w:rPr>
        <w:t xml:space="preserve">Common thread for all three: </w:t>
      </w:r>
      <w:r>
        <w:t>none of these are publicised as blanket options in the main circular. The circular states plainly that the increase is fixed and uniform (Section B), and separately notes, briefly, that a private channel exists for families facing genuine difficulty — the detail of what that channel can and cannot offer is handled one-on-one, not in a mass communication, consistent with how this parent community prefers to raise and resolve this kind of request.</w:t>
      </w:r>
    </w:p>
    <w:p w14:paraId="482A0080" w14:textId="77777777" w:rsidR="00977085" w:rsidRDefault="00000000">
      <w:pPr>
        <w:pStyle w:val="Heading1"/>
      </w:pPr>
      <w:r>
        <w:t>E. Other Contextual Ideas Worth Adding</w:t>
      </w:r>
    </w:p>
    <w:p w14:paraId="0E621082" w14:textId="77777777" w:rsidR="00977085" w:rsidRDefault="00000000">
      <w:pPr>
        <w:pStyle w:val="ListParagraph"/>
        <w:numPr>
          <w:ilvl w:val="0"/>
          <w:numId w:val="1"/>
        </w:numPr>
        <w:spacing w:after="80"/>
      </w:pPr>
      <w:r>
        <w:rPr>
          <w:b/>
          <w:bCs/>
        </w:rPr>
        <w:t xml:space="preserve">An early-payment incentive: </w:t>
      </w:r>
      <w:r>
        <w:t>a small discount for parents who commit and pay by a set date early in the term helps HLC’s own cash flow and gives price-sensitive families a way to reduce the sting without reopening the fixed, uniform percentage — this sits alongside, not in place of, the approved relief policies above.</w:t>
      </w:r>
    </w:p>
    <w:p w14:paraId="6320152E" w14:textId="77777777" w:rsidR="00977085" w:rsidRDefault="00000000">
      <w:pPr>
        <w:pStyle w:val="ListParagraph"/>
        <w:numPr>
          <w:ilvl w:val="0"/>
          <w:numId w:val="1"/>
        </w:numPr>
        <w:spacing w:after="80"/>
      </w:pPr>
      <w:r>
        <w:rPr>
          <w:b/>
          <w:bCs/>
        </w:rPr>
        <w:t xml:space="preserve">Reconsider the flat-figure framing for board-exam grades: </w:t>
      </w:r>
      <w:r>
        <w:t>once the uniform-percentage message in Section B is in place, no grade should be presented with a flat, unanchored rupee figure — every figure shown should carry its percentage alongside it, so the calculation is visibly the same one used everywhere else in the school.</w:t>
      </w:r>
    </w:p>
    <w:p w14:paraId="60D96A43" w14:textId="77777777" w:rsidR="00977085" w:rsidRDefault="00000000">
      <w:pPr>
        <w:pStyle w:val="ListParagraph"/>
        <w:numPr>
          <w:ilvl w:val="0"/>
          <w:numId w:val="1"/>
        </w:numPr>
        <w:spacing w:after="80"/>
      </w:pPr>
      <w:r>
        <w:rPr>
          <w:b/>
          <w:bCs/>
        </w:rPr>
        <w:t xml:space="preserve">Communicate before, never after, any re-enrolment or Transfer Certificate deadline: </w:t>
      </w:r>
      <w:r>
        <w:t>this is the exact tactic that has turned other Chennai and Bengaluru fee hikes into public disputes, and it is entirely avoidable with the timeline in Section A.</w:t>
      </w:r>
    </w:p>
    <w:sectPr w:rsidR="009770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94620"/>
    <w:multiLevelType w:val="hybridMultilevel"/>
    <w:tmpl w:val="C0B0D12C"/>
    <w:lvl w:ilvl="0" w:tplc="40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A061B79"/>
    <w:multiLevelType w:val="hybridMultilevel"/>
    <w:tmpl w:val="52645BC0"/>
    <w:lvl w:ilvl="0" w:tplc="4AA4F354">
      <w:start w:val="1"/>
      <w:numFmt w:val="bullet"/>
      <w:lvlText w:val="●"/>
      <w:lvlJc w:val="left"/>
      <w:pPr>
        <w:ind w:left="720" w:hanging="360"/>
      </w:pPr>
    </w:lvl>
    <w:lvl w:ilvl="1" w:tplc="6046EC8A">
      <w:start w:val="1"/>
      <w:numFmt w:val="bullet"/>
      <w:lvlText w:val="○"/>
      <w:lvlJc w:val="left"/>
      <w:pPr>
        <w:ind w:left="1440" w:hanging="360"/>
      </w:pPr>
    </w:lvl>
    <w:lvl w:ilvl="2" w:tplc="1E6A25B6">
      <w:start w:val="1"/>
      <w:numFmt w:val="bullet"/>
      <w:lvlText w:val="■"/>
      <w:lvlJc w:val="left"/>
      <w:pPr>
        <w:ind w:left="2160" w:hanging="360"/>
      </w:pPr>
    </w:lvl>
    <w:lvl w:ilvl="3" w:tplc="2B3C2824">
      <w:start w:val="1"/>
      <w:numFmt w:val="bullet"/>
      <w:lvlText w:val="●"/>
      <w:lvlJc w:val="left"/>
      <w:pPr>
        <w:ind w:left="2880" w:hanging="360"/>
      </w:pPr>
    </w:lvl>
    <w:lvl w:ilvl="4" w:tplc="65E0C74E">
      <w:start w:val="1"/>
      <w:numFmt w:val="bullet"/>
      <w:lvlText w:val="○"/>
      <w:lvlJc w:val="left"/>
      <w:pPr>
        <w:ind w:left="3600" w:hanging="360"/>
      </w:pPr>
    </w:lvl>
    <w:lvl w:ilvl="5" w:tplc="75E8B734">
      <w:start w:val="1"/>
      <w:numFmt w:val="bullet"/>
      <w:lvlText w:val="■"/>
      <w:lvlJc w:val="left"/>
      <w:pPr>
        <w:ind w:left="4320" w:hanging="360"/>
      </w:pPr>
    </w:lvl>
    <w:lvl w:ilvl="6" w:tplc="DD5A59E4">
      <w:start w:val="1"/>
      <w:numFmt w:val="bullet"/>
      <w:lvlText w:val="●"/>
      <w:lvlJc w:val="left"/>
      <w:pPr>
        <w:ind w:left="5040" w:hanging="360"/>
      </w:pPr>
    </w:lvl>
    <w:lvl w:ilvl="7" w:tplc="DDA0DF72">
      <w:start w:val="1"/>
      <w:numFmt w:val="bullet"/>
      <w:lvlText w:val="●"/>
      <w:lvlJc w:val="left"/>
      <w:pPr>
        <w:ind w:left="5760" w:hanging="360"/>
      </w:pPr>
    </w:lvl>
    <w:lvl w:ilvl="8" w:tplc="C3F8B792">
      <w:start w:val="1"/>
      <w:numFmt w:val="bullet"/>
      <w:lvlText w:val="●"/>
      <w:lvlJc w:val="left"/>
      <w:pPr>
        <w:ind w:left="6480" w:hanging="360"/>
      </w:pPr>
    </w:lvl>
  </w:abstractNum>
  <w:num w:numId="1" w16cid:durableId="2083553097">
    <w:abstractNumId w:val="1"/>
    <w:lvlOverride w:ilvl="0">
      <w:startOverride w:val="1"/>
    </w:lvlOverride>
  </w:num>
  <w:num w:numId="2" w16cid:durableId="961377590">
    <w:abstractNumId w:val="1"/>
  </w:num>
  <w:num w:numId="3" w16cid:durableId="16443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085"/>
    <w:rsid w:val="0000055D"/>
    <w:rsid w:val="003E77D7"/>
    <w:rsid w:val="004824A2"/>
    <w:rsid w:val="008678CE"/>
    <w:rsid w:val="008C0BF1"/>
    <w:rsid w:val="00977085"/>
    <w:rsid w:val="00E94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0F52"/>
  <w15:docId w15:val="{1F07805A-D434-42BF-95AB-B518B0D5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D33427"/>
      <w:sz w:val="30"/>
      <w:szCs w:val="30"/>
    </w:rPr>
  </w:style>
  <w:style w:type="paragraph" w:styleId="Heading2">
    <w:name w:val="heading 2"/>
    <w:uiPriority w:val="9"/>
    <w:unhideWhenUsed/>
    <w:qFormat/>
    <w:pPr>
      <w:spacing w:before="260" w:after="120"/>
      <w:outlineLvl w:val="1"/>
    </w:pPr>
    <w:rPr>
      <w:b/>
      <w:bCs/>
      <w:color w:val="22222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2107</Words>
  <Characters>12011</Characters>
  <Application>Microsoft Office Word</Application>
  <DocSecurity>0</DocSecurity>
  <Lines>100</Lines>
  <Paragraphs>28</Paragraphs>
  <ScaleCrop>false</ScaleCrop>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Radhakrishnan</cp:lastModifiedBy>
  <cp:revision>5</cp:revision>
  <dcterms:created xsi:type="dcterms:W3CDTF">2026-09-10T16:57:00Z</dcterms:created>
  <dcterms:modified xsi:type="dcterms:W3CDTF">2026-09-10T17:10:00Z</dcterms:modified>
</cp:coreProperties>
</file>