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ackground w:color="FFFFFF"/>
  <w:body>
    <w:p w:rsidR="002C4D28" w:rsidRDefault="008762B3" w:rsidP="008762B3">
      <w:pPr>
        <w:pStyle w:val="Normal2"/>
        <w:spacing w:after="180" w:line="288" w:lineRule="auto"/>
        <w:rPr>
          <w:rFonts w:ascii="Times New Roman" w:eastAsia="Times New Roman" w:hAnsi="Times New Roman" w:cs="Times New Roman"/>
          <w:sz w:val="24"/>
          <w:szCs w:val="24"/>
        </w:rPr>
      </w:pPr>
      <w:r/>
      <w:r>
        <w:rPr>
          <w:b/>
        </w:rPr>
        <w:t>APÊNDICE C – DESCRIÇÃO DOS FLUXOS DE EVENTOS POR CENÁRIO DE CASO DE USO</w:t>
      </w:r>
    </w:p>
    <w:p w:rsidR="002C4D28" w:rsidRDefault="002C4D28" w:rsidP="008762B3">
      <w:pPr>
        <w:pStyle w:val="Normal2"/>
        <w:spacing w:after="180" w:line="288" w:lineRule="auto"/>
      </w:pPr>
    </w:p>
    <w:p>
      <w:r>
        <w:rPr>
          <w:b/>
        </w:rPr>
        <w:t>Subsistema (nome do módulo): Administrar Conta de Usuário</w:t>
      </w:r>
      <w:r>
        <w:br/>
        <w:t>Projeto “Fala, Cidade!” — Sistema de Informação para Reporte de Ocorrências e Apoio à Gestão de Zeladoria Pública. Versão 1 — Fase 3.</w:t>
      </w:r>
    </w:p>
    <w:p/>
    <w:tbl>
      <w:tblPr>
        <w:tblStyle w:val="aff"/>
        <w:tblW w:w="9022" w:type="dxa"/>
        <w:tblInd w:w="-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381"/>
        <w:gridCol w:w="6641"/>
      </w:tblGrid>
      <w:tr w:rsidR="002C4D28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/>
                <w:sz w:val="20"/>
              </w:rPr>
              <w:t>Nome do caso de uso: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  <w:t>Criar conta para Prefeitura</w:t>
            </w:r>
          </w:p>
        </w:tc>
      </w:tr>
      <w:tr w:rsidR="002C4D28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/>
                <w:sz w:val="20"/>
              </w:rPr>
              <w:t>Nome do cenário: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  <w:t>Cadastro de funcionário pelo administrador</w:t>
            </w:r>
          </w:p>
        </w:tc>
      </w:tr>
      <w:tr w:rsidR="002C4D28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/>
                <w:sz w:val="20"/>
              </w:rPr>
              <w:t>Ator(es) envolvido(s):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  <w:t>Administrador; Serviço de correio eletrônico</w:t>
            </w:r>
          </w:p>
        </w:tc>
      </w:tr>
      <w:tr w:rsidR="002C4D28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/>
                <w:sz w:val="20"/>
              </w:rPr>
              <w:t>Pré-condição: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  <w:t>O administrador está autenticado com o perfil ADMINISTRATOR.</w:t>
            </w:r>
          </w:p>
        </w:tc>
      </w:tr>
      <w:tr w:rsidR="002C4D28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/>
                <w:sz w:val="20"/>
              </w:rPr>
              <w:t>Pós-condição: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  <w:t>Conta criada com o perfil EMPLOYEE ou ADMINISTRATOR e segundo fator obrigatório.</w:t>
            </w:r>
          </w:p>
        </w:tc>
      </w:tr>
      <w:tr w:rsidR="002C4D28" w:rsidRPr="00A42FB0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/>
                <w:sz w:val="20"/>
              </w:rPr>
              <w:t>Ator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/>
                <w:sz w:val="20"/>
              </w:rPr>
              <w:t>Sistema</w:t>
            </w:r>
          </w:p>
        </w:tc>
      </w:tr>
      <w:tr w:rsidR="002C4D28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  <w:t>1. O administrador acessa a gestão de usuários e aciona a criação de conta.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</w:r>
          </w:p>
        </w:tc>
      </w:tr>
      <w:tr w:rsidR="002C4D28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  <w:t>2. O sistema apresenta o formulário com os campos cadastrais e a seleção do perfil.</w:t>
            </w:r>
          </w:p>
        </w:tc>
      </w:tr>
      <w:tr w:rsidR="002C4D28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  <w:t>3. O administrador informa os dados do funcionário e seleciona o perfil EMPLOYEE ou ADMINISTRATOR.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</w:r>
          </w:p>
        </w:tc>
      </w:tr>
      <w:tr w:rsidR="002C4D28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  <w:t>4. O sistema valida a unicidade do endereço de correio eletrônico e a política de complexidade da senha inicial.</w:t>
            </w:r>
          </w:p>
        </w:tc>
      </w:tr>
      <w:tr w:rsidR="002C4D28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  <w:t>5. O sistema cria a conta, marca a exigência de segundo fator e expede a mensagem de boas-vindas.</w:t>
            </w:r>
          </w:p>
        </w:tc>
      </w:tr>
      <w:tr w:rsidR="002C4D28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  <w:t>6. O funcionário conclui o registro do segundo fator no primeiro acesso.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</w:r>
          </w:p>
        </w:tc>
      </w:tr>
    </w:tbl>
    <w:p>
      <w:r>
        <w:rPr>
          <w:sz w:val="18"/>
        </w:rPr>
        <w:t>QUADRO 1 – Fluxo de eventos do cenário “Cadastro de funcionário pelo administrador”</w:t>
      </w:r>
    </w:p>
    <w:p/>
    <w:tbl>
      <w:tblPr>
        <w:tblStyle w:val="aff"/>
        <w:tblW w:w="9022" w:type="dxa"/>
        <w:tblInd w:w="-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381"/>
        <w:gridCol w:w="6641"/>
      </w:tblGrid>
      <w:tr w:rsidR="002C4D28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/>
                <w:sz w:val="20"/>
              </w:rPr>
              <w:t>Nome do caso de uso: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  <w:t>Gerenciar conta de usuário</w:t>
            </w:r>
          </w:p>
        </w:tc>
      </w:tr>
      <w:tr w:rsidR="002C4D28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/>
                <w:sz w:val="20"/>
              </w:rPr>
              <w:t>Nome do cenário: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  <w:t>Atualização de dados cadastrais pelo próprio usuário</w:t>
            </w:r>
          </w:p>
        </w:tc>
      </w:tr>
      <w:tr w:rsidR="002C4D28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/>
                <w:sz w:val="20"/>
              </w:rPr>
              <w:t>Ator(es) envolvido(s):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  <w:t>Cidadão</w:t>
            </w:r>
          </w:p>
        </w:tc>
      </w:tr>
      <w:tr w:rsidR="002C4D28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/>
                <w:sz w:val="20"/>
              </w:rPr>
              <w:t>Pré-condição: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  <w:t>O usuário está autenticado.</w:t>
            </w:r>
          </w:p>
        </w:tc>
      </w:tr>
      <w:tr w:rsidR="002C4D28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/>
                <w:sz w:val="20"/>
              </w:rPr>
              <w:t>Pós-condição: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  <w:t>Dados cadastrais atualizados e data de alteração registrada.</w:t>
            </w:r>
          </w:p>
        </w:tc>
      </w:tr>
      <w:tr w:rsidR="002C4D28" w:rsidRPr="00A42FB0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/>
                <w:sz w:val="20"/>
              </w:rPr>
              <w:t>Ator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/>
                <w:sz w:val="20"/>
              </w:rPr>
              <w:t>Sistema</w:t>
            </w:r>
          </w:p>
        </w:tc>
      </w:tr>
      <w:tr w:rsidR="002C4D28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  <w:t>1. O usuário acessa “Meu Perfil” e altera os campos desejados.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</w:r>
          </w:p>
        </w:tc>
      </w:tr>
      <w:tr w:rsidR="002C4D28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  <w:t>2. O sistema valida os campos alterados e impede a alteração do endereço de correio eletrônico para um já cadastrado.</w:t>
            </w:r>
          </w:p>
        </w:tc>
      </w:tr>
      <w:tr w:rsidR="002C4D28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  <w:t>3. O sistema persiste as alterações e atualiza a data de modificação do registro.</w:t>
            </w:r>
          </w:p>
        </w:tc>
      </w:tr>
      <w:tr w:rsidR="002C4D28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  <w:t>4. O sistema apresenta a confirmação da atualização.</w:t>
            </w:r>
          </w:p>
        </w:tc>
      </w:tr>
    </w:tbl>
    <w:p>
      <w:r>
        <w:rPr>
          <w:sz w:val="18"/>
        </w:rPr>
        <w:t>QUADRO 2 – Fluxo de eventos do cenário “Atualização de dados cadastrais pelo próprio usuário”</w:t>
      </w:r>
    </w:p>
    <w:p/>
    <w:tbl>
      <w:tblPr>
        <w:tblStyle w:val="aff"/>
        <w:tblW w:w="9022" w:type="dxa"/>
        <w:tblInd w:w="-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381"/>
        <w:gridCol w:w="6641"/>
      </w:tblGrid>
      <w:tr w:rsidR="002C4D28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/>
                <w:sz w:val="20"/>
              </w:rPr>
              <w:t>Nome do caso de uso: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  <w:t>Gerenciar conta de usuário</w:t>
            </w:r>
          </w:p>
        </w:tc>
      </w:tr>
      <w:tr w:rsidR="002C4D28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/>
                <w:sz w:val="20"/>
              </w:rPr>
              <w:t>Nome do cenário: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  <w:t>Inativação de conta pelo administrador</w:t>
            </w:r>
          </w:p>
        </w:tc>
      </w:tr>
      <w:tr w:rsidR="002C4D28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/>
                <w:sz w:val="20"/>
              </w:rPr>
              <w:t>Ator(es) envolvido(s):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  <w:t>Administrador</w:t>
            </w:r>
          </w:p>
        </w:tc>
      </w:tr>
      <w:tr w:rsidR="002C4D28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/>
                <w:sz w:val="20"/>
              </w:rPr>
              <w:t>Pré-condição: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  <w:t>A conta a ser inativada existe e está ativa.</w:t>
            </w:r>
          </w:p>
        </w:tc>
      </w:tr>
      <w:tr w:rsidR="002C4D28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/>
                <w:sz w:val="20"/>
              </w:rPr>
              <w:t>Pós-condição: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  <w:t>Conta marcada como inativa; as ocorrências registradas são preservadas.</w:t>
            </w:r>
          </w:p>
        </w:tc>
      </w:tr>
      <w:tr w:rsidR="002C4D28" w:rsidRPr="00A42FB0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/>
                <w:sz w:val="20"/>
              </w:rPr>
              <w:t>Ator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/>
                <w:sz w:val="20"/>
              </w:rPr>
              <w:t>Sistema</w:t>
            </w:r>
          </w:p>
        </w:tc>
      </w:tr>
      <w:tr w:rsidR="002C4D28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  <w:t>1. O administrador localiza a conta na gestão de usuários e aciona a inativação.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</w:r>
          </w:p>
        </w:tc>
      </w:tr>
      <w:tr w:rsidR="002C4D28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  <w:t>2. O sistema solicita a confirmação da operação.</w:t>
            </w:r>
          </w:p>
        </w:tc>
      </w:tr>
      <w:tr w:rsidR="002C4D28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  <w:t>3. O administrador confirma.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</w:r>
          </w:p>
        </w:tc>
      </w:tr>
      <w:tr w:rsidR="002C4D28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  <w:t>4. O sistema marca a conta como inativa, impedindo novas autenticações.</w:t>
            </w:r>
          </w:p>
        </w:tc>
      </w:tr>
      <w:tr w:rsidR="002C4D28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  <w:t>5. O sistema preserva as ocorrências registradas pela conta, mantendo a integridade do histórico público.</w:t>
            </w:r>
          </w:p>
        </w:tc>
      </w:tr>
    </w:tbl>
    <w:p>
      <w:r>
        <w:rPr>
          <w:sz w:val="18"/>
        </w:rPr>
        <w:t>QUADRO 3 – Fluxo de eventos do cenário “Inativação de conta pelo administrador”</w:t>
      </w:r>
    </w:p>
    <w:p/>
    <w:tbl>
      <w:tblPr>
        <w:tblStyle w:val="aff"/>
        <w:tblW w:w="9022" w:type="dxa"/>
        <w:tblInd w:w="-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381"/>
        <w:gridCol w:w="6641"/>
      </w:tblGrid>
      <w:tr w:rsidR="002C4D28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/>
                <w:sz w:val="20"/>
              </w:rPr>
              <w:t>Nome do caso de uso: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  <w:t>Relacionar usuário à instituição</w:t>
            </w:r>
          </w:p>
        </w:tc>
      </w:tr>
      <w:tr w:rsidR="002C4D28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/>
                <w:sz w:val="20"/>
              </w:rPr>
              <w:t>Nome do cenário: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  <w:t>Vinculação do funcionário ao departamento responsável</w:t>
            </w:r>
          </w:p>
        </w:tc>
      </w:tr>
      <w:tr w:rsidR="002C4D28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/>
                <w:sz w:val="20"/>
              </w:rPr>
              <w:t>Ator(es) envolvido(s):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  <w:t>Administrador</w:t>
            </w:r>
          </w:p>
        </w:tc>
      </w:tr>
      <w:tr w:rsidR="002C4D28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/>
                <w:sz w:val="20"/>
              </w:rPr>
              <w:t>Pré-condição: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  <w:t>Existem departamentos cadastrados e conta com o perfil EMPLOYEE.</w:t>
            </w:r>
          </w:p>
        </w:tc>
      </w:tr>
      <w:tr w:rsidR="002C4D28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/>
                <w:sz w:val="20"/>
              </w:rPr>
              <w:t>Pós-condição: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  <w:t>Funcionário vinculado ao departamento, que passa a receber as ocorrências das categorias correspondentes.</w:t>
            </w:r>
          </w:p>
        </w:tc>
      </w:tr>
      <w:tr w:rsidR="002C4D28" w:rsidRPr="00A42FB0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/>
                <w:sz w:val="20"/>
              </w:rPr>
              <w:t>Ator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/>
                <w:sz w:val="20"/>
              </w:rPr>
              <w:t>Sistema</w:t>
            </w:r>
          </w:p>
        </w:tc>
      </w:tr>
      <w:tr w:rsidR="002C4D28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  <w:t>1. O administrador seleciona a conta do funcionário na gestão de usuários.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</w:r>
          </w:p>
        </w:tc>
      </w:tr>
      <w:tr w:rsidR="002C4D28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  <w:t>2. O administrador escolhe o departamento de lotação.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</w:r>
          </w:p>
        </w:tc>
      </w:tr>
      <w:tr w:rsidR="002C4D28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  <w:t>3. O sistema grava o vínculo entre a conta e o departamento.</w:t>
            </w:r>
          </w:p>
        </w:tc>
      </w:tr>
      <w:tr w:rsidR="002C4D28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  <w:t>4. O sistema passa a apresentar ao funcionário, de forma destacada, as ocorrências das categorias atribuídas ao seu departamento.</w:t>
            </w:r>
          </w:p>
        </w:tc>
      </w:tr>
    </w:tbl>
    <w:p>
      <w:r>
        <w:rPr>
          <w:sz w:val="18"/>
        </w:rPr>
        <w:t>QUADRO 4 – Fluxo de eventos do cenário “Vinculação do funcionário ao departamento responsável”</w:t>
      </w:r>
    </w:p>
    <w:tbl>
      <w:tblPr>
        <w:tblStyle w:val="aff"/>
        <w:tblW w:w="9022" w:type="dxa"/>
        <w:tblInd w:w="-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381"/>
        <w:gridCol w:w="6641"/>
      </w:tblGrid>
      <w:tr w:rsidR="002C4D28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t>Nome do caso de uso: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t>Criar conta da administração pública</w:t>
            </w:r>
          </w:p>
        </w:tc>
      </w:tr>
      <w:tr w:rsidR="002C4D28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t>Nome do cenário: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t>Criação de conta conforme o perfil de quem cadastra</w:t>
            </w:r>
          </w:p>
        </w:tc>
      </w:tr>
      <w:tr w:rsidR="002C4D28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t>Ator(es) envolvido(s):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t>Super Administrador; Administrador do município</w:t>
            </w:r>
          </w:p>
        </w:tc>
      </w:tr>
      <w:tr w:rsidR="002C4D28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t>Pré-condição: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t>O solicitante está autenticado com o perfil SUPER_ADMIN ou ADMINISTRATOR.</w:t>
            </w:r>
          </w:p>
        </w:tc>
      </w:tr>
      <w:tr w:rsidR="002C4D28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t>Pós-condição: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t>Conta criada com o perfil e o município correspondentes, com segundo fator exigido no primeiro acesso.</w:t>
            </w:r>
          </w:p>
        </w:tc>
      </w:tr>
      <w:tr w:rsidR="002C4D28" w:rsidRPr="00A42FB0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t>Ator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t>Sistema</w:t>
            </w:r>
          </w:p>
        </w:tc>
      </w:tr>
      <w:tr w:rsidR="002C4D28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t>1. O solicitante acessa “Criar Usuário”.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</w:p>
        </w:tc>
      </w:tr>
      <w:tr w:rsidR="002C4D28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t>2. O sistema apresenta os perfis que o solicitante pode criar: ao Super Administrador, funcionário, administrador do município e Super Administrador; ao administrador municipal, apenas funcionário, com o município preenchido e bloqueado.</w:t>
            </w:r>
          </w:p>
        </w:tc>
      </w:tr>
      <w:tr w:rsidR="002C4D28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t>3. O solicitante informa nome, endereço de correio eletrônico, senha inicial, perfil e, quando couber, a unidade federativa e o município.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</w:p>
        </w:tc>
      </w:tr>
      <w:tr w:rsidR="002C4D28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t>4. O sistema valida os dados, cria a conta e expede mensagem de boas-vindas com a orientação de configurar o segundo fator no primeiro acesso.</w:t>
            </w:r>
          </w:p>
        </w:tc>
      </w:tr>
      <w:tr w:rsidR="002C4D28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t>5. Fluxo alternativo — perfil de administrador solicitado por administrador municipal: o sistema recusa a operação, privativa do Super Administrador.</w:t>
            </w:r>
          </w:p>
        </w:tc>
      </w:tr>
      <w:tr w:rsidR="002C4D28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t>6. Fluxo alternativo — município diverso do solicitante: o sistema recusa a operação.</w:t>
            </w:r>
          </w:p>
        </w:tc>
      </w:tr>
      <w:tr w:rsidR="002C4D28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t>7. Fluxo alternativo — endereço de correio eletrônico já cadastrado: o sistema informa a duplicidade e mantém a conta existente.</w:t>
            </w:r>
          </w:p>
        </w:tc>
      </w:tr>
    </w:tbl>
    <w:p>
      <w:r>
        <w:rPr>
          <w:sz w:val="18"/>
        </w:rPr>
        <w:t>QUADRO 5 – Fluxo de eventos do cenário “Criação de conta conforme o perfil de quem cadastra”</w:t>
      </w:r>
    </w:p>
    <w:p/>
    <w:tbl>
      <w:tblPr>
        <w:tblStyle w:val="aff"/>
        <w:tblW w:w="9022" w:type="dxa"/>
        <w:tblInd w:w="-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381"/>
        <w:gridCol w:w="6641"/>
      </w:tblGrid>
      <w:tr w:rsidR="002C4D28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t>Nome do caso de uso: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t>Consultar e inativar contas</w:t>
            </w:r>
          </w:p>
        </w:tc>
      </w:tr>
      <w:tr w:rsidR="002C4D28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t>Nome do cenário: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t>Manutenção das contas dentro do alcance do solicitante</w:t>
            </w:r>
          </w:p>
        </w:tc>
      </w:tr>
      <w:tr w:rsidR="002C4D28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t>Ator(es) envolvido(s):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t>Super Administrador; Administrador do município</w:t>
            </w:r>
          </w:p>
        </w:tc>
      </w:tr>
      <w:tr w:rsidR="002C4D28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t>Pré-condição: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t>O solicitante está autenticado com o perfil SUPER_ADMIN ou ADMINISTRATOR.</w:t>
            </w:r>
          </w:p>
        </w:tc>
      </w:tr>
      <w:tr w:rsidR="002C4D28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t>Pós-condição: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t>Situação da conta alterada, preservados os dados e o histórico.</w:t>
            </w:r>
          </w:p>
        </w:tc>
      </w:tr>
      <w:tr w:rsidR="002C4D28" w:rsidRPr="00A42FB0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t>Ator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t>Sistema</w:t>
            </w:r>
          </w:p>
        </w:tc>
      </w:tr>
      <w:tr w:rsidR="002C4D28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t>1. O solicitante acessa a relação de usuários.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</w:p>
        </w:tc>
      </w:tr>
      <w:tr w:rsidR="002C4D28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t>2. O sistema apresenta todas as contas ao Super Administrador e, ao administrador municipal, apenas as vinculadas ao seu município, excluídas as de Super Administrador.</w:t>
            </w:r>
          </w:p>
        </w:tc>
      </w:tr>
      <w:tr w:rsidR="002C4D28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t>3. O solicitante aciona a ativação ou a inativação de uma conta.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</w:p>
        </w:tc>
      </w:tr>
      <w:tr w:rsidR="002C4D28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t>4. O sistema altera a situação da conta e impede o acesso enquanto ela estiver inativa, sem excluir os dados.</w:t>
            </w:r>
          </w:p>
        </w:tc>
      </w:tr>
      <w:tr w:rsidR="002C4D28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t>5. Fluxo alternativo — conta fora do alcance do solicitante: o sistema recusa a operação.</w:t>
            </w:r>
          </w:p>
        </w:tc>
      </w:tr>
    </w:tbl>
    <w:p>
      <w:r>
        <w:rPr>
          <w:sz w:val="18"/>
        </w:rPr>
        <w:t>QUADRO 6 – Fluxo de eventos do cenário “Manutenção das contas dentro do alcance do solicitante”</w:t>
      </w:r>
    </w:p>
    <w:p/>
    <w:sectPr w:rsidR="002C4D28" w:rsidSect="002C4D28">
      <w:headerReference w:type="default" r:id="rId7"/>
      <w:pgSz w:w="11906" w:h="16838"/>
      <w:pgMar w:top="1700" w:right="1133" w:bottom="1133" w:left="1700" w:header="720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1345F5" w:rsidRDefault="001345F5" w:rsidP="00A42FB0">
      <w:pPr>
        <w:spacing w:line="240" w:lineRule="auto"/>
      </w:pPr>
      <w:r>
        <w:separator/>
      </w:r>
    </w:p>
  </w:endnote>
  <w:endnote w:type="continuationSeparator" w:id="0">
    <w:p w:rsidR="001345F5" w:rsidRDefault="001345F5" w:rsidP="00A42FB0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1345F5" w:rsidRDefault="001345F5" w:rsidP="00A42FB0">
      <w:pPr>
        <w:spacing w:line="240" w:lineRule="auto"/>
      </w:pPr>
      <w:r>
        <w:separator/>
      </w:r>
    </w:p>
  </w:footnote>
  <w:footnote w:type="continuationSeparator" w:id="0">
    <w:p w:rsidR="001345F5" w:rsidRDefault="001345F5" w:rsidP="00A42FB0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415348391"/>
      <w:docPartObj>
        <w:docPartGallery w:val="Page Numbers (Top of Page)"/>
        <w:docPartUnique/>
      </w:docPartObj>
    </w:sdtPr>
    <w:sdtEndPr>
      <w:rPr>
        <w:rFonts w:ascii="Times New Roman" w:hAnsi="Times New Roman" w:cs="Times New Roman"/>
        <w:sz w:val="20"/>
        <w:szCs w:val="20"/>
      </w:rPr>
    </w:sdtEndPr>
    <w:sdtContent>
      <w:p w:rsidR="007D4BC7" w:rsidRPr="00587C54" w:rsidRDefault="004F2A4B">
        <w:pPr>
          <w:pStyle w:val="Cabealho"/>
          <w:jc w:val="right"/>
          <w:rPr>
            <w:rFonts w:ascii="Times New Roman" w:hAnsi="Times New Roman" w:cs="Times New Roman"/>
            <w:sz w:val="20"/>
            <w:szCs w:val="20"/>
          </w:rPr>
        </w:pPr>
        <w:r w:rsidRPr="00587C54">
          <w:rPr>
            <w:rFonts w:ascii="Times New Roman" w:hAnsi="Times New Roman" w:cs="Times New Roman"/>
            <w:sz w:val="20"/>
            <w:szCs w:val="20"/>
          </w:rPr>
          <w:fldChar w:fldCharType="begin"/>
        </w:r>
        <w:r w:rsidRPr="00587C54">
          <w:rPr>
            <w:rFonts w:ascii="Times New Roman" w:hAnsi="Times New Roman" w:cs="Times New Roman"/>
            <w:sz w:val="20"/>
            <w:szCs w:val="20"/>
          </w:rPr>
          <w:instrText xml:space="preserve"> PAGE   \* MERGEFORMAT </w:instrText>
        </w:r>
        <w:r w:rsidRPr="00587C54">
          <w:rPr>
            <w:rFonts w:ascii="Times New Roman" w:hAnsi="Times New Roman" w:cs="Times New Roman"/>
            <w:sz w:val="20"/>
            <w:szCs w:val="20"/>
          </w:rPr>
          <w:fldChar w:fldCharType="separate"/>
        </w:r>
        <w:r w:rsidR="00F44E27">
          <w:rPr>
            <w:rFonts w:ascii="Times New Roman" w:hAnsi="Times New Roman" w:cs="Times New Roman"/>
            <w:noProof/>
            <w:sz w:val="20"/>
            <w:szCs w:val="20"/>
          </w:rPr>
          <w:t>1</w:t>
        </w:r>
        <w:r w:rsidRPr="00587C54">
          <w:rPr>
            <w:rFonts w:ascii="Times New Roman" w:hAnsi="Times New Roman" w:cs="Times New Roman"/>
            <w:noProof/>
            <w:sz w:val="20"/>
            <w:szCs w:val="20"/>
          </w:rPr>
          <w:fldChar w:fldCharType="end"/>
        </w:r>
        <w:r w:rsidR="00587C54">
          <w:rPr>
            <w:rFonts w:ascii="Times New Roman" w:hAnsi="Times New Roman" w:cs="Times New Roman"/>
            <w:noProof/>
            <w:sz w:val="20"/>
            <w:szCs w:val="20"/>
          </w:rPr>
          <w:t>/</w:t>
        </w:r>
        <w:r w:rsidR="00587C54">
          <w:rPr>
            <w:rFonts w:ascii="Times New Roman" w:hAnsi="Times New Roman" w:cs="Times New Roman"/>
            <w:noProof/>
            <w:sz w:val="20"/>
            <w:szCs w:val="20"/>
          </w:rPr>
          <w:fldChar w:fldCharType="begin"/>
        </w:r>
        <w:r w:rsidR="00587C54">
          <w:rPr>
            <w:rFonts w:ascii="Times New Roman" w:hAnsi="Times New Roman" w:cs="Times New Roman"/>
            <w:noProof/>
            <w:sz w:val="20"/>
            <w:szCs w:val="20"/>
          </w:rPr>
          <w:instrText xml:space="preserve"> NUMPAGES   \* MERGEFORMAT </w:instrText>
        </w:r>
        <w:r w:rsidR="00587C54">
          <w:rPr>
            <w:rFonts w:ascii="Times New Roman" w:hAnsi="Times New Roman" w:cs="Times New Roman"/>
            <w:noProof/>
            <w:sz w:val="20"/>
            <w:szCs w:val="20"/>
          </w:rPr>
          <w:fldChar w:fldCharType="separate"/>
        </w:r>
        <w:r w:rsidR="00F44E27">
          <w:rPr>
            <w:rFonts w:ascii="Times New Roman" w:hAnsi="Times New Roman" w:cs="Times New Roman"/>
            <w:noProof/>
            <w:sz w:val="20"/>
            <w:szCs w:val="20"/>
          </w:rPr>
          <w:t>1</w:t>
        </w:r>
        <w:r w:rsidR="00587C54">
          <w:rPr>
            <w:rFonts w:ascii="Times New Roman" w:hAnsi="Times New Roman" w:cs="Times New Roman"/>
            <w:noProof/>
            <w:sz w:val="20"/>
            <w:szCs w:val="20"/>
          </w:rPr>
          <w:fldChar w:fldCharType="end"/>
        </w:r>
      </w:p>
    </w:sdtContent>
  </w:sdt>
  <w:p w:rsidR="007D4BC7" w:rsidRDefault="007D4BC7">
    <w:pPr>
      <w:pStyle w:val="Cabealho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isplayBackgroundShape/>
  <w:defaultTabStop w:val="720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</w:compat>
  <w:rsids>
    <w:rsidRoot w:val="002C4D28"/>
    <w:rsid w:val="00001B21"/>
    <w:rsid w:val="001345F5"/>
    <w:rsid w:val="002C4D28"/>
    <w:rsid w:val="00451BA1"/>
    <w:rsid w:val="004F2A4B"/>
    <w:rsid w:val="004F58B4"/>
    <w:rsid w:val="00587C54"/>
    <w:rsid w:val="005A0F3A"/>
    <w:rsid w:val="005F2E6A"/>
    <w:rsid w:val="007051ED"/>
    <w:rsid w:val="007D4BC7"/>
    <w:rsid w:val="008762B3"/>
    <w:rsid w:val="00A42FB0"/>
    <w:rsid w:val="00AC4967"/>
    <w:rsid w:val="00BF6EBD"/>
    <w:rsid w:val="00CA3C37"/>
    <w:rsid w:val="00CE4B37"/>
    <w:rsid w:val="00D97532"/>
    <w:rsid w:val="00E763E4"/>
    <w:rsid w:val="00F44E27"/>
    <w:rsid w:val="00F5766E"/>
    <w:rsid w:val="00FE455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04C83E8A"/>
  <w15:docId w15:val="{F397906E-9901-49ED-9343-EA51C3F5619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Arial" w:eastAsia="Arial" w:hAnsi="Arial" w:cs="Arial"/>
        <w:sz w:val="22"/>
        <w:szCs w:val="22"/>
        <w:lang w:val="pt-BR" w:eastAsia="pt-BR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Ttulo1">
    <w:name w:val="heading 1"/>
    <w:basedOn w:val="Normal2"/>
    <w:next w:val="Normal2"/>
    <w:rsid w:val="002C4D28"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Ttulo2">
    <w:name w:val="heading 2"/>
    <w:basedOn w:val="Normal2"/>
    <w:next w:val="Normal2"/>
    <w:rsid w:val="002C4D28"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Ttulo3">
    <w:name w:val="heading 3"/>
    <w:basedOn w:val="Normal2"/>
    <w:next w:val="Normal2"/>
    <w:rsid w:val="002C4D28"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Ttulo4">
    <w:name w:val="heading 4"/>
    <w:basedOn w:val="Normal2"/>
    <w:next w:val="Normal2"/>
    <w:rsid w:val="002C4D28"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Ttulo5">
    <w:name w:val="heading 5"/>
    <w:basedOn w:val="Normal2"/>
    <w:next w:val="Normal2"/>
    <w:rsid w:val="002C4D28"/>
    <w:pPr>
      <w:keepNext/>
      <w:keepLines/>
      <w:spacing w:before="240" w:after="80"/>
      <w:outlineLvl w:val="4"/>
    </w:pPr>
    <w:rPr>
      <w:color w:val="666666"/>
    </w:rPr>
  </w:style>
  <w:style w:type="paragraph" w:styleId="Ttulo6">
    <w:name w:val="heading 6"/>
    <w:basedOn w:val="Normal2"/>
    <w:next w:val="Normal2"/>
    <w:rsid w:val="002C4D28"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customStyle="1" w:styleId="Normal1">
    <w:name w:val="Normal1"/>
    <w:rsid w:val="002C4D28"/>
  </w:style>
  <w:style w:type="table" w:customStyle="1" w:styleId="TableNormal">
    <w:name w:val="Table Normal"/>
    <w:rsid w:val="002C4D28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tulo">
    <w:name w:val="Title"/>
    <w:basedOn w:val="Normal2"/>
    <w:next w:val="Normal2"/>
    <w:rsid w:val="002C4D28"/>
    <w:pPr>
      <w:keepNext/>
      <w:keepLines/>
      <w:spacing w:after="60"/>
    </w:pPr>
    <w:rPr>
      <w:sz w:val="52"/>
      <w:szCs w:val="52"/>
    </w:rPr>
  </w:style>
  <w:style w:type="paragraph" w:customStyle="1" w:styleId="Normal2">
    <w:name w:val="Normal2"/>
    <w:rsid w:val="002C4D28"/>
  </w:style>
  <w:style w:type="table" w:customStyle="1" w:styleId="TableNormal0">
    <w:name w:val="Table Normal"/>
    <w:rsid w:val="002C4D28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Subttulo">
    <w:name w:val="Subtitle"/>
    <w:basedOn w:val="Normal2"/>
    <w:next w:val="Normal2"/>
    <w:rsid w:val="002C4D28"/>
    <w:pPr>
      <w:keepNext/>
      <w:keepLines/>
      <w:spacing w:after="320"/>
    </w:pPr>
    <w:rPr>
      <w:color w:val="666666"/>
      <w:sz w:val="30"/>
      <w:szCs w:val="30"/>
    </w:rPr>
  </w:style>
  <w:style w:type="table" w:customStyle="1" w:styleId="a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0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1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2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3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4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5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6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7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8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9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a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b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c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d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e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0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1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2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3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4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5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6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7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8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9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a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b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c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d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e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0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1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2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3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4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5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6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7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8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9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a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b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c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d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e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0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1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2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3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4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5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6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7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8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9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a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b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c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d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e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0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paragraph" w:styleId="Cabealho">
    <w:name w:val="header"/>
    <w:basedOn w:val="Normal"/>
    <w:link w:val="CabealhoChar"/>
    <w:uiPriority w:val="99"/>
    <w:unhideWhenUsed/>
    <w:rsid w:val="00A42FB0"/>
    <w:pPr>
      <w:tabs>
        <w:tab w:val="center" w:pos="4252"/>
        <w:tab w:val="right" w:pos="8504"/>
      </w:tabs>
      <w:spacing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A42FB0"/>
  </w:style>
  <w:style w:type="paragraph" w:styleId="Rodap">
    <w:name w:val="footer"/>
    <w:basedOn w:val="Normal"/>
    <w:link w:val="RodapChar"/>
    <w:uiPriority w:val="99"/>
    <w:unhideWhenUsed/>
    <w:rsid w:val="00A42FB0"/>
    <w:pPr>
      <w:tabs>
        <w:tab w:val="center" w:pos="4252"/>
        <w:tab w:val="right" w:pos="8504"/>
      </w:tabs>
      <w:spacing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A42FB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>
  <go:docsCustomData xmlns:go="http://customooxmlschemas.google.com/" roundtripDataSignature="AMtx7mhKjbuPOeKCtgs8KOL/krJjql+Ywg==">AMUW2mUzTdFwDJyhyzl4BKrSLI4xLeyQRvpv+smxvlm5psu0qdWJc4sZJzlxFj4npQFFBZosfZZK9Jpr23nwCLYuG15znuIOuUunx60OlvvbvHu6/ArG2bI=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</TotalTime>
  <Pages>1</Pages>
  <Words>38</Words>
  <Characters>210</Characters>
  <Application>Microsoft Office Word</Application>
  <DocSecurity>0</DocSecurity>
  <Lines>1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EGS</cp:lastModifiedBy>
  <cp:revision>16</cp:revision>
  <dcterms:created xsi:type="dcterms:W3CDTF">2022-01-30T15:50:00Z</dcterms:created>
  <dcterms:modified xsi:type="dcterms:W3CDTF">2026-08-03T16:24:00Z</dcterms:modified>
</cp:coreProperties>
</file>