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400" w:line="360" w:lineRule="auto"/>
        <w:ind/>
        <w:jc w:val="center"/>
        <w:rPr/>
      </w:pPr>
      <w:r>
        <w:rPr>
          <w:rFonts w:ascii="Arial" w:hAnsi="Arial" w:eastAsia="Arial" w:cs="Arial"/>
          <w:b/>
          <w:bCs/>
          <w:sz w:val="24"/>
          <w:szCs w:val="24"/>
        </w:rPr>
        <w:t xml:space="preserve">RELATÓRIO DE ATIVIDADE DE EXTENSÃO À COMUNIDADE</w:t>
      </w:r>
      <w:r/>
    </w:p>
    <w:p>
      <w:pPr>
        <w:pBdr/>
        <w:spacing w:after="480" w:line="360" w:lineRule="auto"/>
        <w:ind/>
        <w:jc w:val="center"/>
        <w:rPr/>
      </w:pPr>
      <w:r>
        <w:rPr>
          <w:rFonts w:ascii="Arial" w:hAnsi="Arial" w:eastAsia="Arial" w:cs="Arial"/>
          <w:sz w:val="24"/>
          <w:szCs w:val="24"/>
        </w:rPr>
        <w:t xml:space="preserve">Correção colaborativa da base cartográfica de Santa Rita do Sapucaí (MG) no OpenStreetMap</w:t>
      </w:r>
      <w:r/>
    </w:p>
    <w:p>
      <w:pPr>
        <w:pStyle w:val="706"/>
        <w:pBdr/>
        <w:spacing w:after="160" w:before="320" w:line="360" w:lineRule="auto"/>
        <w:ind/>
        <w:rPr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1 IDENTIFICAÇÃO</w:t>
      </w:r>
      <w:r/>
    </w:p>
    <w:p>
      <w:pPr>
        <w:pBdr/>
        <w:spacing w:after="160" w:line="360" w:lineRule="auto"/>
        <w:ind/>
        <w:jc w:val="both"/>
        <w:rPr/>
      </w:pPr>
      <w:r>
        <w:rPr>
          <w:rFonts w:ascii="Arial" w:hAnsi="Arial" w:eastAsia="Arial" w:cs="Arial"/>
          <w:sz w:val="24"/>
          <w:szCs w:val="24"/>
        </w:rPr>
        <w:t xml:space="preserve">Projeto: FalaCidade — plataforma de registro e acompanhamento de ocorrências urbanas.</w:t>
      </w:r>
      <w:r/>
    </w:p>
    <w:p>
      <w:pPr>
        <w:pBdr/>
        <w:spacing w:after="160" w:line="360" w:lineRule="auto"/>
        <w:ind/>
        <w:jc w:val="both"/>
        <w:rPr/>
      </w:pPr>
      <w:r>
        <w:rPr>
          <w:rFonts w:ascii="Arial" w:hAnsi="Arial" w:eastAsia="Arial" w:cs="Arial"/>
          <w:sz w:val="24"/>
          <w:szCs w:val="24"/>
        </w:rPr>
        <w:t xml:space="preserve">Atividade: correção e complementação dos nomes de logradouros do município de Santa Rita do Sapucaí (MG) na base cartográfica colaborativa OpenStreetMap, com base no registro oficial da Prefeitura Municipal.</w:t>
      </w:r>
      <w:r/>
    </w:p>
    <w:p>
      <w:pPr>
        <w:pBdr/>
        <w:spacing w:after="160" w:line="360" w:lineRule="auto"/>
        <w:ind/>
        <w:jc w:val="both"/>
        <w:rPr/>
      </w:pPr>
      <w:r>
        <w:rPr>
          <w:rFonts w:ascii="Arial" w:hAnsi="Arial" w:eastAsia="Arial" w:cs="Arial"/>
          <w:sz w:val="24"/>
          <w:szCs w:val="24"/>
        </w:rPr>
        <w:t xml:space="preserve">Responsável pela execução: Rodrigo Romano, conta OpenStreetMap "RPRomano" (uid 24582444).</w:t>
      </w:r>
      <w:r/>
    </w:p>
    <w:p>
      <w:pPr>
        <w:pBdr/>
        <w:spacing w:after="160" w:line="360" w:lineRule="auto"/>
        <w:ind/>
        <w:jc w:val="both"/>
        <w:rPr/>
      </w:pPr>
      <w:r>
        <w:rPr>
          <w:rFonts w:ascii="Arial" w:hAnsi="Arial" w:eastAsia="Arial" w:cs="Arial"/>
          <w:sz w:val="24"/>
          <w:szCs w:val="24"/>
        </w:rPr>
        <w:t xml:space="preserve">Data de realização: 22 de setembro de 2026.</w:t>
      </w:r>
      <w:r/>
    </w:p>
    <w:p>
      <w:pPr>
        <w:pBdr/>
        <w:spacing w:after="160" w:line="360" w:lineRule="auto"/>
        <w:ind/>
        <w:jc w:val="both"/>
        <w:rPr/>
      </w:pPr>
      <w:r>
        <w:rPr>
          <w:rFonts w:ascii="Arial" w:hAnsi="Arial" w:eastAsia="Arial" w:cs="Arial"/>
          <w:sz w:val="24"/>
          <w:szCs w:val="24"/>
        </w:rPr>
        <w:t xml:space="preserve">Carga horária: </w:t>
      </w:r>
      <w:r>
        <w:rPr>
          <w:rFonts w:ascii="Arial" w:hAnsi="Arial" w:eastAsia="Arial" w:cs="Arial"/>
          <w:sz w:val="24"/>
          <w:szCs w:val="24"/>
          <w:lang w:val="pt-BR"/>
        </w:rPr>
        <w:t xml:space="preserve">1</w:t>
      </w:r>
      <w:r>
        <w:rPr>
          <w:rFonts w:ascii="Arial" w:hAnsi="Arial" w:eastAsia="Arial" w:cs="Arial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sz w:val="24"/>
          <w:szCs w:val="24"/>
        </w:rPr>
        <w:t xml:space="preserve">horas (preencher).</w:t>
      </w:r>
      <w:r/>
    </w:p>
    <w:p>
      <w:pPr>
        <w:pBdr/>
        <w:spacing w:after="160" w:line="360" w:lineRule="auto"/>
        <w:ind/>
        <w:jc w:val="both"/>
        <w:rPr/>
      </w:pPr>
      <w:r>
        <w:rPr>
          <w:rFonts w:ascii="Arial" w:hAnsi="Arial" w:eastAsia="Arial" w:cs="Arial"/>
          <w:sz w:val="24"/>
          <w:szCs w:val="24"/>
        </w:rPr>
        <w:t xml:space="preserve">Área geográfica: latitudes −22,2339 a −22,2219 e longitudes −45,7167 a −45,7033, correspondentes aos bairros ao norte da sede municipal.</w:t>
      </w:r>
      <w:r/>
    </w:p>
    <w:p>
      <w:pPr>
        <w:pStyle w:val="706"/>
        <w:pBdr/>
        <w:spacing w:after="160" w:before="320" w:line="360" w:lineRule="auto"/>
        <w:ind/>
        <w:rPr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2 JUSTIFICATIVA E VÍNCULO COM O PROJETO</w:t>
      </w:r>
      <w:r/>
    </w:p>
    <w:p>
      <w:pPr>
        <w:pBdr/>
        <w:spacing w:after="160" w:line="360" w:lineRule="auto"/>
        <w:ind/>
        <w:jc w:val="both"/>
        <w:rPr/>
      </w:pPr>
      <w:r>
        <w:rPr>
          <w:rFonts w:ascii="Arial" w:hAnsi="Arial" w:eastAsia="Arial" w:cs="Arial"/>
          <w:sz w:val="24"/>
          <w:szCs w:val="24"/>
        </w:rPr>
        <w:t xml:space="preserve">O requisito RF09 do FalaCidade permite que o cid</w:t>
      </w:r>
      <w:r>
        <w:rPr>
          <w:rFonts w:ascii="Arial" w:hAnsi="Arial" w:eastAsia="Arial" w:cs="Arial"/>
          <w:sz w:val="24"/>
          <w:szCs w:val="24"/>
        </w:rPr>
        <w:t xml:space="preserve">adão marque no mapa o local da ocorrência; a aplicação então consulta o serviço de geocodificação reversa Nominatim e preenche automaticamente logradouro, bairro e município do formulário de registro. O Nominatim responde a partir da base do OpenStreetMap.</w:t>
      </w:r>
      <w:r/>
    </w:p>
    <w:p>
      <w:pPr>
        <w:pBdr/>
        <w:spacing w:after="160" w:line="360" w:lineRule="auto"/>
        <w:ind/>
        <w:jc w:val="both"/>
        <w:rPr/>
      </w:pPr>
      <w:r>
        <w:rPr>
          <w:rFonts w:ascii="Arial" w:hAnsi="Arial" w:eastAsia="Arial" w:cs="Arial"/>
          <w:sz w:val="24"/>
          <w:szCs w:val="24"/>
        </w:rPr>
        <w:t xml:space="preserve">Durante os testes de campo verificou-se que parte dos logradouros do município estava registrada na base com denominação divergente da oficia</w:t>
      </w:r>
      <w:r>
        <w:rPr>
          <w:rFonts w:ascii="Arial" w:hAnsi="Arial" w:eastAsia="Arial" w:cs="Arial"/>
          <w:sz w:val="24"/>
          <w:szCs w:val="24"/>
        </w:rPr>
        <w:t xml:space="preserve">l, e que outros trechos não possuíam denominação alguma. Como consequência, o endereço preenchido automaticamente reproduzia a divergência, e a ocorrência seria encaminhada ao departamento responsável com um endereço que a equipe de campo não reconheceria.</w:t>
      </w:r>
      <w:r/>
    </w:p>
    <w:p>
      <w:pPr>
        <w:pBdr/>
        <w:spacing w:after="160" w:line="360" w:lineRule="auto"/>
        <w:ind/>
        <w:jc w:val="both"/>
        <w:rPr/>
      </w:pPr>
      <w:r>
        <w:rPr>
          <w:rFonts w:ascii="Arial" w:hAnsi="Arial" w:eastAsia="Arial" w:cs="Arial"/>
          <w:sz w:val="24"/>
          <w:szCs w:val="24"/>
        </w:rPr>
        <w:t xml:space="preserve">A correção foi executada diretamente na base de origem. O benef</w:t>
      </w:r>
      <w:r>
        <w:rPr>
          <w:rFonts w:ascii="Arial" w:hAnsi="Arial" w:eastAsia="Arial" w:cs="Arial"/>
          <w:sz w:val="24"/>
          <w:szCs w:val="24"/>
        </w:rPr>
        <w:t xml:space="preserve">ício, portanto, não se limita ao projeto: qualquer aplicação que consulte o OpenStreetMap no território do município passa a receber a denominação oficial — o que caracteriza a atividade como contribuição à comunidade, e não como ajuste interno do sistema.</w:t>
      </w:r>
      <w:r/>
    </w:p>
    <w:p>
      <w:pPr>
        <w:pStyle w:val="706"/>
        <w:pBdr/>
        <w:spacing w:after="160" w:before="320" w:line="360" w:lineRule="auto"/>
        <w:ind/>
        <w:rPr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3 MÉTODO</w:t>
      </w:r>
      <w:r/>
    </w:p>
    <w:p>
      <w:pPr>
        <w:pBdr/>
        <w:spacing w:after="160" w:line="360" w:lineRule="auto"/>
        <w:ind/>
        <w:jc w:val="both"/>
        <w:rPr/>
      </w:pPr>
      <w:r>
        <w:rPr>
          <w:rFonts w:ascii="Arial" w:hAnsi="Arial" w:eastAsia="Arial" w:cs="Arial"/>
          <w:sz w:val="24"/>
          <w:szCs w:val="24"/>
        </w:rPr>
        <w:t xml:space="preserve">As alterações foram feitas pelo editor iD, versão 2.42.2, na interface oficial do OpenStreetMap. A conferência do traçado das vias apoiou-se na imagem</w:t>
      </w:r>
      <w:r>
        <w:rPr>
          <w:rFonts w:ascii="Arial" w:hAnsi="Arial" w:eastAsia="Arial" w:cs="Arial"/>
          <w:sz w:val="24"/>
          <w:szCs w:val="24"/>
        </w:rPr>
        <w:t xml:space="preserve"> aérea Bing Maps Aerial; a denominação dos logradouros teve por fonte o registro da Prefeitura Municipal, declarado na própria base pela etiqueta source:name=Prefeitura Municipal, e o conhecimento local do executor, declarado em source=local knowledge;gps.</w:t>
      </w:r>
      <w:r/>
    </w:p>
    <w:p>
      <w:pPr>
        <w:pBdr/>
        <w:spacing w:after="160" w:line="360" w:lineRule="auto"/>
        <w:ind/>
        <w:jc w:val="both"/>
        <w:rPr/>
      </w:pPr>
      <w:r>
        <w:rPr>
          <w:rFonts w:ascii="Arial" w:hAnsi="Arial" w:eastAsia="Arial" w:cs="Arial"/>
          <w:sz w:val="24"/>
          <w:szCs w:val="24"/>
        </w:rPr>
        <w:t xml:space="preserve">Parte das vias recebeu ainda a etiqueta old_name, destinada a preservar a denominação anterior para que a busca pelo nome antigo continue localizando o logradouro.</w:t>
      </w:r>
      <w:r/>
    </w:p>
    <w:p>
      <w:pPr>
        <w:pBdr/>
        <w:spacing w:after="160" w:line="360" w:lineRule="auto"/>
        <w:ind/>
        <w:jc w:val="both"/>
        <w:rPr/>
      </w:pPr>
      <w:r>
        <w:rPr>
          <w:rFonts w:ascii="Arial" w:hAnsi="Arial" w:eastAsia="Arial" w:cs="Arial"/>
          <w:sz w:val="24"/>
          <w:szCs w:val="24"/>
        </w:rPr>
        <w:t xml:space="preserve">O trabalho foi registrado em dois conjuntos de alteraçõ</w:t>
      </w:r>
      <w:r>
        <w:rPr>
          <w:rFonts w:ascii="Arial" w:hAnsi="Arial" w:eastAsia="Arial" w:cs="Arial"/>
          <w:sz w:val="24"/>
          <w:szCs w:val="24"/>
        </w:rPr>
        <w:t xml:space="preserve">es ("changesets"), que é a unidade de versionamento do OpenStreetMap: o número 189415583, com vinte e uma alterações, e o número 189416255, com uma alteração complementar de acentuação. Ambos são públicos, permanentes e atribuídos nominalmente ao executor.</w:t>
      </w:r>
      <w:r/>
    </w:p>
    <w:p>
      <w:pPr>
        <w:pStyle w:val="706"/>
        <w:pBdr/>
        <w:spacing w:after="160" w:before="320" w:line="360" w:lineRule="auto"/>
        <w:ind/>
        <w:rPr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4 RESULTADOS</w:t>
      </w:r>
      <w:r/>
    </w:p>
    <w:p>
      <w:pPr>
        <w:pBdr/>
        <w:spacing w:after="160" w:line="360" w:lineRule="auto"/>
        <w:ind/>
        <w:jc w:val="both"/>
        <w:rPr/>
      </w:pPr>
      <w:r>
        <w:rPr>
          <w:rFonts w:ascii="Arial" w:hAnsi="Arial" w:eastAsia="Arial" w:cs="Arial"/>
          <w:sz w:val="24"/>
          <w:szCs w:val="24"/>
        </w:rPr>
        <w:t xml:space="preserve">Foram vinte e duas alterações sobre vinte e um objetos — a via 215164422 foi alterada nos</w:t>
      </w:r>
      <w:r>
        <w:rPr>
          <w:rFonts w:ascii="Arial" w:hAnsi="Arial" w:eastAsia="Arial" w:cs="Arial"/>
          <w:sz w:val="24"/>
          <w:szCs w:val="24"/>
        </w:rPr>
        <w:t xml:space="preserve"> dois conjuntos. Os objetos são dezenove logradouros e dois pontos, um deles identificando o Supermercado BH e o outro sem etiquetas, de apoio ao traçado. O quadro a seguir relaciona os vinte objetos com denominação, com o registro anterior e o resultante.</w:t>
      </w:r>
      <w:r/>
    </w:p>
    <w:tbl>
      <w:tblPr>
        <w:tblW w:w="9026" w:type="dxa"/>
        <w:tblBorders>
          <w:top w:val="single" w:color="b0b8c2" w:sz="4" w:space="0"/>
          <w:left w:val="single" w:color="b0b8c2" w:sz="4" w:space="0"/>
          <w:bottom w:val="single" w:color="b0b8c2" w:sz="4" w:space="0"/>
          <w:right w:val="single" w:color="b0b8c2" w:sz="4" w:space="0"/>
          <w:insideH w:val="single" w:color="d5dce4" w:sz="2" w:space="0"/>
          <w:insideV w:val="single" w:color="d5dce4" w:sz="2" w:space="0"/>
        </w:tblBorders>
        <w:tblLook w:val="04A0" w:firstRow="1" w:lastRow="0" w:firstColumn="1" w:lastColumn="0" w:noHBand="0" w:noVBand="1"/>
      </w:tblPr>
      <w:tblGrid>
        <w:gridCol w:w="1500"/>
        <w:gridCol w:w="3763"/>
        <w:gridCol w:w="3763"/>
      </w:tblGrid>
      <w:tr>
        <w:trPr>
          <w:tblHeader/>
        </w:trPr>
        <w:tc>
          <w:tcPr>
            <w:shd w:val="clear" w:color="auto" w:fill="e7ebf0"/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15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Identificador</w:t>
            </w:r>
            <w:r/>
          </w:p>
        </w:tc>
        <w:tc>
          <w:tcPr>
            <w:shd w:val="clear" w:color="auto" w:fill="e7ebf0"/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3763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Registro anterior</w:t>
            </w:r>
            <w:r/>
          </w:p>
        </w:tc>
        <w:tc>
          <w:tcPr>
            <w:shd w:val="clear" w:color="auto" w:fill="e7ebf0"/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3763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Registro atual</w:t>
            </w:r>
            <w:r/>
          </w:p>
        </w:tc>
      </w:tr>
      <w:tr>
        <w:trPr/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15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way 727341102</w:t>
            </w:r>
            <w:r/>
          </w:p>
        </w:tc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3763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sem nome registrado</w:t>
            </w:r>
            <w:r/>
          </w:p>
        </w:tc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3763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Rua Projetada</w:t>
            </w:r>
            <w:r/>
          </w:p>
        </w:tc>
      </w:tr>
      <w:tr>
        <w:trPr/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15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way 852324520</w:t>
            </w:r>
            <w:r/>
          </w:p>
        </w:tc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3763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sem nome registrado</w:t>
            </w:r>
            <w:r/>
          </w:p>
        </w:tc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3763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Rua Quatro</w:t>
            </w:r>
            <w:r/>
          </w:p>
        </w:tc>
      </w:tr>
      <w:tr>
        <w:trPr/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15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way 215164430</w:t>
            </w:r>
            <w:r/>
          </w:p>
        </w:tc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3763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sem nome registrado</w:t>
            </w:r>
            <w:r/>
          </w:p>
        </w:tc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3763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Rua Quatro</w:t>
            </w:r>
            <w:r/>
          </w:p>
        </w:tc>
      </w:tr>
      <w:tr>
        <w:trPr/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15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way 215164422</w:t>
            </w:r>
            <w:r/>
          </w:p>
        </w:tc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3763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sem nome registrado</w:t>
            </w:r>
            <w:r/>
          </w:p>
        </w:tc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3763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Rua João Pata</w:t>
            </w:r>
            <w:r/>
          </w:p>
        </w:tc>
      </w:tr>
      <w:tr>
        <w:trPr/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15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way 215139126</w:t>
            </w:r>
            <w:r/>
          </w:p>
        </w:tc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3763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Rua Roberto Dias Vilela</w:t>
            </w:r>
            <w:r/>
          </w:p>
        </w:tc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3763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Rua Um</w:t>
            </w:r>
            <w:r/>
          </w:p>
        </w:tc>
      </w:tr>
      <w:tr>
        <w:trPr/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15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way 215139144</w:t>
            </w:r>
            <w:r/>
          </w:p>
        </w:tc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3763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Rua Maria Aparecida Patta Almeida</w:t>
            </w:r>
            <w:r/>
          </w:p>
        </w:tc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3763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Rua Dois</w:t>
            </w:r>
            <w:r/>
          </w:p>
        </w:tc>
      </w:tr>
      <w:tr>
        <w:trPr/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15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way 215138870</w:t>
            </w:r>
            <w:r/>
          </w:p>
        </w:tc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3763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Rua Professor Denilson Lopes da Silva</w:t>
            </w:r>
            <w:r/>
          </w:p>
        </w:tc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3763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Rua Dois</w:t>
            </w:r>
            <w:r/>
          </w:p>
        </w:tc>
      </w:tr>
      <w:tr>
        <w:trPr/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15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way 215163483</w:t>
            </w:r>
            <w:r/>
          </w:p>
        </w:tc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3763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Rua Joaquim Ribeiro da Costa</w:t>
            </w:r>
            <w:r/>
          </w:p>
        </w:tc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3763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Rua Dois</w:t>
            </w:r>
            <w:r/>
          </w:p>
        </w:tc>
      </w:tr>
      <w:tr>
        <w:trPr/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15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way 215139152</w:t>
            </w:r>
            <w:r/>
          </w:p>
        </w:tc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3763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Rua Doutor Paulo Capistrano de Alckmin</w:t>
            </w:r>
            <w:r/>
          </w:p>
        </w:tc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3763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Rua Três</w:t>
            </w:r>
            <w:r/>
          </w:p>
        </w:tc>
      </w:tr>
      <w:tr>
        <w:trPr/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15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way 215139153</w:t>
            </w:r>
            <w:r/>
          </w:p>
        </w:tc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3763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Rua René Antônio da Silva</w:t>
            </w:r>
            <w:r/>
          </w:p>
        </w:tc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3763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Rua Quatro</w:t>
            </w:r>
            <w:r/>
          </w:p>
        </w:tc>
      </w:tr>
      <w:tr>
        <w:trPr/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15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way 215163460</w:t>
            </w:r>
            <w:r/>
          </w:p>
        </w:tc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3763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Rua benedita Francisca Gonçalves</w:t>
            </w:r>
            <w:r/>
          </w:p>
        </w:tc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3763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Rua Quatro</w:t>
            </w:r>
            <w:r/>
          </w:p>
        </w:tc>
      </w:tr>
      <w:tr>
        <w:trPr/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15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way 215139183</w:t>
            </w:r>
            <w:r/>
          </w:p>
        </w:tc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3763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Rua Dulio Brasil Carli</w:t>
            </w:r>
            <w:r/>
          </w:p>
        </w:tc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3763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Rua Cinco</w:t>
            </w:r>
            <w:r/>
          </w:p>
        </w:tc>
      </w:tr>
      <w:tr>
        <w:trPr/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15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way 215139184</w:t>
            </w:r>
            <w:r/>
          </w:p>
        </w:tc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3763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Rua Professora Stela Souza Merencio</w:t>
            </w:r>
            <w:r/>
          </w:p>
        </w:tc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3763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Rua Seis</w:t>
            </w:r>
            <w:r/>
          </w:p>
        </w:tc>
      </w:tr>
      <w:tr>
        <w:trPr/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15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way 215139145</w:t>
            </w:r>
            <w:r/>
          </w:p>
        </w:tc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3763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Rua Lenice Carli Brandão</w:t>
            </w:r>
            <w:r/>
          </w:p>
        </w:tc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3763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Rua João Pata</w:t>
            </w:r>
            <w:r/>
          </w:p>
        </w:tc>
      </w:tr>
      <w:tr>
        <w:trPr/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15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way 215163482</w:t>
            </w:r>
            <w:r/>
          </w:p>
        </w:tc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3763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Rua Francisca Celira da Silva Dias</w:t>
            </w:r>
            <w:r/>
          </w:p>
        </w:tc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3763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Rua Benedito R Magalhães</w:t>
            </w:r>
            <w:r/>
          </w:p>
        </w:tc>
      </w:tr>
      <w:tr>
        <w:trPr/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15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way 553782131</w:t>
            </w:r>
            <w:r/>
          </w:p>
        </w:tc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3763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Rua Benedito de Magalhães</w:t>
            </w:r>
            <w:r/>
          </w:p>
        </w:tc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3763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Rua da Penetração</w:t>
            </w:r>
            <w:r/>
          </w:p>
        </w:tc>
      </w:tr>
      <w:tr>
        <w:trPr/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15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way 215139185</w:t>
            </w:r>
            <w:r/>
          </w:p>
        </w:tc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3763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Rua Jeanete Paduan Pereira de Araújo</w:t>
            </w:r>
            <w:r/>
          </w:p>
        </w:tc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3763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Rua Geanette Paduan Pereira de Araújo</w:t>
            </w:r>
            <w:r/>
          </w:p>
        </w:tc>
      </w:tr>
      <w:tr>
        <w:trPr/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15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way 215139251</w:t>
            </w:r>
            <w:r/>
          </w:p>
        </w:tc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3763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Rua Otilha Vilela</w:t>
            </w:r>
            <w:r/>
          </w:p>
        </w:tc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3763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Rua Otília Viléla</w:t>
            </w:r>
            <w:r/>
          </w:p>
        </w:tc>
      </w:tr>
      <w:tr>
        <w:trPr/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15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way 553783878</w:t>
            </w:r>
            <w:r/>
          </w:p>
        </w:tc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3763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Rua Benedito Rezende Vilela</w:t>
            </w:r>
            <w:r/>
          </w:p>
        </w:tc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3763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Rua Benedito Resende Vilela</w:t>
            </w:r>
            <w:r/>
          </w:p>
        </w:tc>
      </w:tr>
      <w:tr>
        <w:trPr/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15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node 14207014299</w:t>
            </w:r>
            <w:r/>
          </w:p>
        </w:tc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3763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ponto inexistente</w:t>
            </w:r>
            <w:r/>
          </w:p>
        </w:tc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3763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Supermercado BH (shop=supermarket)</w:t>
            </w:r>
            <w:r/>
          </w:p>
        </w:tc>
      </w:tr>
    </w:tbl>
    <w:p>
      <w:pPr>
        <w:pBdr/>
        <w:spacing w:after="320" w:before="120" w:line="240" w:lineRule="auto"/>
        <w:ind/>
        <w:rPr/>
      </w:pPr>
      <w:r>
        <w:rPr>
          <w:rFonts w:ascii="Arial" w:hAnsi="Arial" w:eastAsia="Arial" w:cs="Arial"/>
          <w:i/>
          <w:iCs/>
          <w:sz w:val="19"/>
          <w:szCs w:val="19"/>
        </w:rPr>
        <w:t xml:space="preserve">Quadro 1 — Registros alterados no OpenStreetMap. Levantamento feito na API do OpenStreetMap em 22 de setembro de 2026, por comparação entre a versão anterior e a versão resultante de cada objeto.</w:t>
      </w:r>
      <w:r/>
    </w:p>
    <w:p>
      <w:pPr>
        <w:pBdr/>
        <w:spacing w:after="160" w:line="360" w:lineRule="auto"/>
        <w:ind/>
        <w:jc w:val="both"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</w:rPr>
        <w:t xml:space="preserve">Quatro logradouros não possuíam denominação registrada e passaram a tê-la. Dos quinze restantes, doze tiveram a denominação substituída pela constante do registro</w:t>
      </w:r>
      <w:r>
        <w:rPr>
          <w:rFonts w:ascii="Arial" w:hAnsi="Arial" w:eastAsia="Arial" w:cs="Arial"/>
          <w:sz w:val="24"/>
          <w:szCs w:val="24"/>
        </w:rPr>
        <w:t xml:space="preserve"> municipal — a maior parte voltando à designação numérica oficial do loteamento, que havia sido substituída na base por nomes não oficiais — e três foram correções de grafia, entre elas a da Rua Geanette Paduan Pereira de Araújo, que motivou a verificação.</w:t>
      </w:r>
      <w:r/>
    </w:p>
    <w:p w14:paraId="6B540422">
      <w:pPr>
        <w:pBdr/>
        <w:spacing w:after="160" w:line="360" w:lineRule="auto"/>
        <w:ind/>
        <w:jc w:val="both"/>
        <w:rPr/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>
      <w:pPr>
        <w:pStyle w:val="706"/>
        <w:pBdr/>
        <w:spacing w:after="160" w:before="320" w:line="360" w:lineRule="auto"/>
        <w:ind/>
        <w:rPr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5 VERIFICAÇÃO</w:t>
      </w:r>
      <w:r/>
    </w:p>
    <w:p>
      <w:pPr>
        <w:pBdr/>
        <w:spacing w:after="160" w:line="360" w:lineRule="auto"/>
        <w:ind/>
        <w:jc w:val="both"/>
        <w:rPr/>
      </w:pPr>
      <w:r>
        <w:rPr>
          <w:rFonts w:ascii="Arial" w:hAnsi="Arial" w:eastAsia="Arial" w:cs="Arial"/>
          <w:sz w:val="24"/>
          <w:szCs w:val="24"/>
        </w:rPr>
        <w:t xml:space="preserve">Os conjuntos de alterações podem ser conferidos nos endereços a seguir, que exibem autoria, data, comentário e a relação completa dos objetos modificados:</w:t>
      </w:r>
      <w:r/>
    </w:p>
    <w:p>
      <w:pPr>
        <w:pBdr/>
        <w:spacing w:after="80" w:line="360" w:lineRule="auto"/>
        <w:ind w:left="567"/>
        <w:jc w:val="both"/>
        <w:rPr/>
      </w:pPr>
      <w:r>
        <w:rPr>
          <w:rFonts w:ascii="Arial" w:hAnsi="Arial" w:eastAsia="Arial" w:cs="Arial"/>
          <w:sz w:val="24"/>
          <w:szCs w:val="24"/>
        </w:rPr>
        <w:t xml:space="preserve">https://www.openstreetmap.org/changeset/189415583</w:t>
      </w:r>
      <w:r/>
    </w:p>
    <w:p>
      <w:pPr>
        <w:pBdr/>
        <w:spacing w:after="160" w:line="360" w:lineRule="auto"/>
        <w:ind w:left="567"/>
        <w:jc w:val="both"/>
        <w:rPr/>
      </w:pPr>
      <w:r>
        <w:rPr>
          <w:rFonts w:ascii="Arial" w:hAnsi="Arial" w:eastAsia="Arial" w:cs="Arial"/>
          <w:sz w:val="24"/>
          <w:szCs w:val="24"/>
        </w:rPr>
        <w:t xml:space="preserve">https://www.openstreetmap.org/changeset/189416255</w:t>
      </w:r>
      <w:r/>
    </w:p>
    <w:p>
      <w:pPr>
        <w:pBdr/>
        <w:spacing w:after="160" w:line="360" w:lineRule="auto"/>
        <w:ind/>
        <w:jc w:val="both"/>
        <w:rPr/>
      </w:pPr>
      <w:r>
        <w:rPr>
          <w:rFonts w:ascii="Arial" w:hAnsi="Arial" w:eastAsia="Arial" w:cs="Arial"/>
          <w:sz w:val="24"/>
          <w:szCs w:val="24"/>
        </w:rPr>
        <w:t xml:space="preserve">O histórico de cada logradouro é público e permanente, e pode ser consultado pelo identificador relacionado no Quadro 1 — por exemplo, https://www.openstreetmap.org/way/215139185 para a Rua Geanette Paduan Pereira de Araújo.</w:t>
      </w:r>
      <w:r/>
    </w:p>
    <w:p>
      <w:pPr>
        <w:pStyle w:val="706"/>
        <w:pBdr/>
        <w:spacing w:after="160" w:before="320" w:line="360" w:lineRule="auto"/>
        <w:ind/>
        <w:rPr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6 LICENCIAMENTO</w:t>
      </w:r>
      <w:r/>
    </w:p>
    <w:p>
      <w:pPr>
        <w:pBdr/>
        <w:spacing w:after="160" w:line="360" w:lineRule="auto"/>
        <w:ind/>
        <w:jc w:val="both"/>
        <w:rPr/>
      </w:pPr>
      <w:r>
        <w:rPr>
          <w:rFonts w:ascii="Arial" w:hAnsi="Arial" w:eastAsia="Arial" w:cs="Arial"/>
          <w:sz w:val="24"/>
          <w:szCs w:val="24"/>
        </w:rPr>
        <w:t xml:space="preserve">Os dados do OpenStreetMap são pub</w:t>
      </w:r>
      <w:r>
        <w:rPr>
          <w:rFonts w:ascii="Arial" w:hAnsi="Arial" w:eastAsia="Arial" w:cs="Arial"/>
          <w:sz w:val="24"/>
          <w:szCs w:val="24"/>
        </w:rPr>
        <w:t xml:space="preserve">licados sob a Open Database License (ODbL) 1.0, mantida pela Open Knowledge Foundation. A contribuição aqui relatada foi incorporada à base sob essa licença e permanece de uso livre por qualquer pessoa ou órgão, inclusive pela própria Prefeitura Municipal.</w:t>
      </w:r>
      <w:r/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4"/>
        <w:szCs w:val="24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0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5">
    <w:name w:val="Title"/>
    <w:qFormat/>
    <w:pPr>
      <w:pBdr/>
      <w:spacing/>
      <w:ind/>
    </w:pPr>
    <w:rPr>
      <w:sz w:val="56"/>
      <w:szCs w:val="56"/>
    </w:rPr>
  </w:style>
  <w:style w:type="paragraph" w:styleId="706">
    <w:name w:val="Heading 1"/>
    <w:qFormat/>
    <w:pPr>
      <w:pBdr/>
      <w:spacing/>
      <w:ind/>
    </w:pPr>
    <w:rPr>
      <w:rFonts w:ascii="Arial" w:hAnsi="Arial" w:eastAsia="Arial" w:cs="Arial"/>
      <w:b/>
      <w:bCs/>
      <w:color w:val="000000"/>
      <w:sz w:val="24"/>
      <w:szCs w:val="24"/>
    </w:rPr>
  </w:style>
  <w:style w:type="paragraph" w:styleId="707">
    <w:name w:val="Heading 2"/>
    <w:qFormat/>
    <w:pPr>
      <w:pBdr/>
      <w:spacing/>
      <w:ind/>
    </w:pPr>
    <w:rPr>
      <w:rFonts w:ascii="Arial" w:hAnsi="Arial" w:eastAsia="Arial" w:cs="Arial"/>
      <w:b/>
      <w:bCs/>
      <w:color w:val="000000"/>
      <w:sz w:val="24"/>
      <w:szCs w:val="24"/>
    </w:rPr>
  </w:style>
  <w:style w:type="paragraph" w:styleId="70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09">
    <w:name w:val="Heading 4"/>
    <w:qFormat/>
    <w:pPr>
      <w:pBdr/>
      <w:spacing/>
      <w:ind/>
    </w:pPr>
    <w:rPr>
      <w:i/>
      <w:iCs/>
      <w:color w:val="2e74b5"/>
    </w:rPr>
  </w:style>
  <w:style w:type="paragraph" w:styleId="710">
    <w:name w:val="Heading 5"/>
    <w:qFormat/>
    <w:pPr>
      <w:pBdr/>
      <w:spacing/>
      <w:ind/>
    </w:pPr>
    <w:rPr>
      <w:color w:val="2e74b5"/>
    </w:rPr>
  </w:style>
  <w:style w:type="paragraph" w:styleId="711">
    <w:name w:val="Heading 6"/>
    <w:qFormat/>
    <w:pPr>
      <w:pBdr/>
      <w:spacing/>
      <w:ind/>
    </w:pPr>
    <w:rPr>
      <w:color w:val="1f4d78"/>
    </w:rPr>
  </w:style>
  <w:style w:type="paragraph" w:styleId="712">
    <w:name w:val="Strong"/>
    <w:qFormat/>
    <w:pPr>
      <w:pBdr/>
      <w:spacing/>
      <w:ind/>
    </w:pPr>
    <w:rPr>
      <w:b/>
      <w:bCs/>
    </w:rPr>
  </w:style>
  <w:style w:type="paragraph" w:styleId="713">
    <w:name w:val="List Paragraph"/>
    <w:qFormat/>
    <w:pPr>
      <w:pBdr/>
      <w:spacing/>
      <w:ind/>
    </w:pPr>
  </w:style>
  <w:style w:type="character" w:styleId="71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6">
    <w:name w:val="footnote text"/>
    <w:link w:val="7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7">
    <w:name w:val="Footnote Text Char"/>
    <w:link w:val="71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1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9">
    <w:name w:val="endnote text"/>
    <w:link w:val="7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0">
    <w:name w:val="Endnote Text Char"/>
    <w:link w:val="719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atividade de extensão — correção da base cartográfica no OpenStreetMap</dc:title>
  <dc:creator>Projeto FalaCidade</dc:creator>
  <cp:revision>2</cp:revision>
  <dcterms:created xsi:type="dcterms:W3CDTF">2026-09-22T19:12:50Z</dcterms:created>
  <dcterms:modified xsi:type="dcterms:W3CDTF">2026-09-22T19:16:57Z</dcterms:modified>
</cp:coreProperties>
</file>