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  <w:r/>
    </w:p>
    <w:p>
      <w:pPr>
        <w:pStyle w:val="1462"/>
        <w:pBdr/>
        <w:spacing/>
        <w:ind/>
        <w:rPr/>
      </w:pPr>
      <w:r/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Arial" w:hAnsi="Arial" w:eastAsia="Times New Roman" w:cs="Arial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  <w:r/>
        </w:p>
        <w:p w14:paraId="33012CE4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r/>
          <w:hyperlink w:tooltip="#_Toc1" w:anchor="_Toc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 BUSINESS CASE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417FF315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 SUMÁRIO EXECUTIVO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08909BF5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1.2 PROBLEMA E OPORTUNIDADE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0150779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1.3 NECESSIDADES DO NEGÓCIO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652C49D9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1.4 ANÁLISE DE ALTERNATIVAS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4FD80C57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1.5 ALTERNATIVA RECOMENDADA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</w:p>
        <w:p w14:paraId="432D89D3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1.6 BENEFÍCIOS ESPERADOS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2EBD9044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1.7 CUSTOS ESTIMADOS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1FB142E4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1.8 ANÁLISE DE VIABILIDADE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29CED43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1.9 INDICADORES DE SUCESSO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5B291CD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1" w:anchor="_Toc1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1.10 RISCOS DA DECISÃO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2E33BEB9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2" w:anchor="_Toc1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1.11 RECOMENDAÇÃO E APROVAÇÃO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5270484E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446"/>
        <w:pBdr/>
        <w:spacing/>
        <w:ind/>
        <w:rPr/>
      </w:pPr>
      <w:r/>
      <w:bookmarkStart w:id="1" w:name="_Toc1"/>
      <w:r>
        <w:t xml:space="preserve">1 BUSINESS CASE</w:t>
      </w:r>
      <w:bookmarkEnd w:id="1"/>
      <w:r/>
      <w:r/>
    </w:p>
    <w:p>
      <w:pPr>
        <w:pBdr/>
        <w:spacing/>
        <w:ind/>
        <w:rPr/>
      </w:pPr>
      <w:r>
        <w:rPr>
          <w:b w:val="0"/>
        </w:rPr>
        <w:t xml:space="preserve">Este documento reúne a análise de viabilidade do projeto “Fala, Cidade!” e fundamenta a decisão de executá-lo. Integra o Apêndice A – Gestão do Projeto e complementa o Termo de Abertura do Projeto.</w:t>
      </w:r>
      <w:r/>
    </w:p>
    <w:p>
      <w:pPr>
        <w:pStyle w:val="1447"/>
        <w:pBdr/>
        <w:spacing/>
        <w:ind/>
        <w:rPr/>
      </w:pPr>
      <w:r/>
      <w:bookmarkStart w:id="2" w:name="_Toc2"/>
      <w:r>
        <w:t xml:space="preserve">1.1 SUMÁRIO EXECUTIVO</w:t>
      </w:r>
      <w:bookmarkEnd w:id="2"/>
      <w:r/>
      <w:r/>
    </w:p>
    <w:p>
      <w:pPr>
        <w:pBdr/>
        <w:spacing/>
        <w:ind/>
        <w:rPr/>
      </w:pPr>
      <w:r>
        <w:rPr>
          <w:b w:val="0"/>
        </w:rPr>
        <w:t xml:space="preserve">O projeto propõe um sistema de informação, distribuído na forma de aplicativo web progressivo, que recebe do cid</w:t>
      </w:r>
      <w:r>
        <w:rPr>
          <w:b w:val="0"/>
        </w:rPr>
        <w:t xml:space="preserve">adão relatos de problemas de zeladoria urbana — com fotografia, localização geográfica e possibilidade de anonimato — e os entrega à administração municipal de forma estruturada, rastreável e livre de duplicidades. A alternativa recomendada é o desenvolvim</w:t>
      </w:r>
      <w:r>
        <w:rPr>
          <w:b w:val="0"/>
        </w:rPr>
        <w:t xml:space="preserve">ento de plataforma digital própria, de custo direto estimado em R$ 550,00, executada pela equipe no âmbito do Projeto Final de Curso, com retorno medido pela redução do retrabalho da administração e pela transparência conferida ao atendimento das demandas.</w:t>
      </w:r>
      <w:r/>
    </w:p>
    <w:p>
      <w:pPr>
        <w:pStyle w:val="1447"/>
        <w:pBdr/>
        <w:spacing/>
        <w:ind/>
        <w:rPr/>
      </w:pPr>
      <w:r/>
      <w:bookmarkStart w:id="3" w:name="_Toc3"/>
      <w:r>
        <w:t xml:space="preserve">1.2 PROBLEMA E OPORTUNIDADE</w:t>
      </w:r>
      <w:bookmarkEnd w:id="3"/>
      <w:r/>
      <w:r/>
    </w:p>
    <w:p>
      <w:pPr>
        <w:pBdr/>
        <w:spacing/>
        <w:ind/>
        <w:rPr/>
      </w:pPr>
      <w:r>
        <w:rPr>
          <w:b w:val="0"/>
        </w:rPr>
        <w:t xml:space="preserve">Os canais hoje disponíveis ao cidadão para relatar problemas de zeladoria — atendimento presencial, telefone e publicações em redes sociais — não produzem registro estruturado, não permitem o acompanhame</w:t>
      </w:r>
      <w:r>
        <w:rPr>
          <w:b w:val="0"/>
        </w:rPr>
        <w:t xml:space="preserve">nto da solicitação e não reconhecem relatos repetidos sobre um mesmo problema. À administração municipal falta, por consequência, o dado consolidado que permitiria dimensionar a demanda por bairro e por categoria e priorizar o emprego das equipes de campo.</w:t>
      </w:r>
      <w:r/>
    </w:p>
    <w:p>
      <w:pPr>
        <w:pBdr/>
        <w:spacing/>
        <w:ind/>
        <w:rPr/>
      </w:pPr>
      <w:r>
        <w:rPr>
          <w:b w:val="0"/>
        </w:rPr>
        <w:t xml:space="preserve">A oportunidade deco</w:t>
      </w:r>
      <w:r>
        <w:rPr>
          <w:b w:val="0"/>
        </w:rPr>
        <w:t xml:space="preserve">rre da difusão do acesso à internet por dispositivos móveis e da maturidade das tecnologias de aplicativos web progressivos, que dispensam a publicação em lojas de aplicativos e reduzem a barreira de adoção tanto para o cidadão quanto para a administração.</w:t>
      </w:r>
      <w:r/>
    </w:p>
    <w:p>
      <w:pPr>
        <w:pStyle w:val="1447"/>
        <w:pBdr/>
        <w:spacing/>
        <w:ind/>
        <w:rPr/>
      </w:pPr>
      <w:r/>
      <w:bookmarkStart w:id="4" w:name="_Toc4"/>
      <w:r>
        <w:t xml:space="preserve">1.3 NECESSIDADES DO NEGÓCIO</w:t>
      </w:r>
      <w:bookmarkEnd w:id="4"/>
      <w:r/>
      <w:r/>
    </w:p>
    <w:p>
      <w:pPr>
        <w:pStyle w:val="1477"/>
        <w:pBdr/>
        <w:spacing/>
        <w:ind w:firstLine="0" w:left="709"/>
        <w:rPr/>
      </w:pPr>
      <w:r>
        <w:t xml:space="preserve">a) canal único e permanente para o recebimento de relatos de zeladoria urbana;</w:t>
      </w:r>
      <w:r/>
    </w:p>
    <w:p>
      <w:pPr>
        <w:pStyle w:val="1477"/>
        <w:pBdr/>
        <w:spacing/>
        <w:ind w:firstLine="0" w:left="709"/>
        <w:rPr/>
      </w:pPr>
      <w:r>
        <w:t xml:space="preserve">b) identificação inequívoca de cada demanda por número de protocolo;</w:t>
      </w:r>
      <w:r/>
    </w:p>
    <w:p>
      <w:pPr>
        <w:pStyle w:val="1477"/>
        <w:pBdr/>
        <w:spacing/>
        <w:ind w:firstLine="0" w:left="709"/>
        <w:rPr/>
      </w:pPr>
      <w:r>
        <w:t xml:space="preserve">c) rastreabilidade do atendimento, com histórico consultável pelo cidadão;</w:t>
      </w:r>
      <w:r/>
    </w:p>
    <w:p>
      <w:pPr>
        <w:pStyle w:val="1477"/>
        <w:pBdr/>
        <w:spacing/>
        <w:ind w:firstLine="0" w:left="709"/>
        <w:rPr/>
      </w:pPr>
      <w:r>
        <w:t xml:space="preserve">d) consolidação dos dados por categoria, bairro, situação e período;</w:t>
      </w:r>
      <w:r/>
    </w:p>
    <w:p>
      <w:pPr>
        <w:pStyle w:val="1477"/>
        <w:pBdr/>
        <w:spacing/>
        <w:ind w:firstLine="0" w:left="709"/>
        <w:rPr/>
      </w:pPr>
      <w:r>
        <w:t xml:space="preserve">e) proteção dos dados pessoais tratados, em conformidade com a LGPD;</w:t>
      </w:r>
      <w:r/>
    </w:p>
    <w:p>
      <w:pPr>
        <w:pStyle w:val="1477"/>
        <w:pBdr/>
        <w:spacing/>
        <w:ind w:firstLine="0" w:left="709"/>
        <w:rPr/>
      </w:pPr>
      <w:r>
        <w:t xml:space="preserve">f) possibilidade de relato anônimo, para as situações em que a identificação iniba a denúncia.</w:t>
      </w:r>
      <w:r/>
    </w:p>
    <w:p>
      <w:pPr>
        <w:pStyle w:val="1447"/>
        <w:pBdr/>
        <w:spacing/>
        <w:ind/>
        <w:rPr/>
      </w:pPr>
      <w:r/>
      <w:bookmarkStart w:id="5" w:name="_Toc5"/>
      <w:r>
        <w:t xml:space="preserve">1.4 ANÁLISE DE ALTERNATIVAS</w:t>
      </w:r>
      <w:bookmarkEnd w:id="5"/>
      <w:r/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Alternativa</w:t>
            </w:r>
            <w:r/>
          </w:p>
        </w:tc>
        <w:tc>
          <w:tcPr>
            <w:tcBorders/>
            <w:tcW w:w="24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Descrição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Vantagens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Desvantagens</w:t>
            </w:r>
            <w:r/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A1 — Manter a situação atual</w:t>
            </w:r>
            <w:r/>
          </w:p>
        </w:tc>
        <w:tc>
          <w:tcPr>
            <w:tcBorders/>
            <w:tcW w:w="24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Conservar o atendimento presencial, telefônico e por redes sociais.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exige investimento nem implantação.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produz registro estruturado; impede o acompanhamento; mantém a duplicidade de relatos.</w:t>
            </w:r>
            <w:r/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A2 — Contratar solução de mercado</w:t>
            </w:r>
            <w:r/>
          </w:p>
        </w:tc>
        <w:tc>
          <w:tcPr>
            <w:tcBorders/>
            <w:tcW w:w="24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Adquirir plataforma comercial de ouvidoria municipal.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Implantação rápida e suporte do fornecedor.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Custo de licenciamento recorrente; baixa aderência ao domínio da zeladoria; dependência do fornecedor.</w:t>
            </w:r>
            <w:r/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A3 — Utilizar formulários eletrônicos gratuitos</w:t>
            </w:r>
            <w:r/>
          </w:p>
        </w:tc>
        <w:tc>
          <w:tcPr>
            <w:tcBorders/>
            <w:tcW w:w="24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Empregar formulários e planilhas de serviços gratuitos de nuvem.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Custo nulo e implantação imediata.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Ausência de protocolo, de mapa, de perfis de acesso e de histórico; tratamento manual dos dados.</w:t>
            </w:r>
            <w:r/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A4 — Desenvolver plataforma própria (recomendada)</w:t>
            </w:r>
            <w:r/>
          </w:p>
        </w:tc>
        <w:tc>
          <w:tcPr>
            <w:tcBorders/>
            <w:tcW w:w="24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Construir aplicativo web progressivo e interface de programação de aplicações próprios.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Aderência integral ao domínio; sem custo de licença; controle sobre os dados e sobre a evolução; valor acadêmico.</w:t>
            </w:r>
            <w:r/>
          </w:p>
        </w:tc>
        <w:tc>
          <w:tcPr>
            <w:tcBorders/>
            <w:tcW w:w="232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Exige esforço de desenvolvimento e manutenção pela equipe.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1 – Análise das alternativas consideradas</w:t>
      </w:r>
      <w:r/>
    </w:p>
    <w:p>
      <w:pPr>
        <w:pStyle w:val="1447"/>
        <w:pBdr/>
        <w:spacing/>
        <w:ind/>
        <w:rPr/>
      </w:pPr>
      <w:r/>
      <w:bookmarkStart w:id="6" w:name="_Toc6"/>
      <w:r>
        <w:t xml:space="preserve">1.5 ALTERNATIVA RECOMENDADA</w:t>
      </w:r>
      <w:bookmarkEnd w:id="6"/>
      <w:r/>
      <w:r/>
    </w:p>
    <w:p>
      <w:pPr>
        <w:pBdr/>
        <w:spacing/>
        <w:ind/>
        <w:rPr/>
      </w:pPr>
      <w:r>
        <w:rPr>
          <w:b w:val="0"/>
        </w:rPr>
        <w:t xml:space="preserve">Recomenda-se a alternativa A4 — desenvolvimento de plataforma própria. A decisão apoia-se em três fundamentos: a inexistência de custo de licenciamento, compatível com a realidade orçamentária de um </w:t>
      </w:r>
      <w:r>
        <w:rPr>
          <w:b w:val="0"/>
        </w:rPr>
        <w:t xml:space="preserve">município de pequeno porte; a aderência integral ao domínio da zeladoria urbana, que as soluções genéricas não oferecem; e a convergência com os objetivos de aprendizagem do Projeto Final de Curso, que exige a construção de um sistema de software completo.</w:t>
      </w:r>
      <w:r/>
    </w:p>
    <w:p>
      <w:pPr>
        <w:pStyle w:val="1447"/>
        <w:pBdr/>
        <w:spacing/>
        <w:ind/>
        <w:rPr/>
      </w:pPr>
      <w:r/>
      <w:bookmarkStart w:id="7" w:name="_Toc7"/>
      <w:r>
        <w:t xml:space="preserve">1.6 BENEFÍCIOS ESPERADOS</w:t>
      </w:r>
      <w:bookmarkEnd w:id="7"/>
      <w:r/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Benefício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Natureza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Indicador de verificação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Redução do retrabalho decorrente de relatos duplicados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Quantitativo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Proporção de ocorrências agrupadas automaticamente pelo critério de proximidade de cinquenta metros.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Transparência do atendimento ao cidadão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Qualitativo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Disponibilidade do histórico completo de trâmites em cada protocolo.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Dado consolidado para a priorização das equipes de campo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Quantitativo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Relatórios de ocorrências por categoria, bairro e situação no painel administrativo.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Ampliação do alcance do canal de atendimento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Quantitativo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Número de ocorrências registradas por meio do aplicativo em relação aos canais tradicionais.</w:t>
            </w:r>
            <w:r/>
          </w:p>
        </w:tc>
      </w:tr>
      <w:tr>
        <w:trPr/>
        <w:tc>
          <w:tcPr>
            <w:tcBorders/>
            <w:tcW w:w="311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Segurança e conformidade no tratamento de dados pessoais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Qualitativo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Aceite obrigatório dos termos, desfoque automático de rostos e placas e registro anônimo disponível.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2 – Benefícios esperados do projeto</w:t>
      </w:r>
      <w:r/>
    </w:p>
    <w:p>
      <w:pPr>
        <w:pStyle w:val="1447"/>
        <w:pBdr/>
        <w:spacing/>
        <w:ind/>
        <w:rPr/>
      </w:pPr>
      <w:r/>
      <w:bookmarkStart w:id="8" w:name="_Toc8"/>
      <w:r>
        <w:t xml:space="preserve">1.7 CUSTOS ESTIMADOS</w:t>
      </w:r>
      <w:bookmarkEnd w:id="8"/>
      <w:r/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Natureza do custo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Detalhamento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Valor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Desenvolvimento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1.440 horas de trabalho da equipe, no âmbito do Projeto Final de Curso.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onerosa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Infraestrutura de desenvolvimento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Equipamentos próprios dos integrantes e laboratório da FAI.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onerosa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Serviços de terceiros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Camadas gratuitas dos serviços de mapa, geocodificação, mídias e correio eletrônico.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R$ 0,00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Divulgação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Banner e material impresso para a FAITEC 2026.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R$ 300,00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Documentação final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Impressão e encadernação com capa dura.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R$ 250,00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Custo direto total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—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R$ 550,00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Custo estimado de operação (cenário de adoção municipal)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Hospedagem em nuvem, banco de dados gerenciado e armazenamento de imagens, por ano.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R$ 2.400,00 a R$ 4.800,00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3 – Custos estimados do projeto</w:t>
      </w:r>
      <w:r/>
    </w:p>
    <w:p>
      <w:pPr>
        <w:pStyle w:val="1447"/>
        <w:pBdr/>
        <w:spacing/>
        <w:ind/>
        <w:rPr/>
      </w:pPr>
      <w:r/>
      <w:bookmarkStart w:id="9" w:name="_Toc9"/>
      <w:r>
        <w:t xml:space="preserve">1.8 ANÁLISE DE VIABILIDADE</w:t>
      </w:r>
      <w:bookmarkEnd w:id="9"/>
      <w:r/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4536"/>
        <w:gridCol w:w="4536"/>
      </w:tblGrid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Dimensão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Avaliação</w:t>
            </w:r>
            <w:r/>
          </w:p>
        </w:tc>
      </w:tr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Técnica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Viável. As tecnologias empregadas — Java com Spring Boot, Angular e PostgreSQL — são de domínio da equipe e dispõem de documentação madura.</w:t>
            </w:r>
            <w:r/>
          </w:p>
        </w:tc>
      </w:tr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Econômica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Viável. O custo direto é de R$ 550,00 e não há licenciamento; o custo de operação, no cenário de adoção municipal, é compatível com orçamentos de pequeno porte.</w:t>
            </w:r>
            <w:r/>
          </w:p>
        </w:tc>
      </w:tr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Operacional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Viável. O acesso por navegador dispensa instalação; o painel administrativo reproduz o fluxo de triagem já praticado pela administração.</w:t>
            </w:r>
            <w:r/>
          </w:p>
        </w:tc>
      </w:tr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Legal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Viável. O tratamento de dados pessoais observa a Lei n.º 13.709/2018, com aceite expresso, minimização de dados e anonimização das imagens.</w:t>
            </w:r>
            <w:r/>
          </w:p>
        </w:tc>
      </w:tr>
      <w:tr>
        <w:trPr/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Cronograma</w:t>
            </w:r>
            <w:r/>
          </w:p>
        </w:tc>
        <w:tc>
          <w:tcPr>
            <w:tcBorders/>
            <w:tcW w:w="70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Viável, com risco. O prazo é determinado pelo calendário acadêmico e concorre com as demais disciplinas do período, conforme o risco R2 da planilha de riscos.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4 – Análise de viabilidade</w:t>
      </w:r>
      <w:r/>
    </w:p>
    <w:p>
      <w:pPr>
        <w:pStyle w:val="1447"/>
        <w:pBdr/>
        <w:spacing/>
        <w:ind/>
        <w:rPr/>
      </w:pPr>
      <w:r/>
      <w:bookmarkStart w:id="10" w:name="_Toc10"/>
      <w:r>
        <w:t xml:space="preserve">1.9 INDICADORES DE SUCESSO</w:t>
      </w:r>
      <w:bookmarkEnd w:id="10"/>
      <w:r/>
      <w:r/>
    </w:p>
    <w:p>
      <w:pPr>
        <w:pStyle w:val="1477"/>
        <w:pBdr/>
        <w:spacing/>
        <w:ind w:firstLine="0" w:left="709"/>
        <w:rPr/>
      </w:pPr>
      <w:r>
        <w:t xml:space="preserve">a) vinte e um requisitos funcionais essenciais codificados e testados até o encerramento da Fase 4;</w:t>
      </w:r>
      <w:r/>
    </w:p>
    <w:p>
      <w:pPr>
        <w:pStyle w:val="1477"/>
        <w:pBdr/>
        <w:spacing/>
        <w:ind w:firstLine="0" w:left="709"/>
        <w:rPr/>
      </w:pPr>
      <w:r>
        <w:t xml:space="preserve">b) bateria de testes unitários automatizados executada sem falhas a cada entrega;</w:t>
      </w:r>
      <w:r/>
    </w:p>
    <w:p>
      <w:pPr>
        <w:pStyle w:val="1477"/>
        <w:pBdr/>
        <w:spacing/>
        <w:ind w:firstLine="0" w:left="709"/>
        <w:rPr/>
      </w:pPr>
      <w:r>
        <w:t xml:space="preserve">c) registro completo de uma ocorrência por usuário sem treinamento prévio nos testes de aceitação;</w:t>
      </w:r>
      <w:r/>
    </w:p>
    <w:p>
      <w:pPr>
        <w:pStyle w:val="1477"/>
        <w:pBdr/>
        <w:spacing/>
        <w:ind w:firstLine="0" w:left="709"/>
        <w:rPr/>
      </w:pPr>
      <w:r>
        <w:t xml:space="preserve">d) sistema demonstrado em funcionamento na FAITEC 2026;</w:t>
      </w:r>
      <w:r/>
    </w:p>
    <w:p>
      <w:pPr>
        <w:pStyle w:val="1477"/>
        <w:pBdr/>
        <w:spacing/>
        <w:ind w:firstLine="0" w:left="709"/>
        <w:rPr/>
      </w:pPr>
      <w:r>
        <w:t xml:space="preserve">e) aprovação do projeto pela banca examinadora final.</w:t>
      </w:r>
      <w:r/>
    </w:p>
    <w:p>
      <w:pPr>
        <w:pStyle w:val="1447"/>
        <w:pBdr/>
        <w:spacing/>
        <w:ind/>
        <w:rPr/>
      </w:pPr>
      <w:r/>
      <w:bookmarkStart w:id="11" w:name="_Toc11"/>
      <w:r>
        <w:t xml:space="preserve">1.10 RISCOS DA DECISÃO</w:t>
      </w:r>
      <w:bookmarkEnd w:id="11"/>
      <w:r/>
      <w:r/>
    </w:p>
    <w:p>
      <w:pPr>
        <w:pBdr/>
        <w:spacing/>
        <w:ind/>
        <w:rPr/>
      </w:pPr>
      <w:r>
        <w:rPr>
          <w:b w:val="0"/>
        </w:rPr>
        <w:t xml:space="preserve">A alternativa recomendada concentra na equipe a responsabilidade pelo desenvolvimento e pela manutenção, o que a expõe aos riscos de cronograma e de concentração de conhecimento técnico registrados na planilha de gestão de riscos deste apêndice, n</w:t>
      </w:r>
      <w:r>
        <w:rPr>
          <w:b w:val="0"/>
        </w:rPr>
        <w:t xml:space="preserve">otadamente os riscos R2 e R5. A dependência de serviços externos gratuitos — risco R1 — é igualmente decorrência da opção por custo zero de licenciamento. Ambas as exposições são tratadas por estratégias de mitigação acompanhadas ao término de cada sprint.</w:t>
      </w:r>
      <w:r/>
    </w:p>
    <w:p>
      <w:pPr>
        <w:pStyle w:val="1447"/>
        <w:pBdr/>
        <w:spacing/>
        <w:ind/>
        <w:rPr/>
      </w:pPr>
      <w:r/>
      <w:bookmarkStart w:id="12" w:name="_Toc12"/>
      <w:r>
        <w:t xml:space="preserve">1.11 RECOMENDAÇÃO E APROVAÇÃO</w:t>
      </w:r>
      <w:bookmarkEnd w:id="12"/>
      <w:r/>
      <w:r/>
    </w:p>
    <w:p>
      <w:pPr>
        <w:pBdr/>
        <w:spacing/>
        <w:ind/>
        <w:rPr/>
      </w:pPr>
      <w:r>
        <w:rPr>
          <w:b w:val="0"/>
        </w:rPr>
        <w:t xml:space="preserve">Recomenda-se a execução do projeto conforme a alternativa A4, nos termos do escopo, do prazo e do orçamento consignados no Termo de Abertura do Projeto.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Nome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Função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Assinatura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Miguel Martins Lima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Responsável pela elaboração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Rodrigo Pereira Romano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Gerente do projeto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Isabela Carvalho Motta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Orientadora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___/___/______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5 – Aprovação do business case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Arial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Arial" w:hAnsi="Arial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Arial" w:hAnsi="Arial" w:eastAsia="Arial" w:cs="Arial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