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 xml:space="preserve">FAI – CENTRO DE ENSINO </w:t>
      </w:r>
      <w:r w:rsidR="001F00FF">
        <w:rPr>
          <w:sz w:val="24"/>
          <w:szCs w:val="24"/>
        </w:rPr>
        <w:t xml:space="preserve">SUPERIOR EM GESTÃO, TECNOLOGIA </w:t>
      </w:r>
      <w:r w:rsidRPr="00452A44">
        <w:rPr>
          <w:sz w:val="24"/>
          <w:szCs w:val="24"/>
        </w:rPr>
        <w:t>E EDUCAÇÃO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CURSO DE SISTEMAS DE INFORMAÇÃO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LUCAS FIORRIGI FURLAN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MIGUEL MARTINS LIMA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RODRIGO PEREIRA ROMANO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F45D92" w:rsidRPr="00452A44" w:rsidRDefault="00D878EB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SISTEMA DE INFORMAÇÃO PARA REPORTE DE OCORRÊNCIAS E APOIO À GESTÃO DE ZELADORIA PÚBLICA: FALA, CIDADE!</w:t>
      </w:r>
    </w:p>
    <w:p w:rsidR="00F45D92" w:rsidRPr="00452A44" w:rsidRDefault="00F45D92" w:rsidP="00DF372F">
      <w:pPr>
        <w:rPr>
          <w:szCs w:val="24"/>
        </w:rPr>
      </w:pPr>
    </w:p>
    <w:p w:rsidR="00F45D92" w:rsidRPr="00452A44" w:rsidRDefault="00F45D92" w:rsidP="00DF372F">
      <w:pPr>
        <w:rPr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F45D92" w:rsidRPr="00452A44" w:rsidRDefault="00F4415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</w:t>
      </w:r>
      <w:r w:rsidR="00F45D92" w:rsidRPr="00452A44">
        <w:rPr>
          <w:sz w:val="24"/>
          <w:szCs w:val="24"/>
        </w:rPr>
        <w:t>ANTA RITA DO SAPUCAÍ - MG</w:t>
      </w:r>
    </w:p>
    <w:p w:rsidR="0068052D" w:rsidRPr="00452A44" w:rsidRDefault="001929A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20</w:t>
      </w:r>
      <w:r w:rsidR="00C229DD" w:rsidRPr="00452A44">
        <w:rPr>
          <w:sz w:val="24"/>
          <w:szCs w:val="24"/>
        </w:rPr>
        <w:t>2</w:t>
      </w:r>
      <w:r w:rsidR="001F6BD7">
        <w:rPr>
          <w:sz w:val="24"/>
          <w:szCs w:val="24"/>
        </w:rPr>
        <w:t>6</w:t>
      </w:r>
      <w:bookmarkStart w:id="0" w:name="_GoBack"/>
      <w:bookmarkEnd w:id="0"/>
    </w:p>
    <w:p w:rsidR="0068052D" w:rsidRDefault="0068052D" w:rsidP="00DF372F">
      <w:pPr>
        <w:rPr>
          <w:sz w:val="28"/>
          <w:szCs w:val="20"/>
        </w:rPr>
      </w:pPr>
      <w:r>
        <w:br w:type="page"/>
      </w:r>
    </w:p>
    <w:p w:rsidR="00555C7B" w:rsidRDefault="00A54773" w:rsidP="00DF372F">
      <w:pPr>
        <w:pStyle w:val="EstiloFonte12NegritoCentralizado"/>
      </w:pPr>
      <w:r>
        <w:lastRenderedPageBreak/>
        <w:t>SUMÁRIO</w:t>
      </w:r>
    </w:p>
    <w:p w:rsidR="004722EB" w:rsidRDefault="004722EB" w:rsidP="00DF372F">
      <w:pPr>
        <w:pStyle w:val="EstiloFonte12NegritoCentralizado"/>
      </w:pPr>
      <w:bookmarkStart w:id="1" w:name="_Toc192060077"/>
    </w:p>
    <w:p w:rsidR="00930B77" w:rsidRDefault="00930B77" w:rsidP="00DF372F">
      <w:pPr>
        <w:pStyle w:val="EstiloFonte12NegritoCentralizado"/>
        <w:sectPr w:rsidR="00930B77" w:rsidSect="005E63DF">
          <w:headerReference w:type="even" r:id="rId8"/>
          <w:headerReference w:type="default" r:id="rId9"/>
          <w:pgSz w:w="11907" w:h="16840" w:code="9"/>
          <w:pgMar w:top="1701" w:right="1134" w:bottom="1134" w:left="1701" w:header="709" w:footer="709" w:gutter="0"/>
          <w:pgNumType w:fmt="lowerRoman"/>
          <w:cols w:space="708"/>
          <w:titlePg/>
          <w:docGrid w:linePitch="360"/>
        </w:sectPr>
      </w:pPr>
    </w:p>
    <w:p>
      <w:pPr>
        <w:pStyle w:val="Ttulo1"/>
      </w:pPr>
      <w:r>
        <w:t>1 ESPECIFICAÇÃO DOS CASOS DE TESTES</w:t>
      </w:r>
    </w:p>
    <w:p>
      <w:pPr/>
      <w:r>
        <w:t>Este apêndice complementa o Capítulo 8 do documento principal e reúne a especificação dos casos de teste derivados dos requisitos funcionais do sistema “Fala, Cidade!”, bem como o histórico das execuções realizadas. Os casos de teste foram obtidos a partir dos requisitos funcionais relacionados no Capítulo 5 e dos fluxos de eventos dos casos de uso descritos no Apêndice C. Cada caso contempla o fluxo principal ou um fluxo alternativo relevante para a verificação de uma regra de negócio.</w:t>
      </w:r>
    </w:p>
    <w:p>
      <w:pPr/>
      <w:r>
        <w:t>A verificação apoia-se em duas estratégias complementares, conforme a Seção 8.1 do documento principal: a bateria de testes unitários automatizados, construída com JUnit 5 e Mockito sobre as classes de serviço, de acesso a dados e de segurança do componente de serviço; e os testes funcionais manuais, conduzidos sobre o sistema integrado a partir da interface de usuário. Os casos de teste cuja verificação recai sobre a camada de apresentação — mapa, painel de estatísticas e recursos de acessibilidade — são necessariamente manuais nesta fase, uma vez que os testes automatizados da camada de apresentação estão previstos para a Fase 4.</w:t>
      </w:r>
    </w:p>
    <w:p>
      <w:pPr>
        <w:pStyle w:val="Ttulo2"/>
      </w:pPr>
      <w:r>
        <w:t>1.1 ITEM A TESTAR</w:t>
      </w:r>
    </w:p>
    <w:p>
      <w:pPr/>
      <w:r>
        <w:t>O Quadro 1 relaciona os itens submetidos à verificação, entendidos como os agrupamentos funcionais do sistema sobre os quais incidem os casos de teste especificados na Seção 1.3.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0"/>
        <w:gridCol w:w="5220"/>
      </w:tblGrid>
      <w:tr w:rsidR="00394C58" w:rsidTr="00FC730D">
        <w:trPr>
          <w:jc w:val="center"/>
        </w:trPr>
        <w:tc>
          <w:tcPr>
            <w:tcW w:w="3810" w:type="dxa"/>
          </w:tcPr>
          <w:p w:rsidR="00394C58" w:rsidRDefault="00394C58" w:rsidP="00077CC0">
            <w:r>
              <w:t>Identificação do Item</w:t>
            </w:r>
          </w:p>
        </w:tc>
        <w:tc>
          <w:tcPr>
            <w:tcW w:w="5220" w:type="dxa"/>
          </w:tcPr>
          <w:p w:rsidR="00394C58" w:rsidRDefault="00394C58" w:rsidP="00077CC0">
            <w:r>
              <w:t>Descrição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IT01</w:t>
            </w:r>
          </w:p>
        </w:tc>
        <w:tc>
          <w:tcPr>
            <w:tcW w:w="5220" w:type="dxa"/>
          </w:tcPr>
          <w:p>
            <w:r>
              <w:t>Componente de gestão de contas de usuário — cadastro, atualização, exclusão e recuperação de senha.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IT02</w:t>
            </w:r>
          </w:p>
        </w:tc>
        <w:tc>
          <w:tcPr>
            <w:tcW w:w="5220" w:type="dxa"/>
          </w:tcPr>
          <w:p>
            <w:r>
              <w:t>Componente de autenticação e autorização — emissão e validação de credenciais, autenticação multifator e restrição de acesso por perfil.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IT03</w:t>
            </w:r>
          </w:p>
        </w:tc>
        <w:tc>
          <w:tcPr>
            <w:tcW w:w="5220" w:type="dxa"/>
          </w:tcPr>
          <w:p>
            <w:r>
              <w:t>Componente de registro de ocorrências — criação identificada e anônima, validações, atribuição de prioridade, limites diários e agrupamento de duplicatas.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IT04</w:t>
            </w:r>
          </w:p>
        </w:tc>
        <w:tc>
          <w:tcPr>
            <w:tcW w:w="5220" w:type="dxa"/>
          </w:tcPr>
          <w:p>
            <w:r>
              <w:t>Componente de acompanhamento e gestão — consulta por protocolo e por código de acompanhamento, atualização de estado e histórico da ocorrência.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IT05</w:t>
            </w:r>
          </w:p>
        </w:tc>
        <w:tc>
          <w:tcPr>
            <w:tcW w:w="5220" w:type="dxa"/>
          </w:tcPr>
          <w:p>
            <w:r>
              <w:t>Componente de tratamento de mídias — envio assíncrono das imagens ao serviço externo e aplicação do desfoque de privacidade.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IT06</w:t>
            </w:r>
          </w:p>
        </w:tc>
        <w:tc>
          <w:tcPr>
            <w:tcW w:w="5220" w:type="dxa"/>
          </w:tcPr>
          <w:p>
            <w:r>
              <w:t>Componente de comunicação — expedição de mensagens de correio eletrônico e formulário de contato com os administradores.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IT07</w:t>
            </w:r>
          </w:p>
        </w:tc>
        <w:tc>
          <w:tcPr>
            <w:tcW w:w="5220" w:type="dxa"/>
          </w:tcPr>
          <w:p>
            <w:r>
              <w:t>Camada de apresentação — telas, mapa geográfico, painel de estatísticas e recursos de acessibilidade.</w:t>
            </w:r>
          </w:p>
        </w:tc>
      </w:tr>
    </w:tbl>
    <w:p w:rsidR="00394C58" w:rsidRDefault="00D26DFC" w:rsidP="00D26DFC">
      <w:pPr>
        <w:pStyle w:val="Legenda"/>
        <w:rPr>
          <w:rFonts w:eastAsia="Arial Unicode MS"/>
        </w:rPr>
      </w:pPr>
      <w:bookmarkStart w:id="10" w:name="_Toc507751107"/>
      <w:bookmarkStart w:id="11" w:name="_Toc14343278"/>
      <w:bookmarkStart w:id="12" w:name="_Toc46476807"/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 w:rsidR="008230D6">
        <w:rPr>
          <w:noProof/>
        </w:rPr>
        <w:t>1</w:t>
      </w:r>
      <w:r w:rsidR="003D6FE3">
        <w:rPr>
          <w:noProof/>
        </w:rPr>
        <w:fldChar w:fldCharType="end"/>
      </w:r>
      <w:r w:rsidR="00394C58">
        <w:rPr>
          <w:rFonts w:eastAsia="Arial Unicode MS"/>
        </w:rPr>
        <w:t xml:space="preserve"> – Identificação dos itens a serem testados</w:t>
      </w:r>
      <w:bookmarkEnd w:id="10"/>
      <w:bookmarkEnd w:id="11"/>
      <w:bookmarkEnd w:id="12"/>
    </w:p>
    <w:p>
      <w:pPr/>
    </w:p>
    <w:p>
      <w:pPr>
        <w:pStyle w:val="Ttulo2"/>
      </w:pPr>
      <w:r>
        <w:t>1.2 RASTREABILIDADE ENTRE REQUISITOS E CASOS DE TESTE</w:t>
      </w:r>
    </w:p>
    <w:p>
      <w:pPr/>
      <w:r>
        <w:t>O Quadro 2 estabelece a rastreabilidade entre os requisitos funcionais especificados no Capítulo 5 do documento principal e os casos de teste que os verificam. A totalidade dos vinte e um requisitos funcionais possui ao menos um caso de teste associado.</w:t>
      </w:r>
    </w:p>
    <w:tbl>
      <w:tblPr>
        <w:tblW w:w="88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0"/>
        <w:gridCol w:w="5796"/>
      </w:tblGrid>
      <w:tr w:rsidR="00394C58" w:rsidTr="00FC730D">
        <w:trPr>
          <w:trHeight w:val="384"/>
        </w:trPr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4C58" w:rsidRDefault="00394C58" w:rsidP="00077CC0">
            <w:r>
              <w:t>Identificação do Requisito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4C58" w:rsidRDefault="00394C58" w:rsidP="00077CC0">
            <w:r>
              <w:t>Caso(s) de teste(s) aplicável (eis)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RF01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CT01, CT02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RF02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CT03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RF03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CT04, CT05, CT06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RF04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CT07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RF05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CT08, CT09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RF06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CT10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RF07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CT11, CT12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RF08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CT13, CT14, CT18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RF09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CT15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RF10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CT16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RF11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CT17, CT18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RF12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CT19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RF13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CT20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RF14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CT06, CT21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RF15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CT22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RF16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CT23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RF17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CT24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RF18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CT25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RF19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CT26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RF20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CT27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RF21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CT28</w:t>
            </w:r>
          </w:p>
        </w:tc>
      </w:tr>
    </w:tbl>
    <w:p w:rsidR="00394C58" w:rsidRDefault="00D26DFC" w:rsidP="00D26DFC">
      <w:pPr>
        <w:pStyle w:val="Legenda"/>
        <w:rPr>
          <w:rFonts w:eastAsia="Arial Unicode MS"/>
        </w:rPr>
      </w:pPr>
      <w:bookmarkStart w:id="10" w:name="_Toc507751107"/>
      <w:bookmarkStart w:id="11" w:name="_Toc14343278"/>
      <w:bookmarkStart w:id="12" w:name="_Toc46476807"/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 w:rsidR="008230D6">
        <w:rPr>
          <w:noProof/>
        </w:rPr>
        <w:t>1</w:t>
      </w:r>
      <w:r w:rsidR="003D6FE3">
        <w:rPr>
          <w:noProof/>
        </w:rPr>
        <w:fldChar w:fldCharType="end"/>
      </w:r>
      <w:r w:rsidR="00394C58">
        <w:rPr>
          <w:rFonts w:eastAsia="Arial Unicode MS"/>
        </w:rPr>
        <w:t xml:space="preserve"> – Requisitos e casos de testes</w:t>
      </w:r>
      <w:bookmarkEnd w:id="10"/>
      <w:bookmarkEnd w:id="11"/>
      <w:bookmarkEnd w:id="12"/>
    </w:p>
    <w:p>
      <w:pPr/>
    </w:p>
    <w:p>
      <w:pPr>
        <w:pStyle w:val="Ttulo2"/>
      </w:pPr>
      <w:r>
        <w:t>1.3 DESCRIÇÃO DOS CASOS DE TESTES</w:t>
      </w:r>
    </w:p>
    <w:p>
      <w:pPr/>
      <w:r>
        <w:t>Os quadros seguintes descrevem, para cada caso de teste, o item verificado, o fluxo de execução, as entradas aplicadas, as saídas esperadas e as dependências em relação a outros casos.</w:t>
      </w:r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de cidadão com dados válidos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acessa a tela de cadastro, informa nome completo, endereço de correio eletrônico, senha e confirmação de senha, marca o aceite dos termos de uso e da política de privacidade e confirma o envio. O sistema valida os campos, verifica a inexistência de conta com o mesmo endereço de correio eletrônico, cifra a senha com o algoritmo BCrypt, persiste o registro com o papel de cidadão e dispara a mensagem de boas-vindas.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Nome completo válido; endereço de correio eletrônico ainda não cadastrado; senha com no mínimo oito caracteres, contendo letras, números e caracteres especiais; aceite dos termos marcado.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Conta criada com o papel CITIZEN e situação ativa; senha armazenada sob resumo criptográfico, jamais em texto claro; identificador da nova conta retornado pelo serviço; mensagem de confirmação exibida ao usuário e mensagem de boas-vindas expedida.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Servidor de aplicação e banco de dados em execução. Nenhum caso de teste anterior.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CT01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recusado por endereço de correio eletrônico já existente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informa, na tela de cadastro, um endereço de correio eletrônico já vinculado a uma conta existente e confirma o envio. O sistema consulta o repositório de usuários, identifica a duplicidade e interrompe a operação antes de qualquer persistência.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Endereço de correio eletrônico idêntico ao de conta previamente criada; demais campos válidos.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recusada, com retorno de valor negativo pelo serviço; nenhuma conta adicional criada; mensagem de erro apresentada ao usuário, sem revelar dados da conta existente.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executado, de modo que exista ao menos uma conta cadastrada.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CT02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recusado por ausência do aceite dos termos de uso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preenche corretamente todos os campos da tela de cadastro, porém não marca o aceite dos termos de uso e da política de privacidade, e confirma o envio. O sistema verifica a ausência do aceite para o papel de cidadão e recusa a criação da conta.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Dados cadastrais válidos; indicador de aceite dos termos com valor falso; papel de cidadão.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recusada, com retorno de valor negativo pelo serviço; nenhuma conta criada; mensagem informando a obrigatoriedade do aceite, em conformidade com a Lei Geral de Proteção de Dados Pessoais.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CT03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Autenticação de cidadão com credenciais válidas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informa o endereço de correio eletrônico e a senha na tela de acesso e confirma. O sistema recupera a conta, compara a senha informada com o resumo criptográfico armazenado e, havendo correspondência, emite um token assinado contendo a identificação e o papel do usuário.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Endereço de correio eletrônico de conta ativa; senha correta.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Token JSON Web Token assinado pelo algoritmo HS256, com validade de dez horas, contendo o endereço de correio eletrônico no campo de assunto e o papel do usuário como reivindicação adicional; redirecionamento para a área correspondente ao perfil.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CT04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CT05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Autenticação recusada por credencial inválida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informa um endereço de correio eletrônico inexistente ou uma senha incorreta e confirma o acesso. O sistema não localiza a conta, ou identifica a divergência entre a senha informada e o resumo armazenado, e recusa a autenticação.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Endereço de correio eletrônico inexistente; ou endereço válido com senha incorreta.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Nenhum token emitido; resposta de credenciais inválidas, com mensagem idêntica em ambos os casos, de modo a não revelar a existência da conta; acesso negado.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CT05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CT06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Autenticação de funcionário com segundo fator obrigatório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funcionário informa as credenciais válidas na tela de acesso. Identificado o papel de funcionário ou de administrador, o sistema exige a senha de uso único baseada em tempo, gerada pelo aplicativo autenticador previamente vinculado à conta. O usuário informa o código de seis dígitos e confirma.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Credenciais válidas de conta com papel EMPLOYEE ou ADMINISTRATOR; código de seis dígitos válido no intervalo de tempo corrente.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Acesso concedido somente após a validação do segundo fator; com código incorreto ou expirado, o acesso é negado e nenhum token é emitido.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CT26 executado, com a conta de funcionário criada e o segundo fator configurado.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CT06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CT07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Atualização dos dados cadastrais do usuário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autenticado acessa a tela de perfil, altera o nome, o endereço de correio eletrônico ou o telefone e confirma. O sistema valida os campos, verifica se o novo endereço de correio eletrônico não pertence a outra conta e persiste a alteração.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autenticada; ao menos um campo alterado com valor válido.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Registro atualizado no banco de dados; dados alterados apresentados na tela de perfil após a recarga; senha e papel preservados.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CT07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CT08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Solicitação de recuperação de senha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aciona a opção de recuperação de senha, informa o endereço de correio eletrônico e confirma. O sistema gera um token de uso único com prazo de validade, persiste-o vinculado à conta e expede, de forma assíncrona, a mensagem contendo o vínculo de redefinição.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Endereço de correio eletrônico de conta existente.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Token gerado e persistido com data de expiração; mensagem expedida ao endereço informado; resposta idêntica para endereços existentes e inexistentes, de modo a não permitir a enumeração de contas.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CT08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CT09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Redefinição de senha recusada por token expirado ou já utilizado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aciona um vínculo de redefinição cujo token já ultrapassou o prazo de validade ou já foi consumido em redefinição anterior, informa a nova senha e confirma. O sistema verifica a situação do token e recusa a operação.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Token expirado ou previamente utilizado; nova senha válida.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recusada; senha da conta inalterada; mensagem orientando a solicitação de novo vínculo de redefinição.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CT08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CT09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CT10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Exclusão definitiva da conta pelo próprio usuário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autenticado acessa a tela de perfil, solicita a exclusão da conta e recebe, por correio eletrônico, um código de confirmação. Informado o código, o sistema confirma a operação e remove definitivamente o registro da conta.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autenticada; código de confirmação recebido por correio eletrônico.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Registro da conta removido; acesso subsequente com as mesmas credenciais recusado; ocorrências previamente registradas preservadas, sem vínculo com dados pessoais, em atendimento ao direito de exclusão previsto na Lei Geral de Proteção de Dados Pessoais.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CT10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Registro de ocorrência identificada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autenticado acessa a tela de registro, seleciona a categoria, descreve o problema, indica a localização e, opcionalmente, anexa uma imagem, e confirma o envio. O sistema valida os campos obrigatórios, atribui a prioridade a partir da categoria, verifica o limite diário, encadeia a ocorrência a eventual grupo de duplicatas, persiste o registro e devolve o número de protocolo.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Categoria válida; descrição não vazia; cidade preenchida; coordenadas geográficas; conta autenticada.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Ocorrência persistida com estado PENDENTE e número de protocolo único; identificador e número de protocolo devolvidos ao cliente; mensagem de confirmação do registro expedida ao cidadão.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CT11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Bloqueio do registro identificado por limite diário atingido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que já registrou cinco ocorrências no mesmo dia tenta registrar a sexta. O sistema apura a quantidade de registros do dia vinculados ao endereço de correio eletrônico e interrompe a operação.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com cinco ocorrências já registradas na data corrente; nova ocorrência com dados válidos.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recusada, com exceção de estado ilegal e mensagem informando o limite de cinco ocorrências por dia; nenhum registro adicional persistido.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 cinco vezes com a mesma conta.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CT12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Registro de ocorrência anônima com emissão de código de acompanhamento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não autenticado acessa a tela de registro, assinala a opção de envio anônimo, descreve o problema, indica a localização e confirma. O sistema verifica o limite diário por endereço de rede, gera um código de acompanhamento, armazena apenas o seu resumo criptográfico e persiste a ocorrência sem vínculo com conta de usuário.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Categoria válida; descrição não vazia; cidade preenchida; coordenadas geográficas; ausência de sessão autenticada.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Ocorrência persistida sem identificação do autor; código de acompanhamento apresentado uma única vez ao visitante; no banco de dados, apenas o resumo criptográfico do código, de modo que este não possa ser recuperado a partir da base.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CT13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Bloqueio do registro anônimo por limite diário do endereço de rede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A partir de um mesmo endereço de rede que já originou três ocorrências anônimas na data corrente, o visitante tenta registrar a quarta. O sistema apura a quantidade de registros anônimos do dia associados àquele endereço e interrompe a operação.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Endereço de rede com três ocorrências anônimas registradas na data corrente; nova ocorrência com dados válidos.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recusada, com exceção de estado ilegal e mensagem informando o limite de três ocorrências anônimas por dia; nenhum registro adicional persistido.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CT13 executado três vezes a partir do mesmo endereço de rede.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CT14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CT15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Captura da geolocalização e preenchimento automático do endereço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Na tela de registro, o cidadão autoriza o acesso à localização do dispositivo. A camada de apresentação obtém as coordenadas, posiciona o marcador sobre o mapa e solicita ao serviço de geocodificação reversa a conversão das coordenadas em endereço, preenchendo os campos correspondentes. O usuário pode arrastar o marcador para ajustar o ponto.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Permissão de localização concedida no navegador; conectividade com o serviço de geocodificação.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Marcador posicionado nas coordenadas obtidas; campos de logradouro, bairro e cidade preenchidos automaticamente; coordenadas atualizadas ao arrastar o marcador. Negada a permissão ou indisponível o serviço de geocodificação, os campos permanecem editáveis para o preenchimento manual, sem impedir o registro.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CT15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CT16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Atribuição automática de prioridade a partir da categoria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Ao registrar uma ocorrência sem prioridade informada, o sistema deriva a prioridade da categoria selecionada, segundo a regra estabelecida: as categorias de maus-tratos aos animais, de pessoa precisando de ajuda e de sinalização ou semáforo com defeito recebem prioridade alta; as categorias de problemas em praças e parques e de som alto ou perturbação do sossego recebem prioridade baixa; as demais recebem prioridade média.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Ocorrência sem prioridade informada, para cada uma das categorias previstas.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Prioridade atribuída conforme a regra, para todas as categorias; prioridade informada explicitamente pelo usuário é preservada, sem sobrescrita.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CT16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CT17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Consulta de ocorrência pelo número de protocolo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informa o número de protocolo na tela de acompanhamento e confirma a consulta. O sistema localiza a ocorrência correspondente e apresenta a sua situação atual e o histórico de alterações de estado, com as respectivas datas.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Número de protocolo de ocorrência existente.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Dados da ocorrência apresentados, com o estado corrente e o histórico de tramitação; informado protocolo inexistente, o sistema apresenta mensagem de ocorrência não localizada, sem expor dados de terceiros.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CT17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CT18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Consulta de ocorrência anônima pelo código de acompanhamento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informa o código de acompanhamento recebido no momento do registro anônimo. O sistema calcula o resumo criptográfico do código informado e o compara com o resumo armazenado, apresentando a ocorrência apenas quando houver correspondência.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Código de acompanhamento válido, emitido no registro anônimo.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Ocorrência correspondente apresentada com a sua situação atual; informado código inválido, nenhuma ocorrência é apresentada, e a comparação é realizada sobre resumos criptográficos, jamais sobre o código em texto claro.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CT13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CT18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CT19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Atualização do estado da ocorrência pelo painel administrativo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funcionário autenticado acessa o painel de gestão, seleciona uma ocorrência e altera o seu estado para em andamento, atendida ou indeferida, registrando a justificativa quando exigida. O sistema persiste o novo estado, acrescenta o registro ao histórico da ocorrência e notifica o cidadão autor.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com papel EMPLOYEE ou ADMINISTRATOR autenticada; ocorrência existente; novo estado válido entre PENDENTE, EM_ANDAMENTO, ATENDIDA e INDEFERIDA.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Estado da ocorrência atualizado; entrada acrescentada ao histórico com a data e o responsável; notificação expedida ao autor identificado; opcionalmente, a alteração é propagada às demais ocorrências do mesmo grupo de duplicatas.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CT06 e CT11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CT19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CT20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Apresentação dos relatórios gerenciais e do painel de estatísticas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administrador autenticado acessa o painel de estatísticas e aplica os filtros disponíveis por período, por categoria, por bairro e por situação. O sistema recalcula os totalizadores e os gráficos a partir do conjunto filtrado.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com papel ADMINISTRATOR autenticada; base com ocorrências registradas em categorias, bairros e situações distintos.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Totalizadores e gráficos coerentes com o conjunto filtrado; alteração de qualquer filtro reflete-se imediatamente na apresentação.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 CT19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CT20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IT02,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Restrição de acesso às funcionalidades conforme o perfil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Autenticado com cada um dos três papéis, o testador tenta acessar as funcionalidades reservadas aos demais, tanto pela interface quanto por requisição direta aos pontos de extremidade da interface de programação de aplicações.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Contas ativas com os papéis CITIZEN, EMPLOYEE e ADMINISTRATOR; requisições dirigidas a recursos de outros perfis.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 cidadão visualiza apenas as próprias ocorrências e não acessa o painel de gestão; o funcionário acessa a gestão de ocorrências, mas não a gestão de usuários; o administrador acessa todas as funcionalidades. A requisição direta a recurso não autorizado é recusada com resposta de acesso proibido, ainda que o token seja válido.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 CT06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CT21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Gerenciamento de usuários pelo administrador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administrador autenticado acessa a listagem de usuários, consulta os registros, altera a situação de uma conta entre ativa e inativa e confirma. O sistema persiste a alteração e passa a recusar o acesso da conta inativada.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com papel ADMINISTRATOR autenticada; conta de usuário existente.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Listagem apresentada com os usuários cadastrados e os respectivos papéis; situação da conta alterada; conta inativada impedida de autenticar-se.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 CT06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CT22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Detecção e agrupamento de ocorrências duplicadas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inicia o registro de uma ocorrência cuja categoria e localização coincidem com as de ocorrência ativa já registrada nas proximidades. Antes da confirmação, o sistema consulta as ocorrências próximas de mesma categoria dentro do raio de cinquenta metros e as apresenta ao cidadão, que pode manifestar apoio à ocorrência existente em vez de criar um novo registro. Persistindo o registro, a ocorrência é encadeada ao grupo de duplicatas da ocorrência raiz.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Ocorrência ativa previamente registrada; nova ocorrência de mesma categoria, com coordenadas situadas a menos de cinquenta metros da primeira.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Ocorrências próximas apresentadas antes da confirmação; manifestado o apoio, o vínculo é registrado uma única vez por cidadão, e a tentativa de apoiar novamente a mesma ocorrência é recusada; confirmado o registro, a nova ocorrência recebe o identificador do grupo da ocorrência raiz.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CT23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IT06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Envio de mensagem pelo formulário de contato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acessa a tela de contato, informa o nome, o endereço de correio eletrônico, o assunto e a mensagem, e confirma o envio. O sistema valida os campos obrigatórios, persiste a mensagem e a encaminha, de forma assíncrona, ao endereço da equipe responsável.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Nome, endereço de correio eletrônico, assunto e mensagem preenchidos.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Mensagem persistida com data e hora; encaminhamento expedido ao endereço da equipe; confirmação apresentada ao usuário. Campos obrigatórios em branco impedem o envio.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CT24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CT25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Recursos de acessibilidade da interface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testador percorre as telas principais utilizando exclusivamente o teclado, aciona os controles de ajuste do tamanho da fonte e de alternância entre os temas claro e escuro, e submete as telas à auditoria automatizada de acessibilidade do navegador.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Navegação exclusivamente por teclado; leitor de tela ativo; controles de fonte e de tema acionados.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Ajuste do tamanho da fonte e alternância de tema operantes e persistidos entre as telas; imagens e formulários da área de conta rotulados. Registra-se, como resultado parcial, a ausência de rotulação programática, de anúncio automático de mensagens e de marcação semântica de papéis em parte das telas, conforme declarado na Seção 6.4.4 do documento principal.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CT25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CT26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de funcionário pelo administrador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administrador autenticado acessa a área de gestão de usuários, seleciona a criação de funcionário, informa os dados e o papel a ser atribuído e confirma. O sistema cria a conta já com o aceite dos termos registrado e a situação ativa, e expede ao novo funcionário a mensagem com as orientações de primeiro acesso e de vinculação do segundo fator.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com papel ADMINISTRATOR autenticada; dados válidos do funcionário; papel EMPLOYEE ou ADMINISTRATOR.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Conta criada com o papel indicado e situação ativa; senha armazenada sob resumo criptográfico; mensagem de primeiro acesso expedida; tentativa de criação por conta sem papel de administrador recusada.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CT21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CT26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IT05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CT27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Envio de imagem com desfoque automático de rostos e placas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Ao registrar a ocorrência, o cidadão anexa uma imagem contendo rostos de pessoas ou placas de veículos. O servidor responde de imediato com um identificador de processamento e executa o envio ao serviço externo em conjunto de linhas de execução dedicado, solicitando a aplicação do desfoque. A camada de apresentação consulta periodicamente o estado do envio até a sua conclusão.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Arquivo de imagem em formato admitido, dentro do limite de tamanho configurado, contendo rostos ou placas identificáveis.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Identificador de processamento devolvido de imediato, sem bloqueio da requisição; estado do envio evoluindo de PROCESSING para DONE; imagem disponibilizada com rostos e placas desfocados; falha no processamento reportada como estado REJECTED ou ERROR, preservando a ocorrência já registrada e o seu número de protocolo.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CT27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CT28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Visualização das ocorrências no mapa geográfico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acessa a tela do mapa, que apresenta as ocorrências públicas sobre a base cartográfica. O testador aplica os filtros por categoria e por situação, aproxima e afasta a visualização e aciona um marcador para consultar o resumo da ocorrência correspondente.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Base com ocorrências registradas em coordenadas distintas; conectividade com o serviço de base cartográfica.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Marcadores apresentados nas coordenadas corretas, diferenciados por situação; filtros refletidos imediatamente no conjunto apresentado; acionamento do marcador exibindo o resumo da ocorrência, com o autor preservado nas ocorrências anônimas.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 CT13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CT28</w:t>
      </w:r>
    </w:p>
    <w:p>
      <w:pPr/>
    </w:p>
    <w:p>
      <w:pPr>
        <w:pStyle w:val="Ttulo1"/>
      </w:pPr>
      <w:r>
        <w:t>2 HISTÓRICO DE REALIZAÇÃO</w:t>
      </w:r>
    </w:p>
    <w:p>
      <w:pPr/>
      <w:r>
        <w:t>Esta seção registra a execução dos casos de teste especificados na Seção 1.3. A bateria de testes unitários automatizados foi executada por meio do Apache Maven, com o plugin Surefire, totalizando cento e noventa e seis testes distribuídos por dezoito classes, sem falhas e sem erros. Os relatórios de execução gerados pela ferramenta acompanham o código-fonte, no diretório target/surefire-reports. Os testes funcionais manuais foram conduzidos sobre o sistema integrado, a partir da interface de usuário, percorrendo os fluxos especificados.</w:t>
      </w:r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e UserPostgresDaoTest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CT01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CT02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CT03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JwtAuthenticationServiceImplTest, CustomUserDetailsServiceTest e JwtServiceTest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CT04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CT05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JwtAuthenticationServiceImplTest e CustomUserDetailsServiceTest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CT05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CT06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[PREENCHER]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CT06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CT07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e UserPostgresDaoTest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CT07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CT08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PasswordResetServiceImplTest, PasswordResetTokenPostgresDaoTest e EmailServiceImplTest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CT08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CT09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PasswordResetServiceImplTest e PasswordResetTokenPostgresDaoTest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CT09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CT10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e UserPostgresDaoTest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CT10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e CreateOccurrenceDtoTest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CT11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CT12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e AnonymousTrackingCodeServiceTest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CT13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CT14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CT15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[PREENCHER]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CT15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CT16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OccurrencePriorityTest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CT16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CT17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CT17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CT18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e AnonymousTrackingCodeServiceTest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CT18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CT19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CT19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CT20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[PREENCHER]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CT20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OccurrenceServiceImplTest e JwtServiceTest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CT21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e UserPostgresDaoTest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CT22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[PREENCHER]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CT23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ContactServiceImplTest e ContactMessagePostgresDaoTest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CT24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CT25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[PREENCHER]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confirmou o funcionamento do ajuste do tamanho da fonte, da alternância entre os temas e da rotulação das imagens e dos formulários da área de conta. A auditoria automatizada do navegador apontou a ausência de rotulação programática, de anúncio automático de mensagens e de marcação semântica de papéis em parte das telas.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 com ressalva — pendências registradas na Seção 6.4.4 e previstas para a Fase 4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CT25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CT26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CT26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CT27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 (bateria automatizada) e [PREENCHER]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CloudinaryMediaUploadServiceTest, UploadStatusTest e ResourceFileServiceImplTest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CT27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CT28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[PREENCHER]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1.13; código-fonte na revisão 21369db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CT28</w:t>
      </w:r>
    </w:p>
    <w:p>
      <w:pPr/>
    </w:p>
    <w:sectPr w:rsidR="00D26DFC" w:rsidRPr="00D26DFC" w:rsidSect="00394C58">
      <w:headerReference w:type="even" r:id="rId10"/>
      <w:headerReference w:type="default" r:id="rId11"/>
      <w:headerReference w:type="first" r:id="rId12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DDB" w:rsidRDefault="00312DDB" w:rsidP="00DF372F">
      <w:r>
        <w:separator/>
      </w:r>
    </w:p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</w:endnote>
  <w:endnote w:type="continuationSeparator" w:id="0">
    <w:p w:rsidR="00312DDB" w:rsidRDefault="00312DDB" w:rsidP="00DF372F">
      <w:r>
        <w:continuationSeparator/>
      </w:r>
    </w:p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KKG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DDB" w:rsidRDefault="00312DDB" w:rsidP="00DF372F">
      <w:r>
        <w:separator/>
      </w:r>
    </w:p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</w:footnote>
  <w:footnote w:type="continuationSeparator" w:id="0">
    <w:p w:rsidR="00312DDB" w:rsidRDefault="00312DDB" w:rsidP="00DF372F">
      <w:r>
        <w:continuationSeparator/>
      </w:r>
    </w:p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A11" w:rsidRDefault="003E6A11" w:rsidP="00DF372F"/>
  <w:p w:rsidR="003E6A11" w:rsidRDefault="003E6A11" w:rsidP="00DF372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A11" w:rsidRDefault="00312DDB" w:rsidP="00097573">
    <w:pPr>
      <w:pStyle w:val="Cabealho"/>
      <w:jc w:val="right"/>
    </w:pPr>
    <w:sdt>
      <w:sdtPr>
        <w:id w:val="245571573"/>
        <w:docPartObj>
          <w:docPartGallery w:val="Page Numbers (Top of Page)"/>
          <w:docPartUnique/>
        </w:docPartObj>
      </w:sdtPr>
      <w:sdtEndPr/>
      <w:sdtContent>
        <w:r w:rsidR="003E6A11">
          <w:rPr>
            <w:noProof/>
          </w:rPr>
          <w:fldChar w:fldCharType="begin"/>
        </w:r>
        <w:r w:rsidR="003E6A11">
          <w:rPr>
            <w:noProof/>
          </w:rPr>
          <w:instrText xml:space="preserve"> PAGE   \* MERGEFORMAT </w:instrText>
        </w:r>
        <w:r w:rsidR="003E6A11">
          <w:rPr>
            <w:noProof/>
          </w:rPr>
          <w:fldChar w:fldCharType="separate"/>
        </w:r>
        <w:r w:rsidR="001F6BD7">
          <w:rPr>
            <w:noProof/>
          </w:rPr>
          <w:t>ii</w:t>
        </w:r>
        <w:r w:rsidR="003E6A11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A11" w:rsidRDefault="003E6A11" w:rsidP="000A56F0">
    <w:pPr>
      <w:pStyle w:val="Cabealho"/>
    </w:pPr>
  </w:p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6437513"/>
      <w:docPartObj>
        <w:docPartGallery w:val="Page Numbers (Top of Page)"/>
        <w:docPartUnique/>
      </w:docPartObj>
    </w:sdtPr>
    <w:sdtEndPr/>
    <w:sdtContent>
      <w:p w:rsidR="003E6A11" w:rsidRDefault="003E6A11" w:rsidP="000A56F0">
        <w:pPr>
          <w:pStyle w:val="Cabealho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1F6BD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A11" w:rsidRPr="00EA6D08" w:rsidRDefault="003E6A11" w:rsidP="000A56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58A9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727FD"/>
    <w:multiLevelType w:val="multilevel"/>
    <w:tmpl w:val="B78AAD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 w15:restartNumberingAfterBreak="0">
    <w:nsid w:val="14EC4CFF"/>
    <w:multiLevelType w:val="hybridMultilevel"/>
    <w:tmpl w:val="F18636E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862130C"/>
    <w:multiLevelType w:val="multilevel"/>
    <w:tmpl w:val="E102CBF2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19F3483E"/>
    <w:multiLevelType w:val="multilevel"/>
    <w:tmpl w:val="7960D292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1FD13A6F"/>
    <w:multiLevelType w:val="multilevel"/>
    <w:tmpl w:val="E40E7E6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27540B40"/>
    <w:multiLevelType w:val="hybridMultilevel"/>
    <w:tmpl w:val="7E1091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232F4"/>
    <w:multiLevelType w:val="hybridMultilevel"/>
    <w:tmpl w:val="1A56A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26EA6"/>
    <w:multiLevelType w:val="multilevel"/>
    <w:tmpl w:val="3C58877C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9" w15:restartNumberingAfterBreak="0">
    <w:nsid w:val="39F52A64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0" w15:restartNumberingAfterBreak="0">
    <w:nsid w:val="3EB02082"/>
    <w:multiLevelType w:val="multilevel"/>
    <w:tmpl w:val="A5D200B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3F26983"/>
    <w:multiLevelType w:val="multilevel"/>
    <w:tmpl w:val="1E48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5F2F46EB"/>
    <w:multiLevelType w:val="multilevel"/>
    <w:tmpl w:val="D4DCBC9C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3" w15:restartNumberingAfterBreak="0">
    <w:nsid w:val="63447252"/>
    <w:multiLevelType w:val="hybridMultilevel"/>
    <w:tmpl w:val="CCF684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9A5C18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1F6BD7"/>
    <w:rsid w:val="00200468"/>
    <w:rsid w:val="0020693A"/>
    <w:rsid w:val="00207ADD"/>
    <w:rsid w:val="00212FC4"/>
    <w:rsid w:val="00220C05"/>
    <w:rsid w:val="0022182D"/>
    <w:rsid w:val="00234CE5"/>
    <w:rsid w:val="00241D6C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12DDB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D4E64"/>
    <w:rsid w:val="007D740B"/>
    <w:rsid w:val="007E16DE"/>
    <w:rsid w:val="007E22D8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2367BA6"/>
  <w15:docId w15:val="{F7810295-7D94-4F49-ACFC-9082516A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DF372F"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D60CBA"/>
    <w:pPr>
      <w:keepNext/>
      <w:outlineLvl w:val="2"/>
    </w:pPr>
    <w:rPr>
      <w:rFonts w:cs="Arial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F4415E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customStyle="1" w:styleId="Normal1">
    <w:name w:val="Normal1"/>
    <w:rsid w:val="008230D6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B7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8FAB0-C26E-4FB7-9AFD-4735B89DF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EGS</cp:lastModifiedBy>
  <cp:revision>13</cp:revision>
  <cp:lastPrinted>2021-03-09T13:17:00Z</cp:lastPrinted>
  <dcterms:created xsi:type="dcterms:W3CDTF">2021-08-02T12:41:00Z</dcterms:created>
  <dcterms:modified xsi:type="dcterms:W3CDTF">2026-08-03T15:14:00Z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