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56"/>
          <w:szCs w:val="56"/>
        </w:rPr>
        <w:t xml:space="preserve">FALA, CIDADE!</w:t>
      </w:r>
    </w:p>
    <w:p>
      <w:pPr>
        <w:spacing w:after="240"/>
        <w:jc w:val="center"/>
      </w:pPr>
      <w:r>
        <w:rPr>
          <w:sz w:val="28"/>
          <w:szCs w:val="28"/>
        </w:rPr>
        <w:t xml:space="preserve">Sistema de Informação para Reporte de Ocorrências e Apoio à Gestão de Zeladoria Pública</w:t>
      </w:r>
    </w:p>
    <w:p>
      <w:pPr>
        <w:spacing w:after="240" w:before="1200"/>
        <w:jc w:val="center"/>
      </w:pPr>
      <w:r>
        <w:rPr>
          <w:b/>
          <w:bCs/>
          <w:sz w:val="40"/>
          <w:szCs w:val="40"/>
        </w:rPr>
        <w:t xml:space="preserve">MANUAL DO USUÁRIO</w:t>
      </w:r>
    </w:p>
    <w:p>
      <w:pPr>
        <w:spacing w:before="240"/>
        <w:jc w:val="center"/>
      </w:pPr>
      <w:r>
        <w:rPr>
          <w:sz w:val="24"/>
          <w:szCs w:val="24"/>
        </w:rPr>
        <w:t xml:space="preserve">Versão 1.0 — Julho de 2026</w:t>
      </w:r>
    </w:p>
    <w:p>
      <w:pPr>
        <w:jc w:val="center"/>
      </w:pPr>
      <w:r>
        <w:rPr>
          <w:sz w:val="24"/>
          <w:szCs w:val="24"/>
        </w:rPr>
        <w:t xml:space="preserve">Santa Rita do Sapucaí — MG</w:t>
      </w:r>
    </w:p>
    <w:p>
      <w:r>
        <w:br w:type="page"/>
      </w:r>
    </w:p>
    <w:p>
      <w:pPr>
        <w:spacing w:after="240"/>
        <w:jc w:val="center"/>
      </w:pPr>
      <w:r>
        <w:rPr>
          <w:b/>
          <w:bCs/>
          <w:color w:val="1F4E79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 APRESENTAÇÃO</w:t>
      </w:r>
    </w:p>
    <w:p>
      <w:pPr>
        <w:spacing w:after="160" w:line="336"/>
        <w:jc w:val="both"/>
      </w:pPr>
      <w:r>
        <w:t xml:space="preserve">O Fala, Cidade! é um sistema que aproxima o cidadão da administração pública municipal. Por meio dele, qualquer pessoa pode registrar ocorrências de zeladoria urbana — como buracos em vias, iluminação precária, descarte irregular de lixo ou má conservação de espaços públicos — e acompanhar o andamento da solução pelo número de protocolo.</w:t>
      </w:r>
    </w:p>
    <w:p>
      <w:pPr>
        <w:spacing w:after="160" w:line="336"/>
        <w:jc w:val="both"/>
      </w:pPr>
      <w:r>
        <w:t xml:space="preserve">Este manual explica, passo a passo, como utilizar o sistema em cada perfil de usuário: Cidadão, Visitante (sem cadastro), Funcionário da administração pública e Administrador.</w:t>
      </w:r>
    </w:p>
    <w:p>
      <w:pPr>
        <w:pStyle w:val="Heading2"/>
      </w:pPr>
      <w:r>
        <w:t xml:space="preserve">1.1 Requisitos para uso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t xml:space="preserve">Navegador atualizado: </w:t>
      </w:r>
      <w:r>
        <w:rPr>
          <w:b/>
          <w:bCs/>
        </w:rPr>
        <w:t xml:space="preserve">Google Chrome</w:t>
      </w:r>
      <w:r>
        <w:t xml:space="preserve">, </w:t>
      </w:r>
      <w:r>
        <w:rPr>
          <w:b/>
          <w:bCs/>
        </w:rPr>
        <w:t xml:space="preserve">Mozilla Firefox</w:t>
      </w:r>
      <w:r>
        <w:t xml:space="preserve"> ou </w:t>
      </w:r>
      <w:r>
        <w:rPr>
          <w:b/>
          <w:bCs/>
        </w:rPr>
        <w:t xml:space="preserve">Microsoft Edge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t xml:space="preserve">Conexão com a internet.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t xml:space="preserve">Um endereço de e-mail válido (para criar conta e receber notificações).</w:t>
      </w:r>
    </w:p>
    <w:p>
      <w:pPr>
        <w:pStyle w:val="Heading2"/>
      </w:pPr>
      <w:r>
        <w:t xml:space="preserve">1.2 Instalar como aplicativo (PWA)</w:t>
      </w:r>
    </w:p>
    <w:p>
      <w:pPr>
        <w:spacing w:after="160" w:line="336"/>
        <w:jc w:val="both"/>
      </w:pPr>
      <w:r>
        <w:t xml:space="preserve">O Fala, Cidade! é um aplicativo web progressivo (PWA): pode ser instalado na tela inicial do celular ou do computador, sem loja de aplicativos.</w:t>
      </w:r>
    </w:p>
    <w:p>
      <w:pPr>
        <w:pStyle w:val="ListParagraph"/>
        <w:numPr>
          <w:ilvl w:val="0"/>
          <w:numId w:val="3"/>
        </w:numPr>
        <w:spacing w:after="80" w:line="336"/>
      </w:pPr>
      <w:r>
        <w:t xml:space="preserve">Abra o endereço do sistema no navegador do celular.</w:t>
      </w:r>
    </w:p>
    <w:p>
      <w:pPr>
        <w:pStyle w:val="ListParagraph"/>
        <w:numPr>
          <w:ilvl w:val="0"/>
          <w:numId w:val="3"/>
        </w:numPr>
        <w:spacing w:after="80" w:line="336"/>
      </w:pPr>
      <w:r>
        <w:t xml:space="preserve">No menu do navegador, toque em “Adicionar à tela inicial” (Android/Chrome) ou “Compartilhar → Adicionar à Tela de Início” (iPhone/Safari).</w:t>
      </w:r>
    </w:p>
    <w:p>
      <w:pPr>
        <w:pStyle w:val="ListParagraph"/>
        <w:numPr>
          <w:ilvl w:val="0"/>
          <w:numId w:val="3"/>
        </w:numPr>
        <w:spacing w:after="80" w:line="336"/>
      </w:pPr>
      <w:r>
        <w:t xml:space="preserve">Confirme. O ícone do Fala, Cidade! aparecerá na tela inicial, como um aplicativo comum.</w:t>
      </w:r>
    </w:p>
    <w:p>
      <w:pPr>
        <w:pStyle w:val="Heading2"/>
      </w:pPr>
      <w:r>
        <w:t xml:space="preserve">1.3 Acessibilidade</w:t>
      </w:r>
    </w:p>
    <w:p>
      <w:pPr>
        <w:spacing w:after="160" w:line="336"/>
        <w:jc w:val="both"/>
      </w:pPr>
      <w:r>
        <w:t xml:space="preserve">Em todas as telas, no canto inferior direito, há controles fixos de acessibilidade: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b/>
          <w:bCs/>
        </w:rPr>
        <w:t xml:space="preserve">A− / A / A+</w:t>
      </w:r>
      <w:r>
        <w:t xml:space="preserve"> — diminui, restaura ou aumenta o tamanho das letras (6 níveis).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b/>
          <w:bCs/>
        </w:rPr>
        <w:t xml:space="preserve">Sol/Lua</w:t>
      </w:r>
      <w:r>
        <w:t xml:space="preserve"> — alterna entre o tema claro e o tema escuro.</w:t>
      </w:r>
    </w:p>
    <w:p>
      <w:pPr>
        <w:spacing w:after="160" w:line="336"/>
        <w:jc w:val="both"/>
      </w:pPr>
      <w:r>
        <w:t xml:space="preserve">As preferências ficam salvas no dispositivo e valem para as próximas visitas.</w:t>
      </w:r>
    </w:p>
    <w:p>
      <w:pPr>
        <w:pStyle w:val="Heading1"/>
        <w:pageBreakBefore/>
      </w:pPr>
      <w:r>
        <w:t xml:space="preserve">2 PRIMEIROS PASSOS</w:t>
      </w:r>
    </w:p>
    <w:p>
      <w:pPr>
        <w:pStyle w:val="Heading2"/>
      </w:pPr>
      <w:r>
        <w:t xml:space="preserve">2.1 Criar uma conta (Cidadão)</w:t>
      </w:r>
    </w:p>
    <w:p>
      <w:pPr>
        <w:pStyle w:val="ListParagraph"/>
        <w:numPr>
          <w:ilvl w:val="0"/>
          <w:numId w:val="4"/>
        </w:numPr>
        <w:spacing w:after="80" w:line="336"/>
      </w:pPr>
      <w:r>
        <w:t xml:space="preserve">Na tela de entrada, toque em “Criar conta”.</w:t>
      </w:r>
    </w:p>
    <w:p>
      <w:pPr>
        <w:pStyle w:val="ListParagraph"/>
        <w:numPr>
          <w:ilvl w:val="0"/>
          <w:numId w:val="4"/>
        </w:numPr>
        <w:spacing w:after="80" w:line="336"/>
      </w:pPr>
      <w:r>
        <w:t xml:space="preserve">Preencha nome completo, e-mail, senha, data de nascimento e município de residência (obrigatório).</w:t>
      </w:r>
    </w:p>
    <w:p>
      <w:pPr>
        <w:pStyle w:val="ListParagraph"/>
        <w:numPr>
          <w:ilvl w:val="0"/>
          <w:numId w:val="4"/>
        </w:numPr>
        <w:spacing w:after="80" w:line="336"/>
      </w:pPr>
      <w:r>
        <w:t xml:space="preserve">A senha deve ter no mínimo 8 caracteres, com letra, número e caractere especial (@$!%*#?&amp;).</w:t>
      </w:r>
    </w:p>
    <w:p>
      <w:pPr>
        <w:pStyle w:val="ListParagraph"/>
        <w:numPr>
          <w:ilvl w:val="0"/>
          <w:numId w:val="4"/>
        </w:numPr>
        <w:spacing w:after="80" w:line="336"/>
      </w:pPr>
      <w:r>
        <w:t xml:space="preserve">Leia e aceite os Termos de Uso e a Política de Privacidade (LGPD).</w:t>
      </w:r>
    </w:p>
    <w:p>
      <w:pPr>
        <w:pStyle w:val="ListParagraph"/>
        <w:numPr>
          <w:ilvl w:val="0"/>
          <w:numId w:val="4"/>
        </w:numPr>
        <w:spacing w:after="80" w:line="336"/>
      </w:pPr>
      <w:r>
        <w:t xml:space="preserve">Se desejar, ative a verificação em duas etapas por e-mail (MFA) já no cadastro.</w:t>
      </w:r>
    </w:p>
    <w:p>
      <w:pPr>
        <w:pStyle w:val="ListParagraph"/>
        <w:numPr>
          <w:ilvl w:val="0"/>
          <w:numId w:val="4"/>
        </w:numPr>
        <w:spacing w:after="80" w:line="336"/>
      </w:pPr>
      <w:r>
        <w:t xml:space="preserve">Toque em “Cadastrar”. Você receberá um e-mail de boas-vindas.</w:t>
      </w:r>
    </w:p>
    <w:p>
      <w:pPr>
        <w:pStyle w:val="Heading2"/>
      </w:pPr>
      <w:r>
        <w:t xml:space="preserve">2.2 Entrar no sistema</w:t>
      </w:r>
    </w:p>
    <w:p>
      <w:pPr>
        <w:pStyle w:val="ListParagraph"/>
        <w:numPr>
          <w:ilvl w:val="0"/>
          <w:numId w:val="5"/>
        </w:numPr>
        <w:spacing w:after="80" w:line="336"/>
      </w:pPr>
      <w:r>
        <w:t xml:space="preserve">Informe e-mail e senha e toque em “Entrar”.</w:t>
      </w:r>
    </w:p>
    <w:p>
      <w:pPr>
        <w:pStyle w:val="ListParagraph"/>
        <w:numPr>
          <w:ilvl w:val="0"/>
          <w:numId w:val="5"/>
        </w:numPr>
        <w:spacing w:after="80" w:line="336"/>
      </w:pPr>
      <w:r>
        <w:t xml:space="preserve">Se a verificação em duas etapas (MFA) estiver ativa, digite o código de 6 dígitos do aplicativo autenticador ou o código enviado ao seu e-mail.</w:t>
      </w:r>
    </w:p>
    <w:p>
      <w:pPr>
        <w:pBdr>
          <w:left w:val="single" w:color="1F4E79" w:sz="12" w:space="8"/>
        </w:pBdr>
        <w:spacing w:after="160" w:line="336"/>
        <w:ind w:left="360"/>
      </w:pPr>
      <w:r>
        <w:rPr>
          <w:b/>
          <w:bCs/>
          <w:color w:val="1F4E79"/>
        </w:rPr>
        <w:t xml:space="preserve">Observação: </w:t>
      </w:r>
      <w:r>
        <w:rPr>
          <w:i/>
          <w:iCs/>
        </w:rPr>
        <w:t xml:space="preserve">Funcionários e Administradores são obrigados a manter ao menos um método de verificação (MFA) ativo.</w:t>
      </w:r>
    </w:p>
    <w:p>
      <w:pPr>
        <w:pStyle w:val="Heading2"/>
      </w:pPr>
      <w:r>
        <w:t xml:space="preserve">2.3 Esqueci minha senha</w:t>
      </w:r>
    </w:p>
    <w:p>
      <w:pPr>
        <w:pStyle w:val="ListParagraph"/>
        <w:numPr>
          <w:ilvl w:val="0"/>
          <w:numId w:val="6"/>
        </w:numPr>
        <w:spacing w:after="80" w:line="336"/>
      </w:pPr>
      <w:r>
        <w:t xml:space="preserve">Na tela de entrada, toque em “Esqueci minha senha”.</w:t>
      </w:r>
    </w:p>
    <w:p>
      <w:pPr>
        <w:pStyle w:val="ListParagraph"/>
        <w:numPr>
          <w:ilvl w:val="0"/>
          <w:numId w:val="6"/>
        </w:numPr>
        <w:spacing w:after="80" w:line="336"/>
      </w:pPr>
      <w:r>
        <w:t xml:space="preserve">Informe o e-mail cadastrado — você receberá um link/código de recuperação.</w:t>
      </w:r>
    </w:p>
    <w:p>
      <w:pPr>
        <w:pStyle w:val="ListParagraph"/>
        <w:numPr>
          <w:ilvl w:val="0"/>
          <w:numId w:val="6"/>
        </w:numPr>
        <w:spacing w:after="80" w:line="336"/>
      </w:pPr>
      <w:r>
        <w:t xml:space="preserve">Defina a nova senha seguindo a política de segurança.</w:t>
      </w:r>
    </w:p>
    <w:p>
      <w:pPr>
        <w:pStyle w:val="Heading2"/>
      </w:pPr>
      <w:r>
        <w:t xml:space="preserve">2.4 Entrar sem cadastro (Visitante)</w:t>
      </w:r>
    </w:p>
    <w:p>
      <w:pPr>
        <w:spacing w:after="160" w:line="336"/>
        <w:jc w:val="both"/>
      </w:pPr>
      <w:r>
        <w:t xml:space="preserve">Na tela de entrada, o botão “Entrar como Usuário Anônimo” dá acesso ao sistema sem criar conta. O Visitante pode ver o mapa e as ocorrências, consultar protocolos e registrar ocorrências anônimas — os detalhes estão na Seção 4.</w:t>
      </w:r>
    </w:p>
    <w:p>
      <w:pPr>
        <w:pStyle w:val="Heading1"/>
        <w:pageBreakBefore/>
      </w:pPr>
      <w:r>
        <w:t xml:space="preserve">3 PERFIL CIDADÃO</w:t>
      </w:r>
    </w:p>
    <w:p>
      <w:pPr>
        <w:pStyle w:val="Heading2"/>
      </w:pPr>
      <w:r>
        <w:t xml:space="preserve">3.1 Tela inicial</w:t>
      </w:r>
    </w:p>
    <w:p>
      <w:pPr>
        <w:spacing w:after="160" w:line="336"/>
        <w:jc w:val="both"/>
      </w:pPr>
      <w:r>
        <w:t xml:space="preserve">Após entrar, a tela inicial mostra as ocorrências recentes e o Mapa de Ocorrências da cidade. Acima do mapa há filtros por bairro, categoria e status, além do botão “Limpar”. Cada ocorrência aparece como um ponto colorido conforme o status: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71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Cor no mapa</w:t>
            </w:r>
          </w:p>
        </w:tc>
        <w:tc>
          <w:tcPr>
            <w:tcW w:type="dxa" w:w="4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Significado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Pendente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Vermelho</w:t>
            </w:r>
          </w:p>
        </w:tc>
        <w:tc>
          <w:tcPr>
            <w:tcW w:type="dxa" w:w="4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Ocorrência registrada, aguardando triagem da prefeitura.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9770E"/>
              </w:rPr>
              <w:t xml:space="preserve">Em Andamento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Amarelo</w:t>
            </w:r>
          </w:p>
        </w:tc>
        <w:tc>
          <w:tcPr>
            <w:tcW w:type="dxa" w:w="4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equipe responsável está atuando na solução.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</w:rPr>
              <w:t xml:space="preserve">Atendida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Verde</w:t>
            </w:r>
          </w:p>
        </w:tc>
        <w:tc>
          <w:tcPr>
            <w:tcW w:type="dxa" w:w="4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 problema foi resolvido.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</w:rPr>
              <w:t xml:space="preserve">Indeferida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Cinza</w:t>
            </w:r>
          </w:p>
        </w:tc>
        <w:tc>
          <w:tcPr>
            <w:tcW w:type="dxa" w:w="4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ocorrência não foi acatada — a justificativa aparece no histórico.</w:t>
            </w:r>
          </w:p>
        </w:tc>
      </w:tr>
    </w:tbl>
    <w:p>
      <w:pPr>
        <w:spacing w:after="80"/>
        <w:jc w:val="both"/>
      </w:pPr>
      <w:r>
        <w:t xml:space="preserve"/>
      </w:r>
    </w:p>
    <w:p>
      <w:pPr>
        <w:spacing w:after="160" w:line="336"/>
        <w:jc w:val="both"/>
      </w:pPr>
      <w:r>
        <w:t xml:space="preserve">Ao tocar em um ponto do mapa, um balão mostra o título, o endereço, o status e a quantidade de apoios da ocorrência.</w:t>
      </w:r>
    </w:p>
    <w:p>
      <w:pPr>
        <w:pStyle w:val="Heading2"/>
      </w:pPr>
      <w:r>
        <w:t xml:space="preserve">3.2 Registrar uma ocorrência</w:t>
      </w:r>
    </w:p>
    <w:p>
      <w:pPr>
        <w:pStyle w:val="ListParagraph"/>
        <w:numPr>
          <w:ilvl w:val="0"/>
          <w:numId w:val="7"/>
        </w:numPr>
        <w:spacing w:after="80" w:line="336"/>
      </w:pPr>
      <w:r>
        <w:t xml:space="preserve">No menu, toque em “Nova Ocorrência”.</w:t>
      </w:r>
    </w:p>
    <w:p>
      <w:pPr>
        <w:pStyle w:val="ListParagraph"/>
        <w:numPr>
          <w:ilvl w:val="0"/>
          <w:numId w:val="7"/>
        </w:numPr>
        <w:spacing w:after="80" w:line="336"/>
      </w:pPr>
      <w:r>
        <w:t xml:space="preserve">Dados da ocorrência: informe título e descrição detalhada (obrigatórios).</w:t>
      </w:r>
    </w:p>
    <w:p>
      <w:pPr>
        <w:pStyle w:val="ListParagraph"/>
        <w:numPr>
          <w:ilvl w:val="0"/>
          <w:numId w:val="7"/>
        </w:numPr>
        <w:spacing w:after="80" w:line="336"/>
      </w:pPr>
      <w:r>
        <w:t xml:space="preserve">Categoria da ocorrência: escolha a categoria (ex.: Buraco na Rua, Iluminação Pública). A prioridade é definida automaticamente pelo sistema.</w:t>
      </w:r>
    </w:p>
    <w:p>
      <w:pPr>
        <w:pStyle w:val="ListParagraph"/>
        <w:numPr>
          <w:ilvl w:val="0"/>
          <w:numId w:val="7"/>
        </w:numPr>
        <w:spacing w:after="80" w:line="336"/>
      </w:pPr>
      <w:r>
        <w:t xml:space="preserve">Localização: permita o uso da sua localização OU toque no ponto exato no mapa — logradouro, bairro e município são preenchidos automaticamente. O número e o ponto de referência podem ser digitados.</w:t>
      </w:r>
    </w:p>
    <w:p>
      <w:pPr>
        <w:pStyle w:val="ListParagraph"/>
        <w:numPr>
          <w:ilvl w:val="0"/>
          <w:numId w:val="7"/>
        </w:numPr>
        <w:spacing w:after="80" w:line="336"/>
      </w:pPr>
      <w:r>
        <w:t xml:space="preserve">Fotos: anexe até 3 fotos do problema (opcional, mas recomendado).</w:t>
      </w:r>
    </w:p>
    <w:p>
      <w:pPr>
        <w:pStyle w:val="ListParagraph"/>
        <w:numPr>
          <w:ilvl w:val="0"/>
          <w:numId w:val="7"/>
        </w:numPr>
        <w:spacing w:after="80" w:line="336"/>
      </w:pPr>
      <w:r>
        <w:t xml:space="preserve">Se preferir não se identificar, marque “Enviar como anônima”.</w:t>
      </w:r>
    </w:p>
    <w:p>
      <w:pPr>
        <w:pStyle w:val="ListParagraph"/>
        <w:numPr>
          <w:ilvl w:val="0"/>
          <w:numId w:val="7"/>
        </w:numPr>
        <w:spacing w:after="80" w:line="336"/>
      </w:pPr>
      <w:r>
        <w:t xml:space="preserve">Toque em “Registrar”. Guarde o número de protocolo exibido — ele também é enviado ao seu e-mail.</w:t>
      </w:r>
    </w:p>
    <w:p>
      <w:pPr>
        <w:pBdr>
          <w:left w:val="single" w:color="1F4E79" w:sz="12" w:space="8"/>
        </w:pBdr>
        <w:spacing w:after="160" w:line="336"/>
        <w:ind w:left="360"/>
      </w:pPr>
      <w:r>
        <w:rPr>
          <w:b/>
          <w:bCs/>
          <w:color w:val="1F4E79"/>
        </w:rPr>
        <w:t xml:space="preserve">Observação: </w:t>
      </w:r>
      <w:r>
        <w:rPr>
          <w:i/>
          <w:iCs/>
        </w:rPr>
        <w:t xml:space="preserve">Privacidade (LGPD): rostos de pessoas e textos legíveis (como placas de veículos) são desfocados automaticamente nas fotos antes da exibição.</w:t>
      </w:r>
    </w:p>
    <w:p>
      <w:pPr>
        <w:pBdr>
          <w:left w:val="single" w:color="1F4E79" w:sz="12" w:space="8"/>
        </w:pBdr>
        <w:spacing w:after="160" w:line="336"/>
        <w:ind w:left="360"/>
      </w:pPr>
      <w:r>
        <w:rPr>
          <w:b/>
          <w:bCs/>
          <w:color w:val="1F4E79"/>
        </w:rPr>
        <w:t xml:space="preserve">Observação: </w:t>
      </w:r>
      <w:r>
        <w:rPr>
          <w:i/>
          <w:iCs/>
        </w:rPr>
        <w:t xml:space="preserve">Limite diário: cada usuário pode registrar até 5 ocorrências identificadas por dia.</w:t>
      </w:r>
    </w:p>
    <w:p>
      <w:pPr>
        <w:pStyle w:val="Heading3"/>
      </w:pPr>
      <w:r>
        <w:t xml:space="preserve">3.2.1 Alerta de ocorrência repetida</w:t>
      </w:r>
    </w:p>
    <w:p>
      <w:pPr>
        <w:spacing w:after="160" w:line="336"/>
        <w:jc w:val="both"/>
      </w:pPr>
      <w:r>
        <w:t xml:space="preserve">Se já existir uma ocorrência ativa da mesma categoria a até 50 metros do local informado, o sistema exibirá um alerta com as ocorrências parecidas. Em vez de criar um protocolo repetido, você pode tocar em “Apoiar” para reforçar a ocorrência existente — quanto mais apoios, maior a visibilidade do problema.</w:t>
      </w:r>
    </w:p>
    <w:p>
      <w:pPr>
        <w:pStyle w:val="Heading2"/>
      </w:pPr>
      <w:r>
        <w:t xml:space="preserve">3.3 Acompanhar suas ocorrências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b/>
          <w:bCs/>
        </w:rPr>
        <w:t xml:space="preserve">Minhas Ocorrências</w:t>
      </w:r>
      <w:r>
        <w:t xml:space="preserve">: lista tudo o que você registrou, com filtros e agrupamento por categoria, bairro ou status.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b/>
          <w:bCs/>
        </w:rPr>
        <w:t xml:space="preserve">Detalhes</w:t>
      </w:r>
      <w:r>
        <w:t xml:space="preserve">: mostra a foto, o mapa, o status atual, a quantidade de apoios e o </w:t>
      </w:r>
      <w:r>
        <w:rPr>
          <w:b/>
          <w:bCs/>
        </w:rPr>
        <w:t xml:space="preserve">Histórico</w:t>
      </w:r>
      <w:r>
        <w:t xml:space="preserve"> completo (cada mudança de status, com data e mensagem da equipe).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b/>
          <w:bCs/>
        </w:rPr>
        <w:t xml:space="preserve">E-mail</w:t>
      </w:r>
      <w:r>
        <w:t xml:space="preserve">: você recebe uma mensagem a cada mudança de status, incluindo a mensagem da equipe, quando houver.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b/>
          <w:bCs/>
        </w:rPr>
        <w:t xml:space="preserve">Ocorrência anônima</w:t>
      </w:r>
      <w:r>
        <w:t xml:space="preserve">: guarde o </w:t>
      </w:r>
      <w:r>
        <w:rPr>
          <w:b/>
          <w:bCs/>
        </w:rPr>
        <w:t xml:space="preserve">código de acompanhamento</w:t>
      </w:r>
      <w:r>
        <w:t xml:space="preserve"> exibido no registro; use o botão “Acompanhar ocorrência anônima” para consultá-la.</w:t>
      </w:r>
    </w:p>
    <w:p>
      <w:pPr>
        <w:pStyle w:val="Heading2"/>
      </w:pPr>
      <w:r>
        <w:t xml:space="preserve">3.4 Apoiar uma ocorrência</w:t>
      </w:r>
    </w:p>
    <w:p>
      <w:pPr>
        <w:spacing w:after="160" w:line="336"/>
        <w:jc w:val="both"/>
      </w:pPr>
      <w:r>
        <w:t xml:space="preserve">Na tela de detalhes de qualquer ocorrência, toque em “🤝 Apoiar”. O contador de apoios ajuda a prefeitura a priorizar os problemas que afetam mais pessoas. Cada cidadão pode apoiar uma ocorrência apenas uma vez.</w:t>
      </w:r>
    </w:p>
    <w:p>
      <w:pPr>
        <w:pStyle w:val="Heading2"/>
      </w:pPr>
      <w:r>
        <w:t xml:space="preserve">3.5 Minha Conta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b/>
          <w:bCs/>
        </w:rPr>
        <w:t xml:space="preserve">Dados Pessoais</w:t>
      </w:r>
      <w:r>
        <w:t xml:space="preserve">: edite nome, telefone, CEP, logradouro, número, bairro e município e toque em “Salvar dados”.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b/>
          <w:bCs/>
        </w:rPr>
        <w:t xml:space="preserve">Alterar Senha</w:t>
      </w:r>
      <w:r>
        <w:t xml:space="preserve">: exige a senha atual e uma nova senha dentro da política de segurança.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b/>
          <w:bCs/>
        </w:rPr>
        <w:t xml:space="preserve">Verificação em duas etapas (MFA)</w:t>
      </w:r>
      <w:r>
        <w:t xml:space="preserve">: ative/desative o aplicativo autenticador (QR Code) ou o código por e-mail. A desativação sempre exige o código do método.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b/>
          <w:bCs/>
        </w:rPr>
        <w:t xml:space="preserve">Zona de Perigo — Excluir conta</w:t>
      </w:r>
      <w:r>
        <w:t xml:space="preserve">: remove definitivamente a conta e os dados pessoais (LGPD). Se houver MFA ativo, um código de confirmação é exigido.</w:t>
      </w:r>
    </w:p>
    <w:p>
      <w:pPr>
        <w:pStyle w:val="Heading2"/>
      </w:pPr>
      <w:r>
        <w:t xml:space="preserve">3.6 Contato e Ajuda</w:t>
      </w:r>
    </w:p>
    <w:p>
      <w:pPr>
        <w:spacing w:after="160" w:line="336"/>
        <w:jc w:val="both"/>
      </w:pPr>
      <w:r>
        <w:t xml:space="preserve">Use a página “Contato” para enviar dúvidas, sugestões ou reclamações diretamente à equipe do sistema. A “Central de Ajuda” traz orientações rápidas de uso.</w:t>
      </w:r>
    </w:p>
    <w:p>
      <w:pPr>
        <w:pStyle w:val="Heading1"/>
        <w:pageBreakBefore/>
      </w:pPr>
      <w:r>
        <w:t xml:space="preserve">4 PERFIL VISITANTE (SEM CADASTRO)</w:t>
      </w:r>
    </w:p>
    <w:p>
      <w:pPr>
        <w:spacing w:after="160" w:line="336"/>
        <w:jc w:val="both"/>
      </w:pPr>
      <w:r>
        <w:t xml:space="preserve">O Visitante acessa o sistema pelo botão “Entrar como Usuário Anônimo”, sem informar nenhum dado pessoal.</w:t>
      </w:r>
    </w:p>
    <w:p>
      <w:pPr>
        <w:pStyle w:val="Heading2"/>
      </w:pPr>
      <w:r>
        <w:t xml:space="preserve">4.1 O que o Visitante pode fazer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t xml:space="preserve">Ver o mapa e a lista de todas as ocorrências (sem os dados pessoais dos autores).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t xml:space="preserve">Consultar um protocolo ou código de acompanhamento.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t xml:space="preserve">Registrar ocorrência anônima — o formulário envia automaticamente como anônima (limite de 3 por dia por dispositivo).</w:t>
      </w:r>
    </w:p>
    <w:p>
      <w:pPr>
        <w:pStyle w:val="Heading2"/>
      </w:pPr>
      <w:r>
        <w:t xml:space="preserve">4.2 O que exige conta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t xml:space="preserve">Apoiar uma ocorrência — ao tentar, o sistema oferece o login/cadastro.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t xml:space="preserve">Registrar ocorrência identificada, editar dados e receber notificações por e-mail.</w:t>
      </w:r>
    </w:p>
    <w:p>
      <w:pPr>
        <w:pStyle w:val="Heading1"/>
        <w:pageBreakBefore/>
      </w:pPr>
      <w:r>
        <w:t xml:space="preserve">5 PERFIL FUNCIONÁRIO</w:t>
      </w:r>
    </w:p>
    <w:p>
      <w:pPr>
        <w:spacing w:after="160" w:line="336"/>
        <w:jc w:val="both"/>
      </w:pPr>
      <w:r>
        <w:t xml:space="preserve">O Funcionário da administração pública gerencia as ocorrências do seu município. O acesso exige verificação em duas etapas (MFA).</w:t>
      </w:r>
    </w:p>
    <w:p>
      <w:pPr>
        <w:pStyle w:val="Heading2"/>
      </w:pPr>
      <w:r>
        <w:t xml:space="preserve">5.1 Gerenciar ocorrências</w:t>
      </w:r>
    </w:p>
    <w:p>
      <w:pPr>
        <w:pStyle w:val="ListParagraph"/>
        <w:numPr>
          <w:ilvl w:val="0"/>
          <w:numId w:val="8"/>
        </w:numPr>
        <w:spacing w:after="80" w:line="336"/>
      </w:pPr>
      <w:r>
        <w:t xml:space="preserve">Abra a ocorrência na lista ou pelo mapa.</w:t>
      </w:r>
    </w:p>
    <w:p>
      <w:pPr>
        <w:pStyle w:val="ListParagraph"/>
        <w:numPr>
          <w:ilvl w:val="0"/>
          <w:numId w:val="8"/>
        </w:numPr>
        <w:spacing w:after="80" w:line="336"/>
      </w:pPr>
      <w:r>
        <w:t xml:space="preserve">Opcional: escreva uma “Mensagem ao cidadão” — ou toque em uma das mensagens prontas (ex.: “Encaminhada para o setor responsável.”). Ela será enviada por e-mail ao autor junto com a mudança de status e ficará no histórico.</w:t>
      </w:r>
    </w:p>
    <w:p>
      <w:pPr>
        <w:pStyle w:val="ListParagraph"/>
        <w:numPr>
          <w:ilvl w:val="0"/>
          <w:numId w:val="8"/>
        </w:numPr>
        <w:spacing w:after="80" w:line="336"/>
      </w:pPr>
      <w:r>
        <w:t xml:space="preserve">Toque em “▶ Iniciar Atendimento” (Pendente → Em Andamento) ou “✓ Marcar como Atendida” (Em Andamento → Atendida).</w:t>
      </w:r>
    </w:p>
    <w:p>
      <w:pPr>
        <w:pStyle w:val="ListParagraph"/>
        <w:numPr>
          <w:ilvl w:val="0"/>
          <w:numId w:val="8"/>
        </w:numPr>
        <w:spacing w:after="80" w:line="336"/>
      </w:pPr>
      <w:r>
        <w:t xml:space="preserve">Para recusar, toque em “✕ Indeferir Ocorrência” e escreva a justificativa (obrigatória).</w:t>
      </w:r>
    </w:p>
    <w:p>
      <w:pPr>
        <w:pBdr>
          <w:left w:val="single" w:color="1F4E79" w:sz="12" w:space="8"/>
        </w:pBdr>
        <w:spacing w:after="160" w:line="336"/>
        <w:ind w:left="360"/>
      </w:pPr>
      <w:r>
        <w:rPr>
          <w:b/>
          <w:bCs/>
          <w:color w:val="1F4E79"/>
        </w:rPr>
        <w:t xml:space="preserve">Observação: </w:t>
      </w:r>
      <w:r>
        <w:rPr>
          <w:i/>
          <w:iCs/>
        </w:rPr>
        <w:t xml:space="preserve">Toda mudança de status registra automaticamente quem a fez, a data e a hora — e notifica o autor por e-mail.</w:t>
      </w:r>
    </w:p>
    <w:p>
      <w:pPr>
        <w:pStyle w:val="Heading2"/>
      </w:pPr>
      <w:r>
        <w:t xml:space="preserve">5.2 Ocorrências agrupadas (mesmo problema)</w:t>
      </w:r>
    </w:p>
    <w:p>
      <w:pPr>
        <w:spacing w:after="160" w:line="336"/>
        <w:jc w:val="both"/>
      </w:pPr>
      <w:r>
        <w:t xml:space="preserve">Registros do mesmo problema (mesma categoria, num raio de 50 metros) são encadeados automaticamente em um grupo. Na tela de detalhes, a seção “Ocorrências agrupadas” lista todos os protocolos do grupo. Marque “Aplicar a todas as ocorrências agrupadas” antes de mudar o status para atualizar o grupo inteiro de uma vez — todos os autores são notificados.</w:t>
      </w:r>
    </w:p>
    <w:p>
      <w:pPr>
        <w:pStyle w:val="Heading2"/>
      </w:pPr>
      <w:r>
        <w:t xml:space="preserve">5.3 Estatísticas</w:t>
      </w:r>
    </w:p>
    <w:p>
      <w:pPr>
        <w:spacing w:after="160" w:line="336"/>
        <w:jc w:val="both"/>
      </w:pPr>
      <w:r>
        <w:t xml:space="preserve">O painel “Estatísticas” traz indicadores do município: totais por status, volume por bairro e categoria, tempo médio de resolução e gráficos, com filtros por período, bairro e tipo.</w:t>
      </w:r>
    </w:p>
    <w:p>
      <w:pPr>
        <w:pStyle w:val="Heading1"/>
        <w:pageBreakBefore/>
      </w:pPr>
      <w:r>
        <w:t xml:space="preserve">6 PERFIL ADMINISTRADOR</w:t>
      </w:r>
    </w:p>
    <w:p>
      <w:pPr>
        <w:spacing w:after="160" w:line="336"/>
        <w:jc w:val="both"/>
      </w:pPr>
      <w:r>
        <w:t xml:space="preserve">O Administrador tem todas as funções do Funcionário e ainda administra o sistema.</w:t>
      </w:r>
    </w:p>
    <w:p>
      <w:pPr>
        <w:pStyle w:val="Heading2"/>
      </w:pPr>
      <w:r>
        <w:t xml:space="preserve">6.1 Gestão de usuários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b/>
          <w:bCs/>
        </w:rPr>
        <w:t xml:space="preserve">Cadastrar funcionários</w:t>
      </w:r>
      <w:r>
        <w:t xml:space="preserve">: menu “Adicionar Usuário” — informe nome, e-mail, senha inicial e o município de atuação.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b/>
          <w:bCs/>
        </w:rPr>
        <w:t xml:space="preserve">Listar usuários</w:t>
      </w:r>
      <w:r>
        <w:t xml:space="preserve">: menu “Usuários” — mostra todos os usuários (inclusive inativos), com perfil, município e situação.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b/>
          <w:bCs/>
        </w:rPr>
        <w:t xml:space="preserve">Ativar/Inativar</w:t>
      </w:r>
      <w:r>
        <w:t xml:space="preserve">: bloqueia ou restaura o acesso de qualquer usuário sem excluir os dados. Usuários inativos não conseguem entrar.</w:t>
      </w:r>
    </w:p>
    <w:p>
      <w:pPr>
        <w:pStyle w:val="Heading2"/>
      </w:pPr>
      <w:r>
        <w:t xml:space="preserve">6.2 Visão geral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t xml:space="preserve">Acesso às ocorrências de todos os municípios.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t xml:space="preserve">Dashboards e relatórios gerenciais para decisão estratégica.</w:t>
      </w:r>
    </w:p>
    <w:p>
      <w:pPr>
        <w:pStyle w:val="Heading1"/>
        <w:pageBreakBefore/>
      </w:pPr>
      <w:r>
        <w:t xml:space="preserve">7 PERGUNTAS FREQUENTES</w:t>
      </w:r>
    </w:p>
    <w:p>
      <w:pPr>
        <w:spacing w:after="160" w:line="336"/>
        <w:jc w:val="both"/>
      </w:pPr>
      <w:r>
        <w:rPr>
          <w:b/>
          <w:bCs/>
        </w:rPr>
        <w:t xml:space="preserve">Não recebi o e-mail do sistema. </w:t>
      </w:r>
      <w:r>
        <w:t xml:space="preserve">Verifique a caixa de spam/lixo eletrônico e confirme se o e-mail cadastrado está correto.</w:t>
      </w:r>
    </w:p>
    <w:p>
      <w:pPr>
        <w:spacing w:after="160" w:line="336"/>
        <w:jc w:val="both"/>
      </w:pPr>
      <w:r>
        <w:rPr>
          <w:b/>
          <w:bCs/>
        </w:rPr>
        <w:t xml:space="preserve">Perdi o código da minha ocorrência anônima. </w:t>
      </w:r>
      <w:r>
        <w:t xml:space="preserve">Por proteção do anonimato, não é possível recuperá-lo. Registre uma nova ocorrência, se necessário.</w:t>
      </w:r>
    </w:p>
    <w:p>
      <w:pPr>
        <w:spacing w:after="160" w:line="336"/>
        <w:jc w:val="both"/>
      </w:pPr>
      <w:r>
        <w:rPr>
          <w:b/>
          <w:bCs/>
        </w:rPr>
        <w:t xml:space="preserve">Posso apagar uma ocorrência que registrei? </w:t>
      </w:r>
      <w:r>
        <w:t xml:space="preserve">Não pela tela — use a página de Contato para solicitar a exclusão à equipe.</w:t>
      </w:r>
    </w:p>
    <w:p>
      <w:pPr>
        <w:spacing w:after="160" w:line="336"/>
        <w:jc w:val="both"/>
      </w:pPr>
      <w:r>
        <w:rPr>
          <w:b/>
          <w:bCs/>
        </w:rPr>
        <w:t xml:space="preserve">Minha foto ficou desfocada. </w:t>
      </w:r>
      <w:r>
        <w:t xml:space="preserve">O desfoque de rostos e de textos (como placas) é automático, exigido pela LGPD. Se a foto inteira ficou borrada (sem nitidez), o sistema pode rejeitá-la em categorias críticas — tire outra foto com melhor foco.</w:t>
      </w:r>
    </w:p>
    <w:p>
      <w:pPr>
        <w:spacing w:after="160" w:line="336"/>
        <w:jc w:val="both"/>
      </w:pPr>
      <w:r>
        <w:rPr>
          <w:b/>
          <w:bCs/>
        </w:rPr>
        <w:t xml:space="preserve">O mapa não encontra meu endereço. </w:t>
      </w:r>
      <w:r>
        <w:t xml:space="preserve">Toque diretamente no ponto do mapa: o endereço é preenchido automaticamente a partir do local tocado.</w:t>
      </w:r>
    </w:p>
    <w:p>
      <w:pPr>
        <w:pStyle w:val="Heading1"/>
        <w:pageBreakBefore/>
      </w:pPr>
      <w:r>
        <w:t xml:space="preserve">8 SUPORTE</w:t>
      </w:r>
    </w:p>
    <w:p>
      <w:pPr>
        <w:spacing w:after="160" w:line="336"/>
        <w:jc w:val="both"/>
      </w:pPr>
      <w:r>
        <w:t xml:space="preserve">Dúvidas, sugestões ou problemas: use a página </w:t>
      </w:r>
      <w:r>
        <w:rPr>
          <w:b/>
          <w:bCs/>
        </w:rPr>
        <w:t xml:space="preserve">Contato</w:t>
      </w:r>
      <w:r>
        <w:t xml:space="preserve"> dentro do sistema ou escreva para </w:t>
      </w:r>
      <w:r>
        <w:rPr>
          <w:b/>
          <w:bCs/>
        </w:rPr>
        <w:t xml:space="preserve">fala.cidade.faitec@gmail.com</w:t>
      </w:r>
      <w:r>
        <w:t xml:space="preserve">.</w:t>
      </w:r>
    </w:p>
    <w:p>
      <w:pPr>
        <w:spacing w:after="160" w:line="336"/>
        <w:jc w:val="both"/>
      </w:pPr>
      <w:r>
        <w:t xml:space="preserve">Equipe Fala, Cidade! — Santa Rita do Sapucaí, MG.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Fala, Cidade! — Manual do Usuário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2026-07-06T21:34:51.832Z</dcterms:created>
  <dcterms:modified xsi:type="dcterms:W3CDTF">2026-07-06T21:34:51.833Z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