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18/09/2026</w:t>
            </w:r>
          </w:p>
        </w:tc>
        <w:tc>
          <w:tcPr>
            <w:tcBorders/>
            <w:tcMar>
              <w:left w:w="108" w:type="dxa"/>
              <w:top w:w="100" w:type="dxa"/>
              <w:right w:w="108" w:type="dxa"/>
              <w:bottom w:w="100" w:type="dxa"/>
            </w:tcMar>
            <w:tcW w:w="1144" w:type="dxa"/>
            <w:vMerge w:val="restart"/>
          </w:tcPr>
          <w:p w14:paraId="162E7724">
            <w:pPr>
              <w:pBdr/>
              <w:spacing/>
              <w:ind/>
              <w:rPr/>
            </w:pPr>
            <w:r>
              <w:t>1.14</w:t>
            </w:r>
          </w:p>
        </w:tc>
        <w:tc>
          <w:tcPr>
            <w:tcBorders/>
            <w:tcMar>
              <w:left w:w="108" w:type="dxa"/>
              <w:top w:w="100" w:type="dxa"/>
              <w:right w:w="108" w:type="dxa"/>
              <w:bottom w:w="100" w:type="dxa"/>
            </w:tcMar>
            <w:tcW w:w="2977" w:type="dxa"/>
            <w:vMerge w:val="restart"/>
          </w:tcPr>
          <w:p w14:paraId="62FF436A">
            <w:pPr>
              <w:pBdr/>
              <w:spacing/>
              <w:ind/>
              <w:rPr/>
            </w:pPr>
            <w:r>
              <w:t>Rodrigo Pereira Romano</w:t>
            </w:r>
          </w:p>
        </w:tc>
        <w:tc>
          <w:tcPr>
            <w:tcBorders/>
            <w:tcMar>
              <w:left w:w="108" w:type="dxa"/>
              <w:top w:w="100" w:type="dxa"/>
              <w:right w:w="108" w:type="dxa"/>
              <w:bottom w:w="100" w:type="dxa"/>
            </w:tcMar>
            <w:tcW w:w="3683" w:type="dxa"/>
            <w:vMerge w:val="restart"/>
          </w:tcPr>
          <w:p w14:paraId="10A357C8">
            <w:pPr>
              <w:pBdr/>
              <w:spacing/>
              <w:ind/>
              <w:rPr/>
            </w:pPr>
            <w:r>
              <w:t>Atendimento dos apontamentos da Fase 3: padronização dos apêndices e dos nomes de arquivos, atualização do Apêndice A (EAP, marcos das Fases 3 e 4 e gestão de riscos), imagens e fluxos de eventos do Apêndice C, modelo físico e dicionário de dados do Apêndice D, protótipos do Apêndice E, imagens dos diagramas de pacotes, de classes, de componentes, de implantação e de sequência do Apêndice F, padronização da terminologia do modelo UML (denúncia para ocorrência) e correção da grafia das classes do domínio, Canvas do Apêndice H, diagrama de distribuição do Apêndice I, entradas dos casos de teste do Apêndice J, manual do usuário do Apêndice K, RNF17, Seções 4.3.3, 4.5.2, 6.4.3 e 6.5.</w:t>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14FB8B39">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23</w:t>
          <w:fldChar w:fldCharType="end"/>
        </w:r>
      </w:hyperlink>
      <w:r/>
    </w:p>
    <w:p w14:paraId="45D9742D">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23</w:t>
          <w:fldChar w:fldCharType="end"/>
        </w:r>
      </w:hyperlink>
      <w:r/>
    </w:p>
    <w:p w14:paraId="2CA584FB">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24</w:t>
          <w:fldChar w:fldCharType="end"/>
        </w:r>
      </w:hyperlink>
      <w:r/>
    </w:p>
    <w:p w14:paraId="6AFDD807">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25</w:t>
          <w:fldChar w:fldCharType="end"/>
        </w:r>
      </w:hyperlink>
      <w:r/>
    </w:p>
    <w:p w14:paraId="736F396A">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42</w:t>
          <w:fldChar w:fldCharType="end"/>
        </w:r>
      </w:hyperlink>
      <w:r/>
    </w:p>
    <w:p w14:paraId="39577E41">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61</w:t>
          <w:fldChar w:fldCharType="end"/>
        </w:r>
      </w:hyperlink>
      <w:r/>
    </w:p>
    <w:p w14:paraId="2E1956C8">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62</w:t>
          <w:fldChar w:fldCharType="end"/>
        </w:r>
      </w:hyperlink>
      <w:r/>
    </w:p>
    <w:p w14:paraId="46F0A7A3">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63</w:t>
          <w:fldChar w:fldCharType="end"/>
        </w:r>
      </w:hyperlink>
      <w:r/>
    </w:p>
    <w:p w14:paraId="76356A3D">
      <w:pPr>
        <w:pStyle w:val="1830"/>
        <w:pBdr/>
        <w:spacing/>
        <w:ind/>
        <w:rPr/>
      </w:pPr>
      <w:r>
        <w:rPr>
          <w:caps w:val="0"/>
        </w:rPr>
      </w:r>
      <w:r>
        <w:fldChar w:fldCharType="end"/>
      </w:r>
      <w:r/>
      <w:r/>
    </w:p>
    <w:p w14:paraId="19385DFA" w14:textId="77777777">
      <w:pPr>
        <w:pStyle w:val="1830"/>
        <w:pBdr/>
        <w:spacing/>
        <w:ind/>
        <w:rPr/>
      </w:pPr>
      <w:r/>
      <w:r/>
    </w:p>
    <w:p w14:paraId="227A079B" w14:textId="77777777">
      <w:pPr>
        <w:pStyle w:val="1830"/>
        <w:pBdr/>
        <w:spacing/>
        <w:ind/>
        <w:jc w:val="left"/>
        <w:rPr/>
      </w:pPr>
      <w:r>
        <w:br w:type="page" w:clear="all"/>
      </w:r>
      <w:r>
        <w:t xml:space="preserve">LISTA DE QUADROS</w:t>
      </w:r>
      <w:r/>
    </w:p>
    <w:p w14:paraId="0D4FA37B">
      <w:pPr>
        <w:pStyle w:val="1847"/>
        <w:pBdr/>
        <w:tabs>
          <w:tab w:val="right" w:leader="dot" w:pos="9062"/>
        </w:tabs>
        <w:spacing/>
        <w:ind/>
        <w:rPr/>
      </w:pPr>
      <w:r>
        <w:fldChar w:fldCharType="begin"/>
      </w:r>
      <w:r>
        <w:instrText xml:space="preserve">TOC \h \c "QUADRO"</w:instrText>
      </w:r>
      <w:r>
        <w:fldChar w:fldCharType="separate"/>
      </w:r>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82</w:t>
          <w:fldChar w:fldCharType="end"/>
        </w:r>
      </w:hyperlink>
      <w:r/>
    </w:p>
    <w:p w14:paraId="64B8EF3F">
      <w:pPr>
        <w:pStyle w:val="1847"/>
        <w:pBdr/>
        <w:tabs>
          <w:tab w:val="right" w:leader="dot" w:pos="9062"/>
        </w:tabs>
        <w:spacing/>
        <w:ind/>
        <w:rPr/>
      </w:pP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83</w:t>
          <w:fldChar w:fldCharType="end"/>
        </w:r>
      </w:hyperlink>
      <w:r/>
    </w:p>
    <w:p w14:paraId="3781A9BC">
      <w:pPr>
        <w:pStyle w:val="1847"/>
        <w:pBdr/>
        <w:tabs>
          <w:tab w:val="right" w:leader="dot" w:pos="9062"/>
        </w:tabs>
        <w:spacing/>
        <w:ind/>
        <w:rPr/>
      </w:pP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84</w:t>
          <w:fldChar w:fldCharType="end"/>
        </w:r>
      </w:hyperlink>
      <w:r/>
    </w:p>
    <w:p w14:paraId="78D39C57">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0F0E1480">
      <w:pPr>
        <w:pStyle w:val="1825"/>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18</w:t>
          <w:fldChar w:fldCharType="end"/>
        </w:r>
      </w:hyperlink>
      <w:r/>
    </w:p>
    <w:p w14:paraId="24AAC2A6">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20</w:t>
          <w:fldChar w:fldCharType="end"/>
        </w:r>
      </w:hyperlink>
      <w:r/>
    </w:p>
    <w:p w14:paraId="7CE0DBAE">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20</w:t>
          <w:fldChar w:fldCharType="end"/>
        </w:r>
      </w:hyperlink>
      <w:r/>
    </w:p>
    <w:p w14:paraId="448B0339">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21</w:t>
          <w:fldChar w:fldCharType="end"/>
        </w:r>
      </w:hyperlink>
      <w:r/>
    </w:p>
    <w:p w14:paraId="1765AE5E">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21</w:t>
          <w:fldChar w:fldCharType="end"/>
        </w:r>
      </w:hyperlink>
      <w:r/>
    </w:p>
    <w:p w14:paraId="2B2688F1">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21</w:t>
          <w:fldChar w:fldCharType="end"/>
        </w:r>
      </w:hyperlink>
      <w:r/>
    </w:p>
    <w:p w14:paraId="2AA0A62D">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22</w:t>
          <w:fldChar w:fldCharType="end"/>
        </w:r>
      </w:hyperlink>
      <w:r/>
    </w:p>
    <w:p w14:paraId="32692567">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26</w:t>
          <w:fldChar w:fldCharType="end"/>
        </w:r>
      </w:hyperlink>
      <w:r/>
    </w:p>
    <w:p w14:paraId="6A9E3EE4">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26</w:t>
          <w:fldChar w:fldCharType="end"/>
        </w:r>
      </w:hyperlink>
      <w:r/>
    </w:p>
    <w:p w14:paraId="5044F211">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27</w:t>
          <w:fldChar w:fldCharType="end"/>
        </w:r>
      </w:hyperlink>
      <w:r/>
    </w:p>
    <w:p w14:paraId="5544D0DF">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27</w:t>
          <w:fldChar w:fldCharType="end"/>
        </w:r>
      </w:hyperlink>
      <w:r/>
    </w:p>
    <w:p w14:paraId="167D2026">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27</w:t>
          <w:fldChar w:fldCharType="end"/>
        </w:r>
      </w:hyperlink>
      <w:r/>
    </w:p>
    <w:p w14:paraId="74172C6E">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28</w:t>
          <w:fldChar w:fldCharType="end"/>
        </w:r>
      </w:hyperlink>
      <w:r/>
    </w:p>
    <w:p w14:paraId="3ED5F5B9">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30</w:t>
          <w:fldChar w:fldCharType="end"/>
        </w:r>
      </w:hyperlink>
      <w:r/>
    </w:p>
    <w:p w14:paraId="0F0F198B">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33</w:t>
          <w:fldChar w:fldCharType="end"/>
        </w:r>
      </w:hyperlink>
      <w:r/>
    </w:p>
    <w:p w14:paraId="292B4D31">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33</w:t>
          <w:fldChar w:fldCharType="end"/>
        </w:r>
      </w:hyperlink>
      <w:r/>
    </w:p>
    <w:p w14:paraId="1DF19277">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35</w:t>
          <w:fldChar w:fldCharType="end"/>
        </w:r>
      </w:hyperlink>
      <w:r/>
    </w:p>
    <w:p w14:paraId="134E184F">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35</w:t>
          <w:fldChar w:fldCharType="end"/>
        </w:r>
      </w:hyperlink>
      <w:r/>
    </w:p>
    <w:p w14:paraId="1610DE31">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35</w:t>
          <w:fldChar w:fldCharType="end"/>
        </w:r>
      </w:hyperlink>
      <w:r/>
    </w:p>
    <w:p w14:paraId="02E2EC0F">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36</w:t>
          <w:fldChar w:fldCharType="end"/>
        </w:r>
      </w:hyperlink>
      <w:r/>
    </w:p>
    <w:p w14:paraId="431B07AF">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36</w:t>
          <w:fldChar w:fldCharType="end"/>
        </w:r>
      </w:hyperlink>
      <w:r/>
    </w:p>
    <w:p w14:paraId="05B7A788">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38</w:t>
          <w:fldChar w:fldCharType="end"/>
        </w:r>
      </w:hyperlink>
      <w:r/>
    </w:p>
    <w:p w14:paraId="0C6A7095">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38</w:t>
          <w:fldChar w:fldCharType="end"/>
        </w:r>
      </w:hyperlink>
      <w:r/>
    </w:p>
    <w:p w14:paraId="70523EF3">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40</w:t>
          <w:fldChar w:fldCharType="end"/>
        </w:r>
      </w:hyperlink>
      <w:r/>
    </w:p>
    <w:p w14:paraId="009DF8F9">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40</w:t>
          <w:fldChar w:fldCharType="end"/>
        </w:r>
      </w:hyperlink>
      <w:r/>
    </w:p>
    <w:p w14:paraId="360B378D">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40</w:t>
          <w:fldChar w:fldCharType="end"/>
        </w:r>
      </w:hyperlink>
      <w:r/>
    </w:p>
    <w:p w14:paraId="3DEBB716">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41</w:t>
          <w:fldChar w:fldCharType="end"/>
        </w:r>
      </w:hyperlink>
      <w:r/>
    </w:p>
    <w:p w14:paraId="33A34870">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43</w:t>
          <w:fldChar w:fldCharType="end"/>
        </w:r>
      </w:hyperlink>
      <w:r/>
    </w:p>
    <w:p w14:paraId="6F1F6CC2">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43</w:t>
          <w:fldChar w:fldCharType="end"/>
        </w:r>
      </w:hyperlink>
      <w:r/>
    </w:p>
    <w:p w14:paraId="5E76CB05">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43</w:t>
          <w:fldChar w:fldCharType="end"/>
        </w:r>
      </w:hyperlink>
      <w:r/>
    </w:p>
    <w:p w14:paraId="17156A4C">
      <w:pPr>
        <w:pStyle w:val="1827"/>
        <w:pBdr/>
        <w:tabs>
          <w:tab w:val="right" w:leader="dot" w:pos="9062"/>
        </w:tabs>
        <w:spacing/>
        <w:ind/>
        <w:rPr/>
      </w:pP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49</w:t>
          <w:fldChar w:fldCharType="end"/>
        </w:r>
      </w:hyperlink>
      <w:r/>
    </w:p>
    <w:p w14:paraId="57050B3C">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53</w:t>
          <w:fldChar w:fldCharType="end"/>
        </w:r>
      </w:hyperlink>
      <w:r/>
    </w:p>
    <w:p w14:paraId="1F1DE0BE">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55</w:t>
          <w:fldChar w:fldCharType="end"/>
        </w:r>
      </w:hyperlink>
      <w:r/>
    </w:p>
    <w:p w14:paraId="24B876D9">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55</w:t>
          <w:fldChar w:fldCharType="end"/>
        </w:r>
      </w:hyperlink>
      <w:r/>
    </w:p>
    <w:p w14:paraId="5FA9FAC8">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55</w:t>
          <w:fldChar w:fldCharType="end"/>
        </w:r>
      </w:hyperlink>
      <w:r/>
    </w:p>
    <w:p w14:paraId="22F08C19">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56</w:t>
          <w:fldChar w:fldCharType="end"/>
        </w:r>
      </w:hyperlink>
      <w:r/>
    </w:p>
    <w:p w14:paraId="798E4DE3">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57</w:t>
          <w:fldChar w:fldCharType="end"/>
        </w:r>
      </w:hyperlink>
      <w:r/>
    </w:p>
    <w:p w14:paraId="4C88DF2F">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57</w:t>
          <w:fldChar w:fldCharType="end"/>
        </w:r>
      </w:hyperlink>
      <w:r/>
    </w:p>
    <w:p w14:paraId="629A97AF">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57</w:t>
          <w:fldChar w:fldCharType="end"/>
        </w:r>
      </w:hyperlink>
      <w:r/>
    </w:p>
    <w:p w14:paraId="60260D9C">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58</w:t>
          <w:fldChar w:fldCharType="end"/>
        </w:r>
      </w:hyperlink>
      <w:r/>
    </w:p>
    <w:p w14:paraId="28030A55">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58</w:t>
          <w:fldChar w:fldCharType="end"/>
        </w:r>
      </w:hyperlink>
      <w:r/>
    </w:p>
    <w:p w14:paraId="27D97DDF">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58</w:t>
          <w:fldChar w:fldCharType="end"/>
        </w:r>
      </w:hyperlink>
      <w:r/>
    </w:p>
    <w:p w14:paraId="2F250B41">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59</w:t>
          <w:fldChar w:fldCharType="end"/>
        </w:r>
      </w:hyperlink>
      <w:r/>
    </w:p>
    <w:p w14:paraId="37338C7F">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59</w:t>
          <w:fldChar w:fldCharType="end"/>
        </w:r>
      </w:hyperlink>
      <w:r/>
    </w:p>
    <w:p w14:paraId="037AB136">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59</w:t>
          <w:fldChar w:fldCharType="end"/>
        </w:r>
      </w:hyperlink>
      <w:r/>
    </w:p>
    <w:p w14:paraId="69CD66BB">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60</w:t>
          <w:fldChar w:fldCharType="end"/>
        </w:r>
      </w:hyperlink>
      <w:r/>
    </w:p>
    <w:p w14:paraId="016C4ED7">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60</w:t>
          <w:fldChar w:fldCharType="end"/>
        </w:r>
      </w:hyperlink>
      <w:r/>
    </w:p>
    <w:p w14:paraId="74563739">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63</w:t>
          <w:fldChar w:fldCharType="end"/>
        </w:r>
      </w:hyperlink>
      <w:r/>
    </w:p>
    <w:p w14:paraId="6304192C">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64</w:t>
          <w:fldChar w:fldCharType="end"/>
        </w:r>
      </w:hyperlink>
      <w:r/>
    </w:p>
    <w:p w14:paraId="684B76FE">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66</w:t>
          <w:fldChar w:fldCharType="end"/>
        </w:r>
      </w:hyperlink>
      <w:r/>
    </w:p>
    <w:p w14:paraId="22549E52">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68</w:t>
          <w:fldChar w:fldCharType="end"/>
        </w:r>
      </w:hyperlink>
      <w:r/>
    </w:p>
    <w:p w14:paraId="2396D3D3">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71</w:t>
          <w:fldChar w:fldCharType="end"/>
        </w:r>
      </w:hyperlink>
      <w:r/>
    </w:p>
    <w:p w14:paraId="2687E74E">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71</w:t>
          <w:fldChar w:fldCharType="end"/>
        </w:r>
      </w:hyperlink>
      <w:r/>
    </w:p>
    <w:p w14:paraId="50CD71AB">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72</w:t>
          <w:fldChar w:fldCharType="end"/>
        </w:r>
      </w:hyperlink>
      <w:r/>
    </w:p>
    <w:p w14:paraId="50BC9B4D">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72</w:t>
          <w:fldChar w:fldCharType="end"/>
        </w:r>
      </w:hyperlink>
      <w:r/>
    </w:p>
    <w:p w14:paraId="076CFA0E">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73</w:t>
          <w:fldChar w:fldCharType="end"/>
        </w:r>
      </w:hyperlink>
      <w:r/>
    </w:p>
    <w:p w14:paraId="49A4193C">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76</w:t>
          <w:fldChar w:fldCharType="end"/>
        </w:r>
      </w:hyperlink>
      <w:r/>
    </w:p>
    <w:p w14:paraId="5976DD2F">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77</w:t>
          <w:fldChar w:fldCharType="end"/>
        </w:r>
      </w:hyperlink>
      <w:r/>
    </w:p>
    <w:p w14:paraId="0B328637">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78</w:t>
          <w:fldChar w:fldCharType="end"/>
        </w:r>
      </w:hyperlink>
      <w:r/>
    </w:p>
    <w:p w14:paraId="3848B7D4">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80</w:t>
          <w:fldChar w:fldCharType="end"/>
        </w:r>
      </w:hyperlink>
      <w:r/>
    </w:p>
    <w:p w14:paraId="3238E502">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81</w:t>
          <w:fldChar w:fldCharType="end"/>
        </w:r>
      </w:hyperlink>
      <w:r/>
    </w:p>
    <w:p w14:paraId="237AFB52">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82</w:t>
          <w:fldChar w:fldCharType="end"/>
        </w:r>
      </w:hyperlink>
      <w:r/>
    </w:p>
    <w:p w14:paraId="15489E08">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82</w:t>
          <w:fldChar w:fldCharType="end"/>
        </w:r>
      </w:hyperlink>
      <w:r/>
    </w:p>
    <w:p w14:paraId="1890105D">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83</w:t>
          <w:fldChar w:fldCharType="end"/>
        </w:r>
      </w:hyperlink>
      <w:r/>
    </w:p>
    <w:p w14:paraId="408A439A">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84</w:t>
          <w:fldChar w:fldCharType="end"/>
        </w:r>
      </w:hyperlink>
      <w:r/>
    </w:p>
    <w:p w14:paraId="5C162408">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85</w:t>
          <w:fldChar w:fldCharType="end"/>
        </w:r>
      </w:hyperlink>
      <w:r/>
    </w:p>
    <w:p w14:paraId="33EA0F5E">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87</w:t>
          <w:fldChar w:fldCharType="end"/>
        </w:r>
      </w:hyperlink>
      <w:r/>
    </w:p>
    <w:p w14:paraId="7FD78120">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87</w:t>
          <w:fldChar w:fldCharType="end"/>
        </w:r>
      </w:hyperlink>
      <w:r/>
    </w:p>
    <w:p w14:paraId="0E3B7C84">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87</w:t>
          <w:fldChar w:fldCharType="end"/>
        </w:r>
      </w:hyperlink>
      <w:r/>
    </w:p>
    <w:p w14:paraId="1C59FFDB">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87</w:t>
          <w:fldChar w:fldCharType="end"/>
        </w:r>
      </w:hyperlink>
      <w:r/>
    </w:p>
    <w:p w14:paraId="51690186">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87</w:t>
          <w:fldChar w:fldCharType="end"/>
        </w:r>
      </w:hyperlink>
      <w:r/>
    </w:p>
    <w:p w14:paraId="3662FDF6">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87</w:t>
          <w:fldChar w:fldCharType="end"/>
        </w:r>
      </w:hyperlink>
      <w:r/>
    </w:p>
    <w:p w14:paraId="2DF04895">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87</w:t>
          <w:fldChar w:fldCharType="end"/>
        </w:r>
      </w:hyperlink>
      <w:r/>
    </w:p>
    <w:p w14:paraId="497CF3A5">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87</w:t>
          <w:fldChar w:fldCharType="end"/>
        </w:r>
      </w:hyperlink>
      <w:r/>
    </w:p>
    <w:p w14:paraId="4E03CA55">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87</w:t>
          <w:fldChar w:fldCharType="end"/>
        </w:r>
      </w:hyperlink>
      <w:r/>
    </w:p>
    <w:p w14:paraId="09685C1C">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91</w:t>
          <w:fldChar w:fldCharType="end"/>
        </w:r>
      </w:hyperlink>
      <w:r/>
    </w:p>
    <w:p w14:paraId="1318ACA8">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94</w:t>
          <w:fldChar w:fldCharType="end"/>
        </w:r>
      </w:hyperlink>
      <w:r/>
    </w:p>
    <w:p w14:paraId="11953D17">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95</w:t>
          <w:fldChar w:fldCharType="end"/>
        </w:r>
      </w:hyperlink>
      <w:r/>
    </w:p>
    <w:p w14:paraId="69D5D9D6">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96</w:t>
          <w:fldChar w:fldCharType="end"/>
        </w:r>
      </w:hyperlink>
      <w:r/>
    </w:p>
    <w:p w14:paraId="3E9E5C8D">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97</w:t>
          <w:fldChar w:fldCharType="end"/>
        </w:r>
      </w:hyperlink>
      <w:r/>
    </w:p>
    <w:p w14:paraId="6267D46A">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97</w:t>
          <w:fldChar w:fldCharType="end"/>
        </w:r>
      </w:hyperlink>
      <w:r/>
    </w:p>
    <w:p w14:paraId="5C8D8A00">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98</w:t>
          <w:fldChar w:fldCharType="end"/>
        </w:r>
      </w:hyperlink>
      <w:r/>
    </w:p>
    <w:p w14:paraId="00E72C7C">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99</w:t>
          <w:fldChar w:fldCharType="end"/>
        </w:r>
      </w:hyperlink>
      <w:r/>
    </w:p>
    <w:p w14:paraId="71667E5A">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100</w:t>
          <w:fldChar w:fldCharType="end"/>
        </w:r>
      </w:hyperlink>
      <w:r/>
    </w:p>
    <w:p w14:paraId="032008E5">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100</w:t>
          <w:fldChar w:fldCharType="end"/>
        </w:r>
      </w:hyperlink>
      <w:r/>
    </w:p>
    <w:p w14:paraId="22CB75A1">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100</w:t>
          <w:fldChar w:fldCharType="end"/>
        </w:r>
      </w:hyperlink>
      <w:r/>
    </w:p>
    <w:p w14:paraId="0DC13D58">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100</w:t>
          <w:fldChar w:fldCharType="end"/>
        </w:r>
      </w:hyperlink>
      <w:r/>
    </w:p>
    <w:p w14:paraId="597205EC">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100</w:t>
          <w:fldChar w:fldCharType="end"/>
        </w:r>
      </w:hyperlink>
      <w:r/>
    </w:p>
    <w:p w14:paraId="597205EC">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100</w:t>
          <w:fldChar w:fldCharType="end"/>
        </w:r>
      </w:hyperlink>
      <w:r>
        <w:t>APÊNDICE L – EXTENSÃO À COMUNIDADE</w:t>
        <w:tab/>
        <w:t>100</w:t>
      </w:r>
    </w:p>
    <w:p w14:paraId="308F6EC8">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Bdr/>
        <w:spacing/>
        <w:ind/>
        <w:rPr/>
      </w:pPr>
      <w:r/>
      <w:bookmarkStart w:id="1" w:name="_Toc1"/>
      <w:r>
        <w:t xml:space="preserve">1 INTRODUÇÃO</w:t>
      </w:r>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r/>
      <w:bookmarkEnd w:id="7"/>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r>
        <w:t xml:space="preserve">FIGURA </w:t>
      </w:r>
      <w:r>
        <w:fldChar w:fldCharType="begin"/>
      </w:r>
      <w:r>
        <w:instrText xml:space="preserve">SEQ FIGURA \* Arabic </w:instrText>
      </w:r>
      <w:r>
        <w:fldChar w:fldCharType="separate"/>
      </w:r>
      <w:r>
        <w:t xml:space="preserve">1</w:t>
      </w:r>
      <w:r/>
      <w:r>
        <w:fldChar w:fldCharType="end"/>
      </w:r>
      <w:r>
        <w:t xml:space="preserve"> – Interface de consulta do aplicativo </w:t>
      </w:r>
      <w:r>
        <w:t xml:space="preserve">Colab</w:t>
      </w:r>
      <w:r/>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r>
        <w:t xml:space="preserve">FIGURA </w:t>
      </w:r>
      <w:r>
        <w:fldChar w:fldCharType="begin"/>
      </w:r>
      <w:r>
        <w:instrText xml:space="preserve">SEQ FIGURA \* Arabic </w:instrText>
      </w:r>
      <w:r>
        <w:fldChar w:fldCharType="separate"/>
      </w:r>
      <w:r>
        <w:t xml:space="preserve">2</w:t>
      </w:r>
      <w:r/>
      <w:r>
        <w:fldChar w:fldCharType="end"/>
      </w:r>
      <w:r>
        <w:t xml:space="preserve"> - Interface de</w:t>
      </w:r>
      <w:r>
        <w:rPr>
          <w:i/>
        </w:rPr>
        <w:t xml:space="preserve"> feed</w:t>
      </w:r>
      <w:r>
        <w:t xml:space="preserve"> do aplicativo </w:t>
      </w:r>
      <w:r>
        <w:t xml:space="preserve">Colab</w:t>
      </w:r>
      <w:r/>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r>
        <w:t xml:space="preserve">FIGURA </w:t>
      </w:r>
      <w:r>
        <w:fldChar w:fldCharType="begin"/>
      </w:r>
      <w:r>
        <w:instrText xml:space="preserve">SEQ FIGURA \* Arabic </w:instrText>
      </w:r>
      <w:r>
        <w:fldChar w:fldCharType="separate"/>
      </w:r>
      <w:r>
        <w:t xml:space="preserve">3</w:t>
      </w:r>
      <w:r/>
      <w:r>
        <w:fldChar w:fldCharType="end"/>
      </w:r>
      <w:r>
        <w:t xml:space="preserve"> - Seleção da unidade da federação na plataforma e-Ouve </w:t>
      </w:r>
      <w:r/>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r>
        <w:t xml:space="preserve">FIGURA </w:t>
      </w:r>
      <w:r>
        <w:fldChar w:fldCharType="begin"/>
      </w:r>
      <w:r>
        <w:instrText xml:space="preserve">SEQ FIGURA \* Arabic </w:instrText>
      </w:r>
      <w:r>
        <w:fldChar w:fldCharType="separate"/>
      </w:r>
      <w:r>
        <w:t xml:space="preserve">4</w:t>
      </w:r>
      <w:r/>
      <w:r>
        <w:fldChar w:fldCharType="end"/>
      </w:r>
      <w:r>
        <w:t xml:space="preserve"> - Seleção de serviços na plataforma e-Ouve</w:t>
      </w:r>
      <w:r/>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bookmarkStart w:id="8" w:name="_Toc8"/>
      <w:r>
        <w:t xml:space="preserve">3 OBJETIVO DO PROJETO</w:t>
      </w:r>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bookmarkStart w:id="12" w:name="_Toc12"/>
      <w:r>
        <w:t xml:space="preserve">3.4 NÍVEIS DE DECISÃO E GRUPOS FUNCIONAIS ATENDIDOS</w:t>
      </w:r>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bookmarkStart w:id="17" w:name="_Toc17"/>
      <w:r>
        <w:t xml:space="preserve">4.2 MODELO DE CICLO DE VIDA </w:t>
      </w:r>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A verificação e a validação do sistema de software apoiam-se em um conjunto próprio de ferramentas. Os testes unitários e os testes de unidades aninhadas são escritos com o JUnit 5 (Jupiter), na versão distribuída com o Spring Boot 3.5.0; a simulação das dependências de cada unidade sob teste é feita com o Mockito, e as asserções empregam a biblioteca AssertJ. Os testes da camada de apresentação da interface de programação de aplicações utilizam o MockMvc, do módulo spring-boot-starter-test. A execução da bateria e a apuração dos resultados ficam a cargo do Apache Maven, na versão 3.9.9, por meio do plugin Maven Surefire, que produz os relatórios de execução reunidos no Apêndice J.</w:t>
      </w:r>
    </w:p>
    <w:p w14:paraId="4828220A" w14:textId="77777777">
      <w:pPr>
        <w:pBdr>
          <w:top w:val="none" w:color="000000" w:sz="4" w:space="0"/>
          <w:left w:val="none" w:color="000000" w:sz="4" w:space="0"/>
          <w:bottom w:val="none" w:color="000000" w:sz="4" w:space="0"/>
          <w:right w:val="none" w:color="000000" w:sz="4" w:space="0"/>
        </w:pBdr>
        <w:spacing/>
        <w:ind/>
        <w:rPr/>
      </w:pPr>
      <w:r>
        <w:t>Completam o ambiente as ferramentas de construção, documentação e controle de versão: o Apache Maven, responsável pela gestão das dependências e pela construção do artefato executável do back-end; o npm, que cumpre a mesma função no front-end; a biblioteca springdoc-openapi, que gera automaticamente a documentação da interface de programação de aplicações segundo a especificação OpenAPI e a disponibiliza na interface interativa Swagger UI, empregada também na verificação manual dos pontos de extremidade; o Git, como sistema de controle de versão, com repositório remoto hospedado no GitHub; e o software diagrams.net, utilizado na elaboração do Diagrama Entidade-Relacionamento e dos diagramas de distribuição.</w:t>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bookmarkStart w:id="22" w:name="_Toc22"/>
      <w:r>
        <w:t xml:space="preserve">4.3.4 Outros Recursos</w:t>
      </w:r>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Na Fase 3, o esforço da equipe deslocou-se da especificação para a construção do sistema de software. As atividades concentraram-se na codificação dos componentes de back-end e de front-end, na elaboração da bateria de testes automatizados da camada de serviços e na complementação dos artefatos de projeto da interação humano-computador e do sistema distribuído. O ritmo de entrega manteve-se aderente ao cronograma, tendo sido concluída a implementação de todos os requisitos funcionais especificados no Capítulo 5, com a ressalva do RF18, cuja implementação encontra-se parcial e será completada na Fase 4. Foram executados 232 casos de teste automatizados sem ocorrência de falhas, conforme detalhado no Capítulo 8.</w:t>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r>
      <w:r>
        <w:tab/>
      </w:r>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Além do padrão de nomenclatura do relatório técnico, os demais artefatos do projeto seguem a convenção FalaCidade_[Artefato]_v[N], em que [Artefato] é um nome descritivo grafado em CamelCase, sem espaços, sem acentuação e sem caracteres especiais, e [N] é o número da versão, incrementado a cada entrega — a exemplo de FalaCidade_DER_v3.drawio, FalaCidade_DicionarioDados_v3.xlsx e FalaCidade_PlanilhaGestaoRiscos_v1.xlsx. A pasta do apêndice identifica o contexto do artefato, razão pela qual o nome não o repete. Os diagramas exportados do arquivo único da ferramenta CASE recebem o prefixo do tipo de diagrama, como em FalaCidade_DiagramaCasosDeUso_ModuloAutenticacao.png. Os relatórios de desempenho conservam a nomenclatura prescrita pelo modelo de documento da instituição (FAI_SI_PFC_Fase[N]_RelatoriodeDesempenho). Os scripts do modelo físico do banco de dados adotam a forma FalaCidade_[DDL|DML]_[Finalidade].sql. As pastas do repositório de código-fonte são nomeadas em letras minúsculas, sem espaços, com hífen como separador; e os branches Git seguem os padrões feature/[descricao], fix/[descricao] e docs/[descricao].</w:t>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r>
        <w:t xml:space="preserve">FIGURA </w:t>
      </w:r>
      <w:r>
        <w:fldChar w:fldCharType="begin"/>
      </w:r>
      <w:r>
        <w:instrText xml:space="preserve">SEQ FIGURA \* Arabic </w:instrText>
      </w:r>
      <w:r>
        <w:fldChar w:fldCharType="separate"/>
      </w:r>
      <w:r>
        <w:t xml:space="preserve">5</w:t>
      </w:r>
      <w:r/>
      <w:r>
        <w:fldChar w:fldCharType="end"/>
      </w:r>
      <w:r>
        <w:t xml:space="preserve"> - Estrutura do repositório remoto no GitHub</w:t>
      </w:r>
      <w:r/>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e-mail, senha, data de nascimento e o município de residência. </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w:t>
      </w:r>
      <w:r>
        <w:t xml:space="preserve">a deverá solicitar autorização para capturar a localização atual via API de Geolocalização. Caso o usuário negue ou o recurso esteja indisponível, o sistema deverá exigir o preenchimento manual do endereço completo (logradouro, número, bairro e município).</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três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sistema: acesso total, incluindo a criação de contas (e-mail/senha) para novos funcionários da prefeitura, gestão de usuários e extração de relatórios gerenciais e </w:t>
      </w:r>
      <w:r>
        <w:rPr>
          <w:i/>
        </w:rPr>
        <w:t xml:space="preserve">dashboard</w:t>
      </w:r>
      <w:r>
        <w:t xml:space="preserve">s.</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w:t>
      </w:r>
      <w:r>
        <w:t xml:space="preserve">o sistema deverá permitir qu</w:t>
      </w:r>
      <w: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que o perfil Administrador realize o cadastro de funcionários da administração municipal.</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deverá exibir as oc</w:t>
      </w:r>
      <w:r>
        <w:t xml:space="preserve">orrências registradas em um mapa geográfico interativo, utilizando a API do  OpenStreetMap, permitindo que administradores e funcionários visualizem a distribuição espacial dos problemas urbanos por bairro, categoria e status. O ciclo de vida da ocorrência</w:t>
      </w:r>
      <w:r>
        <w:t xml:space="preserve"> no mapa segue os seguintes estados: (1) Pendente — ocorrência recém-registrada, exibida em vermelho no mapa; (2) Em Andamento — ocorrência em atendimento pela secretaria responsável, exibida em amarelo; (3) Atendida — intervenção concluída, exibida em ver</w:t>
      </w:r>
      <w:r>
        <w:t xml:space="preserve">de; (4) Indeferida — ocorrência não atendida com justificativa, exibida em cinza. A transição entre estados é realizada pelos perfis Funcionário ou Administrador via painel administrativo (RF12), com atualização automática da representação gráfica no mapa.</w:t>
      </w:r>
      <w:ins w:id="9" w:author="Rodrigo Romano" w:date="2026-06-19T00:00:00Z">
        <w:r/>
      </w:ins>
    </w:p>
    <w:p w14:paraId="29480C8A" w14:textId="77777777">
      <w:pPr>
        <w:pBdr/>
        <w:spacing/>
        <w:ind/>
        <w:rPr/>
      </w:pPr>
      <w:r>
        <w:t xml:space="preserve">Prioridade: importante.</w:t>
      </w:r>
      <w:r/>
    </w:p>
    <w:p w14:paraId="4C15E5C5" w14:textId="77777777">
      <w:pPr>
        <w:pBdr/>
        <w:spacing/>
        <w:ind/>
        <w:rPr/>
      </w:pPr>
      <w:r/>
      <w:r/>
    </w:p>
    <w:p w14:paraId="7F1C9606" w14:textId="77777777">
      <w:pPr>
        <w:pStyle w:val="1637"/>
        <w:pBdr/>
        <w:spacing/>
        <w:ind/>
        <w:rPr/>
      </w:pPr>
      <w:r/>
      <w:bookmarkStart w:id="31" w:name="_Toc31"/>
      <w:r>
        <w:t xml:space="preserve">5.1.2 Requisitos </w:t>
      </w:r>
      <w:r>
        <w:t xml:space="preserve">não Funcionais</w:t>
      </w:r>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Descrição: a integridade dos dados armazenados no banco de dados PostgreSQL (versão 18) deverá ser assegurada por políticas de restrição de acesso e integridade referencial. A proteção durante o tráfego de dados entre o front-end desenvolvido em Angular (versão 19) e o back-end será garantida pelo uso mandatório de protocolos de comunicação criptografados sob o padrão TLS/SSL (HTTPS). No repositório de dados, os atributos sensíveis não são gravados em texto claro, observando-se o seguinte tratamento criptográfico: (a) user.password — resumo criptográfico BCrypt, com sal e fator de custo, irreversível por construção; (b) occurrence.anonymous_tracking_code_hash — resumo SHA-256 do código de acompanhamento anônimo, cujo valor em texto claro é apresentado uma única vez ao autor e não é retido pelo sistema; (c) occurrence.ip_address — resumo SHA-256 do endereço de rede do autor de ocorrência anônima, gravado exclusivamente para a apuração do limite diário de registros previsto no RF08, de modo que o endereço original não seja recuperável; (d) user.mfa_secret — segredo do segundo fator de autenticação, mantido cifrado e jamais exposto nas respostas da interface de programação de aplicações; (e) password_reset_token.token — valor aleatório de uso único, com prazo de validade e marcação de consumo; e (f) o segredo de assinatura dos tokens JSON Web Token e as credenciais dos serviços de terceiros, mantidos fora do controle de versão e providos por variáveis de ambiente. Os atributos de identificação pessoal não sensíveis — nome, endereço de correio eletrônico e endereço residencial — são armazenados em texto claro, por serem indispensáveis à operação do sistema, e protegidos pelo controle de acesso por perfil e pelo tráfego cifrado.</w:t>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r/>
      <w:bookmarkEnd w:id="33"/>
      <w:r/>
      <w:r/>
    </w:p>
    <w:p w14:paraId="0B7BCFC8" w14:textId="77777777">
      <w:pPr>
        <w:pStyle w:val="1637"/>
        <w:pBdr/>
        <w:spacing/>
        <w:ind/>
        <w:rPr>
          <w:color w:val="00b050"/>
        </w:rPr>
      </w:pPr>
      <w:r/>
      <w:bookmarkStart w:id="34" w:name="_Toc34"/>
      <w:r>
        <w:t xml:space="preserve">5.2.1 Visão Funcional</w:t>
      </w:r>
      <w:r/>
      <w:bookmarkEnd w:id="34"/>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o modelo reflete o trâmite administrativo urbano por meio do relacionamento entre as entidades </w:t>
      </w:r>
      <w:r>
        <w:rPr>
          <w:i/>
          <w:iCs/>
          <w:color w:val="000000"/>
        </w:rPr>
        <w:t xml:space="preserve">Occurrence</w:t>
      </w:r>
      <w:r>
        <w:rPr>
          <w:i/>
          <w:iCs/>
          <w:color w:val="000000"/>
        </w:rPr>
        <w:t xml:space="preserve"> </w:t>
      </w:r>
      <w:r>
        <w:rPr>
          <w:color w:val="000000"/>
        </w:rPr>
        <w:t xml:space="preserve">e </w:t>
      </w:r>
      <w:r>
        <w:rPr>
          <w:i/>
          <w:iCs/>
          <w:color w:val="000000"/>
        </w:rPr>
        <w:t xml:space="preserve">Department</w:t>
      </w:r>
      <w:r>
        <w:rPr>
          <w:color w:val="000000"/>
        </w:rPr>
        <w:t xml:space="preserve">, assegurando o encaminhamento correto da demanda ao setor competente;</w:t>
      </w:r>
      <w:r>
        <w:rPr>
          <w:color w:val="000000"/>
        </w:rPr>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Os diagramas de pacotes do back-end e do front-end encontram-se no Apêndice F, subpasta “DiagramaDePacotes”.</w:t>
      </w:r>
    </w:p>
    <w:p w14:paraId="3FA7BE81" w14:textId="77777777">
      <w:pPr>
        <w:pStyle w:val="1637"/>
        <w:pBdr/>
        <w:spacing/>
        <w:ind/>
        <w:rPr/>
      </w:pPr>
      <w:r/>
      <w:bookmarkStart w:id="40" w:name="_Toc40"/>
      <w:r>
        <w:t xml:space="preserve">6.1.2 Diagramas de Classes</w:t>
      </w:r>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métodos e os relacionamentos de associação e herança entre os objetos. Destacam-se as classes de domínio como </w:t>
      </w:r>
      <w:r>
        <w:rPr>
          <w:i/>
          <w:color w:val="000000"/>
        </w:rPr>
        <w:t xml:space="preserve">Occurrence</w:t>
      </w:r>
      <w:r>
        <w:rPr>
          <w:rFonts w:eastAsia="Courier New"/>
          <w:i/>
          <w:color w:val="000000"/>
          <w:szCs w:val="24"/>
        </w:rPr>
        <w:t xml:space="preserve"> </w:t>
      </w:r>
      <w:r>
        <w:rPr>
          <w:color w:val="000000"/>
          <w:szCs w:val="24"/>
        </w:rPr>
        <w:t xml:space="preserve">(Ocorrência) e a hierarquia de </w:t>
      </w:r>
      <w:r>
        <w:rPr>
          <w:rFonts w:eastAsia="Courier New"/>
          <w:i/>
          <w:color w:val="000000"/>
          <w:szCs w:val="24"/>
        </w:rPr>
        <w:t xml:space="preserve">User</w:t>
      </w:r>
      <w:r>
        <w:rPr>
          <w:i/>
          <w:color w:val="000000"/>
        </w:rPr>
        <w:t xml:space="preserve"> </w:t>
      </w:r>
      <w:r>
        <w:rPr>
          <w:color w:val="000000"/>
        </w:rPr>
        <w:t xml:space="preserve">(Cidadão, Funcionário e Administrador).</w:t>
      </w:r>
      <w:r>
        <w:rPr>
          <w:color w:val="000000"/>
        </w:rPr>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O diagrama de classes, com os atributos, as operações e os relacionamentos de cada classe, encontra-se no Apêndice F, subpasta “DiagramaDeClasses”. O diagrama de componentes e o diagrama de implantação, que completam a visão estrutural, encontram-se nas subpastas “DiagramaDeComponentes” e “DiagramaDeImplantacao” do mesmo apêndice.</w:t>
      </w:r>
    </w:p>
    <w:p w14:paraId="1621777B" w14:textId="77777777">
      <w:pPr>
        <w:pStyle w:val="1636"/>
        <w:pBdr/>
        <w:spacing/>
        <w:ind/>
        <w:rPr/>
      </w:pPr>
      <w:r/>
      <w:bookmarkStart w:id="41" w:name="_Toc41"/>
      <w:r>
        <w:t xml:space="preserve">6.2 VISÃO COMPORTAMENTAL</w:t>
      </w:r>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Os diagramas de sequência encontram-se no Apêndice F, subpasta “DiagramaDeSequencia”, e compreendem o cenário principal de autenticação do usuário e o cenário alternativo de credenciais inválidas.</w:t>
      </w:r>
    </w:p>
    <w:p w14:paraId="04D5B5A5" w14:textId="77777777">
      <w:pPr>
        <w:pStyle w:val="1636"/>
        <w:pBdr/>
        <w:spacing/>
        <w:ind/>
        <w:rPr/>
      </w:pPr>
      <w:r/>
      <w:bookmarkStart w:id="43" w:name="_Toc43"/>
      <w:r>
        <w:t xml:space="preserve">6.3 VISÃO DOS DADOS</w:t>
      </w:r>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bookmarkStart w:id="44" w:name="_Toc44"/>
      <w:r>
        <w:t xml:space="preserve">6.3.1 Modelo Lógico</w:t>
      </w:r>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modelo reflete a consolidação dos dados de perfil e localização diretamente na tabela base </w:t>
      </w:r>
      <w:r>
        <w:rPr>
          <w:i/>
          <w:iCs/>
        </w:rPr>
        <w:t xml:space="preserve">User</w:t>
      </w:r>
      <w:r>
        <w:t xml:space="preserve">. Esta tabela centraliza tanto as credenciais de autenticação quanto os dados do cidadão (como </w:t>
      </w:r>
      <w:r>
        <w:rPr>
          <w:i/>
          <w:iCs/>
        </w:rPr>
        <w:t xml:space="preserve">address</w:t>
      </w:r>
      <w:r>
        <w:t xml:space="preserve">, </w:t>
      </w:r>
      <w:r>
        <w:rPr>
          <w:i/>
          <w:iCs/>
        </w:rPr>
        <w:t xml:space="preserve">neighborhood</w:t>
      </w:r>
      <w:r>
        <w:rPr>
          <w:i/>
          <w:iCs/>
        </w:rPr>
        <w:t xml:space="preserve"> </w:t>
      </w:r>
      <w:r>
        <w:t xml:space="preserve">e CEP), além de incluir o atributo discriminador </w:t>
      </w:r>
      <w:r>
        <w:rPr>
          <w:i/>
        </w:rPr>
        <w:t xml:space="preserve">role</w:t>
      </w:r>
      <w:r>
        <w:t xml:space="preserve"> (do tipo VARCHAR, tamanho 20), responsável por definir o nível de acesso do registro entre os perfis </w:t>
      </w:r>
      <w:r>
        <w:rPr>
          <w:i/>
          <w:iCs/>
        </w:rPr>
        <w:t xml:space="preserve">ADMINISTRATOR</w:t>
      </w:r>
      <w:r>
        <w:t xml:space="preserve">, </w:t>
      </w:r>
      <w:r>
        <w:rPr>
          <w:i/>
          <w:iCs/>
        </w:rPr>
        <w:t xml:space="preserve">EMPLOYEE </w:t>
      </w:r>
      <w:r>
        <w:t xml:space="preserve">ou </w:t>
      </w:r>
      <w:r>
        <w:rPr>
          <w:i/>
          <w:iCs/>
        </w:rPr>
        <w:t xml:space="preserve">CITIZEN</w:t>
      </w:r>
      <w:r>
        <w:t xml:space="preserve">. A partir dessa centralização, o modelo mostra o mapeamento das tabelas operacionais cruciais para as regras de negócio, sendo elas a </w:t>
      </w:r>
      <w:r>
        <w:rPr>
          <w:i/>
          <w:iCs/>
        </w:rPr>
        <w:t xml:space="preserve">Occurrence</w:t>
      </w:r>
      <w:r>
        <w:t xml:space="preserve"> e </w:t>
      </w:r>
      <w:r>
        <w:rPr>
          <w:i/>
        </w:rPr>
        <w:t xml:space="preserve">Occurrence</w:t>
      </w:r>
      <w:r>
        <w:rPr>
          <w:i/>
          <w:iCs/>
        </w:rPr>
        <w:t xml:space="preserve">_History</w:t>
      </w:r>
      <w:r>
        <w:t xml:space="preserve"> (responsável pelo armazenamento incremental e rastreabilidade de mudanças de status) e a </w:t>
      </w:r>
      <w:r>
        <w:rPr>
          <w:i/>
        </w:rPr>
        <w:t xml:space="preserve">Occurrence</w:t>
      </w:r>
      <w:r>
        <w:rPr>
          <w:i/>
          <w:iCs/>
        </w:rPr>
        <w:t xml:space="preserve">_Support</w:t>
      </w:r>
      <w:r>
        <w:rPr>
          <w:i/>
          <w:iCs/>
        </w:rPr>
        <w:t xml:space="preserve"> </w:t>
      </w:r>
      <w:r>
        <w:t xml:space="preserve">(tabela associativa que gerencia o relacionamento de muitos-para-muitos para o mecanismo de reforço comunitário de ocorrências). </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r/>
      <w:bookmarkEnd w:id="45"/>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w:t>
      </w:r>
      <w:r>
        <w:rPr>
          <w:bCs/>
          <w:highlight w:val="white"/>
        </w:rPr>
        <w:t xml:space="preserve">Perfil Administrador</w:t>
      </w:r>
      <w:r>
        <w:rPr>
          <w:highlight w:val="white"/>
        </w:rPr>
        <w:t xml:space="preserve">: gestores públicos e responsáveis pela prefeitura. Focam na análise macro estratégica através de </w:t>
      </w:r>
      <w:r>
        <w:rPr>
          <w:i/>
          <w:highlight w:val="white"/>
        </w:rPr>
        <w:t xml:space="preserve">dashboards</w:t>
      </w:r>
      <w:r>
        <w:rPr>
          <w:highlight w:val="white"/>
        </w:rPr>
        <w:t xml:space="preserve"> e relatórios gerenciais para a tomada de decisão baseada em dados e alocação de recursos. </w:t>
      </w:r>
      <w:r>
        <w:t xml:space="preserve">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63A61CB4" w14:textId="77777777">
      <w:pPr>
        <w:pBdr/>
        <w:spacing/>
        <w:ind/>
        <w:rPr>
          <w:highlight w:val="yellow"/>
        </w:rPr>
      </w:pPr>
      <w:r>
        <w:t xml:space="preserve">A seguir são apresentados alguns gráficos retirados de uma pesquisa feita no período de 10 de </w:t>
      </w:r>
      <w:r>
        <w:t xml:space="preserve">Maio</w:t>
      </w:r>
      <w:r>
        <w:t xml:space="preserve"> de 2026 a 20 de </w:t>
      </w:r>
      <w:r>
        <w:t xml:space="preserve">Maio</w:t>
      </w:r>
      <w:r>
        <w:t xml:space="preserve"> de 2026 e encaminhada via o formulário do Google </w:t>
      </w:r>
      <w:r>
        <w:t xml:space="preserve">Forms</w:t>
      </w:r>
      <w:r>
        <w:t xml:space="preserve"> para as pessoas com faixa etária entre 20 e 35 anos.   </w:t>
      </w:r>
      <w:r>
        <w:rPr>
          <w:highlight w:val="yellow"/>
        </w:rPr>
      </w:r>
      <w:r>
        <w:rPr>
          <w:highlight w:val="yellow"/>
        </w:rPr>
      </w:r>
    </w:p>
    <w:p w14:paraId="76A80CF0" w14:textId="77777777">
      <w:pPr>
        <w:pBdr/>
        <w:spacing/>
        <w:ind/>
        <w:rPr>
          <w:szCs w:val="24"/>
        </w:rPr>
      </w:pPr>
      <w:r>
        <w:rPr>
          <w:bCs/>
          <w:szCs w:val="24"/>
        </w:rPr>
        <w:t xml:space="preserve">O gráfico da Figura 6</w:t>
      </w:r>
      <w:r>
        <w:rPr>
          <w:b/>
          <w:bCs/>
          <w:szCs w:val="24"/>
        </w:rPr>
        <w:t xml:space="preserve"> </w:t>
      </w:r>
      <w:r>
        <w:rPr>
          <w:szCs w:val="24"/>
        </w:rPr>
        <w:t xml:space="preserve">demonstra que a maior parte dos participantes da pesquisa (57,1%) se </w:t>
      </w:r>
      <w:r>
        <w:rPr>
          <w:szCs w:val="24"/>
        </w:rPr>
        <w:t xml:space="preserve">identifica como "Cidadão". Isso é bastante positivo, pois representa o usuário final principal do sistema. Além disso, a soma das categorias "Servidor público" (28,6%) e "Gestor público" (14,3%) revela que 42,9% dos respondentes estão diretamente ligados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r>
        <w:t xml:space="preserve">FIGURA </w:t>
      </w:r>
      <w:r>
        <w:fldChar w:fldCharType="begin"/>
      </w:r>
      <w:r>
        <w:instrText xml:space="preserve">SEQ FIGURA \* Arabic </w:instrText>
      </w:r>
      <w:r>
        <w:fldChar w:fldCharType="separate"/>
      </w:r>
      <w:r>
        <w:t xml:space="preserve">6</w:t>
      </w:r>
      <w:r/>
      <w:r>
        <w:fldChar w:fldCharType="end"/>
      </w:r>
      <w:r>
        <w:t xml:space="preserve"> </w:t>
      </w:r>
      <w:r>
        <w:t xml:space="preserve">-  Perfil</w:t>
      </w:r>
      <w:r>
        <w:t xml:space="preserve"> de usuário do respondente</w:t>
      </w:r>
      <w:r/>
      <w:r/>
      <w:r/>
    </w:p>
    <w:p w14:paraId="640C84BA" w14:textId="77777777">
      <w:pPr>
        <w:pBdr/>
        <w:spacing/>
        <w:ind/>
        <w:rPr/>
      </w:pPr>
      <w:r/>
      <w:r/>
    </w:p>
    <w:p w14:paraId="4F4CC948" w14:textId="77777777">
      <w:pPr>
        <w:pBdr/>
        <w:spacing/>
        <w:ind/>
        <w:rPr>
          <w:szCs w:val="24"/>
        </w:rPr>
      </w:pPr>
      <w:r>
        <w:rPr>
          <w:bCs/>
          <w:szCs w:val="24"/>
        </w:rPr>
        <w:t xml:space="preserve">O gráfico da Figura 7 mostra que a</w:t>
      </w:r>
      <w:r>
        <w:rPr>
          <w:szCs w:val="24"/>
        </w:rPr>
        <w:t xml:space="preserve"> maioria dos respondentes (71,4%) nunca utilizou um sistema focado no registro de problemas urbanos. Esse dado é fundamental para justificar o projeto, </w:t>
      </w:r>
      <w:r>
        <w:rPr>
          <w:szCs w:val="24"/>
        </w:rPr>
        <w:t xml:space="preserve">pois evidencia uma clara lacuna na comunicação digital entre a população e os órgãos públicos. O alto índice de respostas negativas </w:t>
      </w:r>
      <w:r>
        <w:rPr>
          <w:szCs w:val="24"/>
        </w:rPr>
        <w:t xml:space="preserve">valida</w:t>
      </w:r>
      <w:r>
        <w:rPr>
          <w:szCs w:val="24"/>
        </w:rPr>
        <w:t xml:space="preserve"> a necessidade, a relevância e o potencial de adoção de um sistema acessível e eficiente para facilitar o engajamento cívico.</w:t>
      </w:r>
      <w:r>
        <w:rPr>
          <w:szCs w:val="24"/>
        </w:rPr>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r>
        <w:t xml:space="preserve">FIGURA </w:t>
      </w:r>
      <w:r>
        <w:fldChar w:fldCharType="begin"/>
      </w:r>
      <w:r>
        <w:instrText xml:space="preserve">SEQ FIGURA \* Arabic </w:instrText>
      </w:r>
      <w:r>
        <w:fldChar w:fldCharType="separate"/>
      </w:r>
      <w:r>
        <w:t xml:space="preserve">7</w:t>
      </w:r>
      <w:r/>
      <w:r>
        <w:fldChar w:fldCharType="end"/>
      </w:r>
      <w:r>
        <w:t xml:space="preserve"> </w:t>
      </w:r>
      <w:r>
        <w:t xml:space="preserve">–  Experiência</w:t>
      </w:r>
      <w:r>
        <w:t xml:space="preserve"> com aplicativos para registro de problemas da cidade</w:t>
      </w:r>
      <w:r/>
      <w:r/>
      <w:r/>
    </w:p>
    <w:p w14:paraId="130C15B1" w14:textId="77777777">
      <w:pPr>
        <w:pBdr/>
        <w:spacing/>
        <w:ind/>
        <w:rPr/>
      </w:pPr>
      <w:r/>
      <w:r/>
    </w:p>
    <w:p w14:paraId="51A8D47B" w14:textId="77777777">
      <w:pPr>
        <w:pBdr/>
        <w:spacing/>
        <w:ind/>
        <w:rPr>
          <w:szCs w:val="24"/>
        </w:rPr>
      </w:pPr>
      <w:r>
        <w:rPr>
          <w:sz w:val="20"/>
          <w:szCs w:val="20"/>
        </w:rPr>
        <w:t xml:space="preserve"> </w:t>
      </w:r>
      <w:r>
        <w:rPr>
          <w:bCs/>
          <w:szCs w:val="24"/>
        </w:rPr>
        <w:t xml:space="preserve">O gráfico da Figura 8 mostra </w:t>
      </w:r>
      <w:r>
        <w:rPr>
          <w:szCs w:val="24"/>
        </w:rPr>
        <w:t xml:space="preserve">que um sistema como o “Fala, Cidade!” é positivo, pois cerca de 100% dos respondentes afirmaram que utilizariam um aplicativo voltado para o registro de ocorrências em seu município. Esta unanimidade comprova a alta aceitação deste tipo de pr</w:t>
      </w:r>
      <w:r>
        <w:rPr>
          <w:szCs w:val="24"/>
        </w:rPr>
        <w:t xml:space="preserve">ojeto e confirma que a iniciativa não apenas resolve um problema de comunicação existente, mas que há um engajamento real e uma disposição total do público de interesse em adotar ativamente a tecnologia para colaborar com as melhorias e a gestão municipal.</w:t>
      </w:r>
      <w:r>
        <w:rPr>
          <w:szCs w:val="24"/>
        </w:rPr>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r>
        <w:t xml:space="preserve">FIGURA </w:t>
      </w:r>
      <w:r>
        <w:fldChar w:fldCharType="begin"/>
      </w:r>
      <w:r>
        <w:instrText xml:space="preserve">SEQ FIGURA \* Arabic </w:instrText>
      </w:r>
      <w:r>
        <w:fldChar w:fldCharType="separate"/>
      </w:r>
      <w:r>
        <w:t xml:space="preserve">8</w:t>
      </w:r>
      <w:r/>
      <w:r>
        <w:fldChar w:fldCharType="end"/>
      </w:r>
      <w:r>
        <w:t xml:space="preserve"> – Possibilidade de uso de um aplicativo para registrar ocorrências da cidade.</w:t>
      </w:r>
      <w:r/>
      <w:r/>
      <w:r/>
    </w:p>
    <w:p w14:paraId="6A5FA874" w14:textId="77777777">
      <w:pPr>
        <w:pBdr/>
        <w:spacing/>
        <w:ind/>
        <w:rPr/>
      </w:pPr>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A Figura 9 evidencia o atendimento das heurísticas “visibilidade do status do sistema” e “correspondência entre o sistema e o mundo real”: cada ocorrência exibe o seu estado com cor semântica e rótulo textual, o identificador é apresentado como protocolo e as categorias são enunciadas em linguagem corrente.</w:t>
      </w:r>
    </w:p>
    <w:p>
      <w:pPr>
        <w:pBdr/>
        <w:spacing/>
        <w:ind/>
        <w:jc w:val="center"/>
        <w:rPr/>
      </w:pPr>
      <w:r>
        <w:drawing>
          <wp:inline xmlns:pic="http://schemas.openxmlformats.org/drawingml/2006/picture">
            <wp:extent cx="5040000" cy="3143824"/>
            <wp:docPr id="1987165333" name="Picture 1987165333"/>
            <wp:cNvGraphicFramePr>
              <a:graphicFrameLocks noChangeAspect="1"/>
            </wp:cNvGraphicFramePr>
            <a:graphic>
              <a:graphicData uri="http://schemas.openxmlformats.org/drawingml/2006/picture">
                <pic:pic>
                  <pic:nvPicPr>
                    <pic:cNvPr id="0" name="FalaCidade_Prototipo_03_Inicio_v2.png"/>
                    <pic:cNvPicPr/>
                  </pic:nvPicPr>
                  <pic:blipFill>
                    <a:blip r:embed="rId26"/>
                    <a:stretch>
                      <a:fillRect/>
                    </a:stretch>
                  </pic:blipFill>
                  <pic:spPr>
                    <a:xfrm>
                      <a:off x="0" y="0"/>
                      <a:ext cx="5040000" cy="3143824"/>
                    </a:xfrm>
                    <a:prstGeom prst="rect"/>
                  </pic:spPr>
                </pic:pic>
              </a:graphicData>
            </a:graphic>
          </wp:inline>
        </w:drawing>
      </w:r>
    </w:p>
    <w:p>
      <w:pPr>
        <w:pStyle w:val="1846"/>
        <w:pBdr/>
        <w:spacing/>
        <w:ind/>
        <w:jc w:val="center"/>
        <w:rPr/>
      </w:pPr>
      <w:r>
        <w:t>FIGURA 9 – Tela inicial: visibilidade do estado das ocorrências e correspondência com o mundo real</w:t>
      </w:r>
    </w:p>
    <w:p>
      <w:pPr>
        <w:pStyle w:val="1846"/>
        <w:pBdr/>
        <w:spacing/>
        <w:ind/>
        <w:jc w:val="center"/>
        <w:rPr/>
      </w:pPr>
      <w:r>
        <w:t>Fonte: elaborada pelos autores (2026).</w:t>
      </w:r>
    </w:p>
    <w:p>
      <w:pPr>
        <w:pStyle w:val="1846"/>
        <w:pBdr/>
        <w:spacing/>
        <w:ind/>
        <w:jc w:val="center"/>
        <w:rPr/>
      </w:pPr>
      <w:r>
        <w:t>A Figura 10 evidencia as heurísticas “prevenção de erros” e “reconhecimento em lugar de memorização”: os campos obrigatórios são assinalados, a prioridade decorre automaticamente da categoria, o endereço é preenchido a partir do ponto marcado no mapa e a ação destrutiva de cancelamento é apresentada em posição e peso visual distintos da ação de confirmação.</w:t>
      </w:r>
    </w:p>
    <w:p>
      <w:pPr>
        <w:pStyle w:val="1846"/>
        <w:pBdr/>
        <w:spacing/>
        <w:ind/>
        <w:jc w:val="center"/>
        <w:rPr/>
      </w:pPr>
      <w:r>
        <w:drawing>
          <wp:inline xmlns:pic="http://schemas.openxmlformats.org/drawingml/2006/picture">
            <wp:extent cx="5040000" cy="6235714"/>
            <wp:docPr id="1987165334" name="Picture 1987165334"/>
            <wp:cNvGraphicFramePr>
              <a:graphicFrameLocks noChangeAspect="1"/>
            </wp:cNvGraphicFramePr>
            <a:graphic>
              <a:graphicData uri="http://schemas.openxmlformats.org/drawingml/2006/picture">
                <pic:pic>
                  <pic:nvPicPr>
                    <pic:cNvPr id="0" name="FalaCidade_Prototipo_04_RegistroOcorrencia_v2.png"/>
                    <pic:cNvPicPr/>
                  </pic:nvPicPr>
                  <pic:blipFill>
                    <a:blip r:embed="rId27"/>
                    <a:stretch>
                      <a:fillRect/>
                    </a:stretch>
                  </pic:blipFill>
                  <pic:spPr>
                    <a:xfrm>
                      <a:off x="0" y="0"/>
                      <a:ext cx="5040000" cy="6235714"/>
                    </a:xfrm>
                    <a:prstGeom prst="rect"/>
                  </pic:spPr>
                </pic:pic>
              </a:graphicData>
            </a:graphic>
          </wp:inline>
        </w:drawing>
      </w:r>
    </w:p>
    <w:p>
      <w:pPr>
        <w:pStyle w:val="1846"/>
        <w:pBdr/>
        <w:spacing/>
        <w:ind/>
        <w:jc w:val="center"/>
        <w:rPr/>
      </w:pPr>
      <w:r>
        <w:t>FIGURA 10 – Registro de ocorrência: prevenção de erros e reconhecimento em lugar de memorização</w:t>
      </w:r>
    </w:p>
    <w:p>
      <w:pPr>
        <w:pStyle w:val="1846"/>
        <w:pBdr/>
        <w:spacing/>
        <w:ind/>
        <w:jc w:val="center"/>
        <w:rPr/>
      </w:pPr>
      <w:r>
        <w:t>Fonte: elaborada pelos autores (2026).</w:t>
      </w:r>
    </w:p>
    <w:p>
      <w:pPr>
        <w:pStyle w:val="1846"/>
        <w:pBdr/>
        <w:spacing/>
        <w:ind/>
        <w:jc w:val="center"/>
        <w:rPr/>
      </w:pPr>
      <w:r>
        <w:t>A Figura 11 evidencia as heurísticas “flexibilidade e eficiência de uso” e “consistência e padrões”: os filtros combináveis e a busca direta por protocolo abreviam o percurso do usuário experiente, e a identidade cromática dos estados é idêntica à empregada nas telas do cidadão.</w:t>
      </w:r>
    </w:p>
    <w:p>
      <w:pPr>
        <w:pStyle w:val="1846"/>
        <w:pBdr/>
        <w:spacing/>
        <w:ind/>
        <w:jc w:val="center"/>
        <w:rPr/>
      </w:pPr>
      <w:r>
        <w:drawing>
          <wp:inline xmlns:pic="http://schemas.openxmlformats.org/drawingml/2006/picture">
            <wp:extent cx="5040000" cy="2661551"/>
            <wp:docPr id="1987165335" name="Picture 1987165335"/>
            <wp:cNvGraphicFramePr>
              <a:graphicFrameLocks noChangeAspect="1"/>
            </wp:cNvGraphicFramePr>
            <a:graphic>
              <a:graphicData uri="http://schemas.openxmlformats.org/drawingml/2006/picture">
                <pic:pic>
                  <pic:nvPicPr>
                    <pic:cNvPr id="0" name="FalaCidade_Prototipo_08_GestaoOcorrencias_v2.png"/>
                    <pic:cNvPicPr/>
                  </pic:nvPicPr>
                  <pic:blipFill>
                    <a:blip r:embed="rId28"/>
                    <a:stretch>
                      <a:fillRect/>
                    </a:stretch>
                  </pic:blipFill>
                  <pic:spPr>
                    <a:xfrm>
                      <a:off x="0" y="0"/>
                      <a:ext cx="5040000" cy="2661551"/>
                    </a:xfrm>
                    <a:prstGeom prst="rect"/>
                  </pic:spPr>
                </pic:pic>
              </a:graphicData>
            </a:graphic>
          </wp:inline>
        </w:drawing>
      </w:r>
    </w:p>
    <w:p>
      <w:pPr>
        <w:pStyle w:val="1846"/>
        <w:pBdr/>
        <w:spacing/>
        <w:ind/>
        <w:jc w:val="center"/>
        <w:rPr/>
      </w:pPr>
      <w:r>
        <w:t>FIGURA 11 – Painel de gestão: flexibilidade, eficiência de uso e consistência dos padrões</w:t>
      </w:r>
    </w:p>
    <w:p>
      <w:pPr>
        <w:pStyle w:val="1846"/>
        <w:pBdr/>
        <w:spacing/>
        <w:ind/>
        <w:jc w:val="center"/>
        <w:rPr/>
      </w:pPr>
      <w:r>
        <w:t>Fonte: elaborada pelos autores (2026).</w:t>
      </w:r>
    </w:p>
    <w:p>
      <w:pPr>
        <w:pBdr/>
        <w:spacing/>
        <w:ind/>
        <w:rPr/>
      </w:pPr>
      <w:r/>
      <w:r/>
    </w:p>
    <w:p>
      <w:pPr>
        <w:pStyle w:val="1637"/>
        <w:pBdr/>
        <w:spacing/>
        <w:ind/>
        <w:rPr/>
      </w:pPr>
      <w:r/>
      <w:bookmarkStart w:id="50" w:name="_Toc50"/>
      <w:r>
        <w:t xml:space="preserve">6.4.4 Projeto da Acessibilidade</w:t>
      </w:r>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r/>
      <w:bookmarkEnd w:id="51"/>
      <w:r/>
      <w:r/>
    </w:p>
    <w:p>
      <w:pPr>
        <w:pBdr/>
        <w:spacing/>
        <w:ind/>
        <w:rPr/>
      </w:pPr>
      <w:r>
        <w:t>Segundo Coulouris et al. (2013), um sistema distribuído é aquele no qual componentes situados em computadores interligados em rede se comunicam e coordenam suas ações exclusivamente por meio da troca de mensagens. O sistema “Fala, Cidade!” enquadra-se nessa definição: seus componentes executam em máquinas distintas, comunicam-se por protocolos de aplicação sobre a rede e não compartilham memória nem relógio comum. Adotou-se o modelo cliente-servidor em três camadas físicas — a camada de apresentação, constituída pelo aplicativo Web progressivo executado no navegador; a camada de aplicação, pelo servidor da interface de programação de aplicações desenvolvido em Java com o framework Spring Boot; e a camada de dados, pelo sistema gerenciador de banco de dados PostgreSQL —, com comunicação no estilo arquitetural Representational State Transfer sobre HTTP e servidor de aplicação sem manutenção de estado.</w:t>
      </w:r>
    </w:p>
    <w:p>
      <w:pPr>
        <w:pBdr/>
        <w:spacing/>
        <w:ind/>
        <w:rPr/>
      </w:pPr>
      <w:r>
        <w:t>O projeto de distribuição completo integra o Apêndice I – Projeto do Sistema Distribuído, que constitui a fonte única do seu detalhamento. Nele, a Seção 1.1 examina, um a um, os desafios inerentes aos sistemas distribuídos relacionados por Coulouris et al. (2013) e as decisões adotadas para tratá-los: heterogeneidade (Seção 1.1.1), escalabilidade (Seção 1.1.2), abertura (Seção 1.1.3), segurança (Seção 1.1.4), manuseio de falhas (Seção 1.1.5), concorrência (Seção 1.1.6) e transparência (Seção 1.1.7). A Seção 1.2 do mesmo apêndice apresenta as tecnologias e as arquiteturas de distribuição empregadas, o quadro de componentes distribuídos com os respectivos protocolos de comunicação, o diagrama de distribuição do sistema e a topologia de implantação prevista para o ambiente de produção.</w:t>
      </w:r>
    </w:p>
    <w:p>
      <w:pPr>
        <w:pBdr/>
        <w:spacing/>
        <w:ind/>
        <w:rPr/>
      </w:pPr>
      <w:r>
        <w:t>Registram-se, por síntese, as três decisões de distribuição de maior consequência para o projeto. A primeira é a ausência de estado no servidor de aplicação: a identidade e o perfil do usuário trafegam em um JSON Web Token assinado, validado por filtro interceptador a cada requisição, o que dispensa a afinidade de sessão e permite o escalonamento horizontal por replicação de instâncias. A segunda é o isolamento de cada serviço de terceiros atrás de uma interface própria na camada de aplicação, de modo que a indisponibilidade de qualquer deles degrade uma funcionalidade específica sem interromper a operação do sistema. A terceira é a execução assíncrona das operações de maior latência — o envio de mídias e a expedição de mensagens de correio eletrônico —, em conjuntos de linhas de execução dedicados, que preserva o tempo de resposta às requisições HTTP.</w:t>
      </w:r>
    </w:p>
    <w:p>
      <w:pPr>
        <w:pBdr/>
        <w:spacing/>
        <w:ind/>
        <w:rPr/>
      </w:pPr>
      <w:r/>
      <w:r/>
    </w:p>
    <w:p w14:paraId="700CAF17" w14:textId="77777777">
      <w:pPr>
        <w:pBdr/>
        <w:spacing/>
        <w:ind/>
        <w:rPr>
          <w:sz w:val="20"/>
          <w:szCs w:val="20"/>
        </w:rPr>
      </w:pPr>
      <w:r>
        <w:rPr>
          <w:sz w:val="20"/>
          <w:szCs w:val="20"/>
        </w:rPr>
        <w:t xml:space="preserve"> </w:t>
      </w:r>
      <w:r>
        <w:rPr>
          <w:sz w:val="20"/>
          <w:szCs w:val="20"/>
        </w:rPr>
      </w:r>
      <w:r>
        <w:rPr>
          <w:sz w:val="20"/>
          <w:szCs w:val="20"/>
        </w:rPr>
      </w:r>
    </w:p>
    <w:p w14:paraId="31A608DB" w14:textId="77777777">
      <w:pPr>
        <w:pBdr/>
        <w:spacing w:after="0" w:line="240" w:lineRule="auto"/>
        <w:ind/>
        <w:jc w:val="left"/>
        <w:rPr>
          <w:sz w:val="20"/>
          <w:szCs w:val="20"/>
        </w:rPr>
      </w:pPr>
      <w:r>
        <w:rPr>
          <w:sz w:val="20"/>
          <w:szCs w:val="20"/>
        </w:rPr>
        <w:br w:type="page" w:clear="all"/>
      </w:r>
      <w:r>
        <w:rPr>
          <w:sz w:val="20"/>
          <w:szCs w:val="20"/>
        </w:rPr>
      </w:r>
      <w:r>
        <w:rPr>
          <w:sz w:val="20"/>
          <w:szCs w:val="20"/>
        </w:rPr>
      </w:r>
    </w:p>
    <w:p>
      <w:pPr>
        <w:pStyle w:val="1635"/>
        <w:pBdr/>
        <w:spacing/>
        <w:ind/>
        <w:rPr/>
      </w:pPr>
      <w:r/>
      <w:bookmarkStart w:id="52" w:name="_Toc52"/>
      <w:r>
        <w:t xml:space="preserve">7 IMPLEMENTAÇÃO DO SISTEMA DE SOFTWARE</w:t>
      </w:r>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r/>
      <w:bookmarkEnd w:id="53"/>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gerenc</w:t>
      </w:r>
      <w:r>
        <w:t xml:space="preserve">iador PostgreSQL, contendo sete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bookmarkStart w:id="54" w:name="_Toc54"/>
      <w:r>
        <w:t xml:space="preserve">7.2 TECNOLOGIAS DE IMPLEMENTAÇÃO</w:t>
      </w:r>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cinco classes do pacote de persistência — UserPostgresDao, OccurrencePostgre</w:t>
      </w:r>
      <w:r>
        <w:t xml:space="preserve">sDao, OccurrenceSupportPostgresDao,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sete tabelas. A tabela users centraliza as credenciais de autenticação, os dados de perf</w:t>
      </w:r>
      <w:r>
        <w:t xml:space="preserve">il e de endereço do cidadão, o atributo discriminador de perfil de acesso e os campos de controle da autenticação multifator. A tabela occurrence armazena as ocorrências, incluindo o número de protocolo, as coordenadas geográficas, a categoria, o estado, a</w:t>
      </w:r>
      <w:r>
        <w:t xml:space="preserve"> prioridade, o indicador de anonimato, o resumo criptográfico do código de rastreamento anônimo e a referência recursiva ao grupo de ocorrências duplicadas. As tabelas occurrence_history e occurrence_support registram, respectivamente, o histórico de alter</w:t>
      </w:r>
      <w:r>
        <w:t xml:space="preserve">ações de estado e os reforços de ocorrência realizados pelos cidadãos, esta última com restrição de unicidade sobre o par formado pela ocorrência e pelo cidadão, o que impede o reforço duplicado. A tabela occurrence_media vincula as mídias anexadas à ocorr</w:t>
      </w:r>
      <w:r>
        <w:t xml:space="preserve">ência correspondente.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sete índices de apoio, dos quais três são parciais. Destacam-s</w:t>
      </w:r>
      <w:r>
        <w:t xml:space="preserve">e o índice composto sobre as colunas de latitude e longitude, restrito aos registros com coordenadas informadas, que sustenta a consulta de proximidade descrita na Seção 7.3; o índice sobre o resumo criptográfico do código de rastreamento anônimo, restrito</w:t>
      </w:r>
      <w:r>
        <w:t xml:space="preserve"> aos registros anônimos; e o índice sobre o número de protocolo, que apoia a consulta direta pelo cidadão.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bookmarkStart w:id="60" w:name="_Toc60"/>
      <w:r>
        <w:t xml:space="preserve">8 PLANO DE TESTES</w:t>
      </w:r>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r>
        <w:t xml:space="preserve">QUADRO </w:t>
      </w:r>
      <w:r>
        <w:fldChar w:fldCharType="begin"/>
      </w:r>
      <w:r>
        <w:instrText xml:space="preserve">SEQ QUADRO \* ARABIC </w:instrText>
      </w:r>
      <w:r>
        <w:fldChar w:fldCharType="separate"/>
      </w:r>
      <w:r>
        <w:t xml:space="preserve">1</w:t>
      </w:r>
      <w:r/>
      <w:r>
        <w:fldChar w:fldCharType="end"/>
      </w:r>
      <w:r>
        <w:t xml:space="preserve"> – Documentos relevantes para testes</w:t>
      </w:r>
      <w:r/>
      <w:r/>
      <w:r/>
    </w:p>
    <w:p>
      <w:pPr>
        <w:pBdr/>
        <w:spacing/>
        <w:ind/>
        <w:rPr/>
      </w:pPr>
      <w:r/>
      <w:r/>
    </w:p>
    <w:p>
      <w:pPr>
        <w:pStyle w:val="1637"/>
        <w:pBdr/>
        <w:spacing/>
        <w:ind/>
        <w:rPr/>
      </w:pPr>
      <w:r/>
      <w:bookmarkStart w:id="64" w:name="_Toc64"/>
      <w:r>
        <w:t xml:space="preserve">8.2.2 Ambiente para a Realização dos Testes</w:t>
      </w:r>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r>
        <w:t xml:space="preserve">QUADRO </w:t>
      </w:r>
      <w:r>
        <w:fldChar w:fldCharType="begin"/>
      </w:r>
      <w:r>
        <w:instrText xml:space="preserve">SEQ QUADRO \* ARABIC </w:instrText>
      </w:r>
      <w:r>
        <w:fldChar w:fldCharType="separate"/>
      </w:r>
      <w:r>
        <w:t xml:space="preserve">2</w:t>
      </w:r>
      <w:r/>
      <w:r>
        <w:fldChar w:fldCharType="end"/>
      </w:r>
      <w:r>
        <w:t xml:space="preserve"> – Equipamentos para a realização dos testes</w:t>
      </w:r>
      <w: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r>
        <w:t xml:space="preserve">QUADRO </w:t>
      </w:r>
      <w:r>
        <w:fldChar w:fldCharType="begin"/>
      </w:r>
      <w:r>
        <w:instrText xml:space="preserve">SEQ QUADRO \* ARABIC </w:instrText>
      </w:r>
      <w:r>
        <w:fldChar w:fldCharType="separate"/>
      </w:r>
      <w:r>
        <w:t xml:space="preserve">3</w:t>
      </w:r>
      <w:r/>
      <w:r>
        <w:fldChar w:fldCharType="end"/>
      </w:r>
      <w:r>
        <w:t xml:space="preserve"> – Softwares para a realização dos testes</w:t>
      </w:r>
      <w:r/>
      <w:r/>
      <w:r/>
    </w:p>
    <w:p>
      <w:pPr>
        <w:pBdr/>
        <w:spacing/>
        <w:ind/>
        <w:rPr/>
      </w:pPr>
      <w:r/>
      <w:r/>
    </w:p>
    <w:p>
      <w:pPr>
        <w:pStyle w:val="1636"/>
        <w:pBdr/>
        <w:spacing/>
        <w:ind/>
        <w:rPr/>
      </w:pPr>
      <w:r/>
      <w:bookmarkStart w:id="65" w:name="_Toc65"/>
      <w:r>
        <w:t xml:space="preserve">8.3 ESPECIFICAÇÃO DOS CASOS DE TESTES</w:t>
      </w:r>
      <w:r/>
      <w:bookmarkEnd w:id="65"/>
      <w:r/>
      <w:r/>
    </w:p>
    <w:p>
      <w:pPr>
        <w:pBdr/>
        <w:spacing/>
        <w:ind/>
        <w:rPr/>
      </w:pPr>
      <w:r>
        <w:t xml:space="preserve">A bateria de testes unitários automatizados é composta por 18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ocorrência (RF10 e R</w:t>
      </w:r>
      <w:r>
        <w:t xml:space="preserve">N04); os limites diários de registro para ocorrências identificadas e anônimas, inclusive na tentativa imediatamente seguinte ao limite (RF07 e RF08); a rejeição de fotografias desfocadas nas categorias críticas, incluindo o caso do valor exatamente igual </w:t>
      </w:r>
      <w:r>
        <w:t xml:space="preserve">ao limiar de nitidez; a obrigatoriedade do aceite dos termos de uso no cadastro de cidadão (RF02); a não persistência da senha em texto claro (RNF17); o prazo de validade do testemunho de autenticação; a resposta silenciosa à solicitação de redefinição de </w:t>
      </w:r>
      <w:r>
        <w:t xml:space="preserve">senha para endereço inexistente, de modo a não revelar a existência do cadastro; e o formato da autoridade de acesso atribuída ao usuário, caso originado da correção de um defeito identificado durante o desenvolvimento e mantido sob verificação permanente.</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r/>
      <w:bookmarkEnd w:id="66"/>
      <w:r/>
      <w:r/>
    </w:p>
    <w:p>
      <w:pPr>
        <w:pBdr/>
        <w:spacing/>
        <w:ind/>
        <w:rPr/>
      </w:pPr>
      <w:r>
        <w:t>A bateria de testes unitários automatizados executada ao término da Fase 3 compreendeu 232 casos de teste, distribuídos por 81 classes e blocos aninhados,, com o registro de nenhuma falha, nenhum erro de execução e nenhum caso ignorado. Os relatórios de execução gerados pela ferramenta de automação da construção acompanham o código-fonte do componente de serviço, e a sua consolidação integra o Apêndice J.</w:t>
      </w:r>
    </w:p>
    <w:p>
      <w:pPr>
        <w:pBdr/>
        <w:spacing/>
        <w:ind/>
        <w:rPr/>
      </w:pPr>
      <w:r>
        <w:t xml:space="preserve">Quanto à cobertura funcional, a totalidade dos 21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bookmarkStart w:id="67" w:name="_Toc67"/>
      <w:r>
        <w:t xml:space="preserve">9 PLANO PARA IMPLANTAÇÃO</w:t>
      </w:r>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r/>
      <w:bookmarkEnd w:id="68"/>
      <w:r/>
      <w:r/>
    </w:p>
    <w:p>
      <w:pPr>
        <w:pStyle w:val="1637"/>
        <w:pBdr/>
        <w:spacing/>
        <w:ind/>
        <w:rPr/>
      </w:pPr>
      <w:r/>
      <w:bookmarkStart w:id="69" w:name="_Toc69"/>
      <w:r>
        <w:t xml:space="preserve">9.1.1 Descrição da Metodologia</w:t>
      </w:r>
      <w:r/>
      <w:bookmarkEnd w:id="69"/>
      <w:r/>
      <w:r/>
    </w:p>
    <w:p>
      <w:pPr>
        <w:pStyle w:val="1637"/>
        <w:pBdr/>
        <w:spacing/>
        <w:ind/>
        <w:rPr/>
      </w:pPr>
      <w:r/>
      <w:bookmarkStart w:id="70" w:name="_Toc70"/>
      <w:r>
        <w:t xml:space="preserve">9.1.2 Matriz de Responsabilidade</w:t>
      </w:r>
      <w:r/>
      <w:bookmarkEnd w:id="70"/>
      <w:r/>
      <w:r/>
    </w:p>
    <w:p>
      <w:pPr>
        <w:pStyle w:val="1636"/>
        <w:pBdr/>
        <w:spacing/>
        <w:ind/>
        <w:rPr/>
      </w:pPr>
      <w:r/>
      <w:bookmarkStart w:id="71" w:name="_Toc71"/>
      <w:r>
        <w:t xml:space="preserve">9.2 TREINAMENTO PREVISTO</w:t>
      </w:r>
      <w:r/>
      <w:bookmarkEnd w:id="71"/>
      <w:r/>
      <w:r/>
    </w:p>
    <w:p>
      <w:pPr>
        <w:pStyle w:val="1636"/>
        <w:pBdr/>
        <w:spacing/>
        <w:ind/>
        <w:rPr/>
      </w:pPr>
      <w:r/>
      <w:bookmarkStart w:id="72" w:name="_Toc72"/>
      <w:r>
        <w:t xml:space="preserve">9.3 CRONOGRAMA DE IMPLANTAÇÃO</w:t>
      </w:r>
      <w:r/>
      <w:bookmarkEnd w:id="72"/>
      <w:r/>
      <w:r/>
    </w:p>
    <w:p>
      <w:pPr>
        <w:pStyle w:val="1636"/>
        <w:pBdr/>
        <w:spacing/>
        <w:ind/>
        <w:rPr/>
      </w:pPr>
      <w:r/>
      <w:bookmarkStart w:id="73" w:name="_Toc73"/>
      <w:r>
        <w:t xml:space="preserve">9.4 RECURSOS DE APOIO À IMPLANTAÇÃO</w:t>
      </w:r>
      <w:r/>
      <w:bookmarkEnd w:id="73"/>
      <w:r/>
      <w:r/>
    </w:p>
    <w:p>
      <w:pPr>
        <w:pStyle w:val="1636"/>
        <w:pBdr/>
        <w:spacing/>
        <w:ind/>
        <w:rPr/>
      </w:pPr>
      <w:r/>
      <w:bookmarkStart w:id="74" w:name="_Toc74"/>
      <w:r>
        <w:t xml:space="preserve">9.5 VISÃO DA IMPLANTAÇÃO</w:t>
      </w:r>
      <w:r/>
      <w:bookmarkEnd w:id="74"/>
      <w:r/>
      <w:r/>
    </w:p>
    <w:p>
      <w:pPr>
        <w:pBdr/>
        <w:spacing/>
        <w:ind/>
        <w:rPr/>
      </w:pPr>
      <w:r/>
      <w:r/>
    </w:p>
    <w:p w14:paraId="49AE8B01" w14:textId="77777777">
      <w:pPr>
        <w:pStyle w:val="1635"/>
        <w:pBdr/>
        <w:spacing/>
        <w:ind/>
        <w:rPr/>
      </w:pPr>
      <w:r/>
      <w:bookmarkStart w:id="75" w:name="_Toc75"/>
      <w:r>
        <w:t xml:space="preserve">10 CONCLUSÃO</w:t>
      </w:r>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Ao término desta fase, os 21 requisitos funcionais especificados no Capítulo 5 encontram-se codificados, com implementação parcial apenas do RF18. Foram executados 232 casos de teste automatizados sem ocorrência de falhas, e a totalidade dos requisitos funcionais foi exercitada pelos testes funcionais manuais, resultado que supera o percentual mínimo estabelecido para a fase. Merecem destaque, entre os resultados alcançados, a implementação efetiva do mecanismo de detecção de duplicidade por proximidade geográfica com a consequente possibilidade de reforço comunitário do protocolo existente, o tratamento automático de privacidade das mídias anexadas por meio do desfoque de rostos e de textos identificáveis, a autenticação multifator obrigatória para os perfis com poder de alteração de estado das ocorrências e a disponibilização da interface como aplicativo Web progressivo, apto à instalação no dispositivo do cidadão.</w:t>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por meio do detalhamento de </w:t>
      </w:r>
      <w:r>
        <w:rPr>
          <w:highlight w:val="white"/>
        </w:rPr>
        <w:t xml:space="preserve">21 requisitos </w:t>
      </w:r>
      <w:r>
        <w:t xml:space="preserve">funcionais, com destaque para a especificação e codificação do alerta de duplicidade (R</w:t>
      </w:r>
      <w:r>
        <w:t xml:space="preserve">F16), que utiliza lógica de geolocalização e raio de 50 metros para otimizar a base de da</w:t>
      </w:r>
      <w:r>
        <w:t xml:space="preserve">dos pública, e para o agrupamento de ocorrências similares com atualização coletiva de status (RF12). Adicionalmente, o estrito atendimento aos requisitos de autenticação robusta via JWT e autenticação multifator, combinados à criptografia com o algoritmo </w:t>
      </w:r>
      <w:r>
        <w:t xml:space="preserve">BCrypt</w:t>
      </w:r>
      <w:r>
        <w:t xml:space="preserve">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r>
      <w:r>
        <w:t xml:space="preserve">OBRAS CONSULTADAS </w:t>
      </w:r>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pBdr/>
        <w:spacing/>
        <w:ind/>
        <w:rPr/>
      </w:pPr>
      <w:r/>
      <w:bookmarkStart w:id="78" w:name="_Toc78"/>
      <w:r>
        <w:rPr>
          <w:lang w:val="en-US"/>
        </w:rPr>
      </w:r>
      <w:r>
        <w:t xml:space="preserve">APÊNDICE A – GESTÃO DO PROJETO</w:t>
      </w:r>
      <w:r/>
      <w:bookmarkEnd w:id="78"/>
      <w:r/>
      <w:r/>
    </w:p>
    <w:p w14:paraId="21750D2C" w14:textId="77777777">
      <w:pPr>
        <w:pBdr/>
        <w:spacing/>
        <w:ind/>
        <w:rPr/>
      </w:pPr>
      <w:r>
        <w:t>Os artefatos de gerenciamento do projeto estão disponíveis na pasta “ApêndiceA” que acompanha este documento, compreendendo: o Termo de Abertura do Projeto (FalaCidade_TermoAberturaProjeto_v2); o Business Case (FalaCidade_BusinessCase_v2); o documento de gestão do projeto (FalaCidade_GestaoDoProjeto_v4), que reúne o product backlog, a Estrutura Analítica do Projeto, o cronograma das quatro fases, o caminho crítico, os marcos e os papéis da equipe; o relatório de gestão de riscos (FalaCidade_RelatorioGestaoRiscos_v1); e a planilha de controle dos riscos negativos e positivos (FalaCidade_PlanilhaGestaoRiscos_v1).</w:t>
      </w:r>
    </w:p>
    <w:p w14:paraId="22872249" w14:textId="77777777">
      <w:pPr>
        <w:pStyle w:val="1635"/>
        <w:pageBreakBefore/>
        <w:pBdr/>
        <w:spacing/>
        <w:ind/>
        <w:rPr/>
      </w:pPr>
      <w:r/>
      <w:bookmarkStart w:id="79" w:name="_Toc79"/>
      <w:r/>
      <w:r>
        <w:t xml:space="preserve">APÊNDICE B – RELATÓRIO DE DESEMPENHO</w:t>
      </w:r>
      <w:r/>
      <w:bookmarkEnd w:id="79"/>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pBdr/>
        <w:spacing/>
        <w:ind/>
        <w:rPr/>
      </w:pPr>
      <w:r/>
      <w:bookmarkStart w:id="80" w:name="_Toc80"/>
      <w:r/>
      <w:r>
        <w:t xml:space="preserve">APÊNDICE C – VISÃO FUNCIONAL</w:t>
      </w:r>
      <w:r/>
      <w:bookmarkEnd w:id="80"/>
      <w:r/>
      <w:r/>
    </w:p>
    <w:p w14:paraId="5433329B" w14:textId="77777777">
      <w:pPr>
        <w:pBdr/>
        <w:spacing/>
        <w:ind/>
        <w:rPr/>
      </w:pPr>
      <w:r>
        <w:t>O modelo de casos de uso está disponível na pasta “ApêndiceC” que acompanha este documento, organizada em três subpastas: “1.Arquivos”, com o arquivo único da ferramenta CASE Ideas Modeler (FalaCidade_DiagramasUML_v3.simp), que contém os diagramas de casos de uso e os demais diagramas da UML elaborados no projeto; “2.FigurasdosDiagramadeCasosdeUso”, com as imagens do diagrama geral e dos diagramas de cada módulo, extraídas daquele arquivo; e “3.FluxosdeEvento”, com a descrição dos fluxos de eventos por cenário de caso de uso, um documento por módulo do sistema.</w:t>
      </w:r>
    </w:p>
    <w:p>
      <w:pPr>
        <w:pStyle w:val="1635"/>
        <w:pageBreakBefore/>
        <w:pBdr/>
        <w:spacing/>
        <w:ind/>
        <w:rPr/>
      </w:pPr>
      <w:r/>
      <w:bookmarkStart w:id="81" w:name="_Toc81"/>
      <w:r>
        <w:t xml:space="preserve">APÊNDICE D – VISÃO DOS DADOS</w:t>
      </w:r>
      <w:r/>
      <w:bookmarkEnd w:id="81"/>
      <w:r/>
      <w:r/>
    </w:p>
    <w:p w14:paraId="4B2941E5" w14:textId="77777777">
      <w:pPr>
        <w:pBdr/>
        <w:spacing/>
        <w:ind/>
        <w:rPr/>
      </w:pPr>
      <w:r>
        <w:t>O modelo conceitual dos dados (representado por meio do modelo entidade-relacionamento), o modelo lógico dos dados, o dicionário de dados do modelo lógico e o modelo físico estão disponíveis na pasta “ApêndiceD” que acompanha este documento. O modelo entidade-relacionamento é fornecido no formato editável do diagrams.net (FalaCidade_DER_v3.drawio) e em imagem (FalaCidade_DER_v3.png); o dicionário de dados, em planilha (FalaCidade_DicionarioDados_v3.xlsx) e em imagem; e o modelo físico, na subpasta “ModeloFisico”, pelos scripts FalaCidade_DDL_CriacaoTabelas.sql, de criação e migração das tabelas, e FalaCidade_DML_PopulacaoTabelas.sql, de população com dados fictícios de demonstração. Os mesmos scripts integram o código-fonte do back-end, no diretório de recursos da aplicação, de onde são executados na inicialização do sistema.</w:t>
      </w:r>
    </w:p>
    <w:p w14:paraId="08D1C304" w14:textId="77777777">
      <w:pPr>
        <w:pBdr/>
        <w:spacing/>
        <w:ind/>
        <w:rPr/>
      </w:pPr>
      <w:r/>
      <w:r/>
    </w:p>
    <w:p w14:paraId="7233153D" w14:textId="77777777">
      <w:pPr>
        <w:pStyle w:val="1635"/>
        <w:pageBreakBefore/>
        <w:pBdr/>
        <w:spacing/>
        <w:ind/>
        <w:rPr/>
      </w:pPr>
      <w:r/>
      <w:bookmarkStart w:id="82" w:name="_Toc82"/>
      <w:r>
        <w:t xml:space="preserve">APÊNDICE E – MODELO INICIAL DA INTERFACE DE USUÁRIO</w:t>
      </w:r>
      <w:r/>
      <w:bookmarkEnd w:id="82"/>
      <w:r/>
      <w:r/>
    </w:p>
    <w:p w14:paraId="2CC2CC7B" w14:textId="77777777">
      <w:pPr>
        <w:pBdr/>
        <w:spacing/>
        <w:ind/>
        <w:rPr/>
      </w:pPr>
      <w:r>
        <w:t>Os modelos de interface de usuário de média fidelidade estão disponíveis na pasta “ApêndiceE” que acompanha este documento, com um arquivo por tela do sistema. Os protótipos de baixa fidelidade elaborados na Fase 1 foram conservados na subpasta “PrototiposFase1”, para registro da evolução do projeto da interface.</w:t>
      </w:r>
    </w:p>
    <w:p w14:paraId="482B6652" w14:textId="77777777">
      <w:pPr>
        <w:pBdr/>
        <w:spacing/>
        <w:ind/>
        <w:rPr>
          <w:rFonts w:cs="Arial"/>
        </w:rPr>
      </w:pPr>
      <w:r/>
      <w:r>
        <w:rPr>
          <w:rFonts w:cs="Arial"/>
        </w:rPr>
      </w:r>
      <w:r>
        <w:rPr>
          <w:rFonts w:cs="Arial"/>
        </w:rPr>
      </w:r>
    </w:p>
    <w:p w14:paraId="4401373F" w14:textId="77777777">
      <w:pPr>
        <w:pStyle w:val="1635"/>
        <w:pageBreakBefore/>
        <w:pBdr/>
        <w:spacing/>
        <w:ind/>
        <w:rPr/>
      </w:pPr>
      <w:r/>
      <w:bookmarkStart w:id="83" w:name="_Toc83"/>
      <w:r>
        <w:t xml:space="preserve">APÊNDICE F – VISÕES ESTRUTURAL E COMPORTAMENTAL</w:t>
      </w:r>
      <w:r/>
      <w:bookmarkEnd w:id="83"/>
      <w:r/>
      <w:r/>
    </w:p>
    <w:p w14:paraId="7DB15575" w14:textId="77777777">
      <w:pPr>
        <w:pBdr/>
        <w:spacing/>
        <w:ind/>
        <w:rPr/>
      </w:pPr>
      <w:r>
        <w:t>As imagens dos diagramas elaborados por meio da UML estão disponíveis na pasta “ApêndiceF” que acompanha este documento, organizadas em uma subpasta por tipo de diagrama: “DiagramaDePacotes”, com os diagramas de pacotes do back-end e do front-end; “DiagramaDeClasses”, com o diagrama de classes, no qual constam os atributos, as operações e os relacionamentos de cada classe; “DiagramaDeComponentes”, com o diagrama de componentes e as interfaces providas e requeridas; “DiagramaDeImplantacao”, com o diagrama de implantação dos nós e artefatos; e “DiagramaDeSequencia”, com os diagramas de sequência do fluxo de autenticação — o cenário principal e o cenário alternativo de credenciais inválidas. O arquivo único da ferramenta CASE que originou todos esses diagramas é mantido no Apêndice C, subpasta “1.Arquivos”, de modo que exista uma única fonte editável para os modelos da UML.</w:t>
      </w:r>
    </w:p>
    <w:p w14:paraId="17286716" w14:textId="77777777">
      <w:pPr>
        <w:pBdr/>
        <w:spacing/>
        <w:ind/>
        <w:rPr/>
      </w:pPr>
      <w:r/>
      <w:r/>
    </w:p>
    <w:p w14:paraId="04077AF5" w14:textId="77777777">
      <w:pPr>
        <w:pBdr/>
        <w:spacing/>
        <w:ind/>
        <w:rPr>
          <w:rFonts w:cs="Arial"/>
        </w:rPr>
      </w:pPr>
      <w:r/>
      <w:r>
        <w:rPr>
          <w:rFonts w:cs="Arial"/>
        </w:rPr>
      </w:r>
      <w:r>
        <w:rPr>
          <w:rFonts w:cs="Arial"/>
        </w:rPr>
      </w:r>
    </w:p>
    <w:p w14:paraId="2E04B2D1" w14:textId="77777777">
      <w:pPr>
        <w:pStyle w:val="1635"/>
        <w:pageBreakBefore/>
        <w:pBdr/>
        <w:spacing/>
        <w:ind/>
        <w:rPr/>
      </w:pPr>
      <w:r/>
      <w:bookmarkStart w:id="84" w:name="_Toc84"/>
      <w:r>
        <w:t xml:space="preserve">APÊNDICE G – ENTREVISTAS COM USUÁRIOS</w:t>
      </w:r>
      <w:r/>
      <w:bookmarkEnd w:id="84"/>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pBdr/>
        <w:spacing/>
        <w:ind/>
        <w:rPr/>
      </w:pPr>
      <w:r/>
      <w:bookmarkStart w:id="85" w:name="_Toc85"/>
      <w:r>
        <w:t xml:space="preserve">APÊNDICE H – MODELO DE NEGÓCIO</w:t>
      </w:r>
      <w:r/>
      <w:bookmarkEnd w:id="85"/>
      <w:r/>
      <w:r/>
    </w:p>
    <w:p>
      <w:pPr>
        <w:pBdr/>
        <w:spacing/>
        <w:ind/>
        <w:rPr/>
      </w:pPr>
      <w:r>
        <w:t>O modelo de negócio elaborado em Canvas está disponível na pasta “ApêndiceH” que acompanha este documento, na forma do quadro de nove blocos (FalaCidade_CanvasModeloNegocio_v1.png) e da exportação da ferramenta Canvas do Sebrae (FalaCidade_CanvasModeloNegocio_Sebrae_v1.pdf).</w:t>
      </w:r>
    </w:p>
    <w:p>
      <w:pPr>
        <w:pBdr/>
        <w:spacing/>
        <w:ind/>
        <w:rPr/>
      </w:pPr>
      <w:r/>
      <w:r/>
    </w:p>
    <w:p>
      <w:pPr>
        <w:pStyle w:val="1635"/>
        <w:pageBreakBefore/>
        <w:pBdr/>
        <w:spacing/>
        <w:ind/>
        <w:rPr/>
      </w:pPr>
      <w:r/>
      <w:bookmarkStart w:id="86" w:name="_Toc86"/>
      <w:r>
        <w:t xml:space="preserve">APÊNDICE I – PROJETO DO SISTEMA DISTRIBUÍDO</w:t>
      </w:r>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pBdr/>
        <w:spacing/>
        <w:ind/>
        <w:rPr/>
      </w:pPr>
      <w:r/>
      <w:bookmarkStart w:id="87" w:name="_Toc87"/>
      <w:r>
        <w:t xml:space="preserve">APÊNDICE J – CASOS DE TESTES</w:t>
      </w:r>
      <w:r/>
      <w:bookmarkEnd w:id="87"/>
      <w:r/>
      <w:r/>
    </w:p>
    <w:p>
      <w:pPr>
        <w:pBdr/>
        <w:spacing/>
        <w:ind/>
        <w:rPr/>
      </w:pPr>
      <w:r>
        <w:t>A especificação dos casos de testes, com as entradas aplicadas e as saídas esperadas, o relatório consolidado de execução da bateria automatizada, as saídas brutas produzidas pela ferramenta de automação e o histórico dos testes funcionais realizados estão disponíveis na pasta “ApêndiceJ” que acompanha este documento.</w:t>
      </w:r>
    </w:p>
    <w:p>
      <w:pPr>
        <w:pBdr/>
        <w:spacing/>
        <w:ind/>
        <w:rPr/>
      </w:pPr>
      <w:r/>
      <w:r/>
    </w:p>
    <w:p>
      <w:pPr>
        <w:pStyle w:val="1635"/>
        <w:pageBreakBefore/>
        <w:pBdr/>
        <w:spacing/>
        <w:ind/>
        <w:rPr/>
      </w:pPr>
      <w:r/>
      <w:bookmarkStart w:id="88" w:name="_Toc88"/>
      <w:r>
        <w:t xml:space="preserve">APÊNDICE K – RECURSOS DE APOIO À IMPLANTAÇÃO</w:t>
      </w:r>
      <w:r/>
      <w:bookmarkEnd w:id="88"/>
      <w:r/>
      <w:r/>
    </w:p>
    <w:p>
      <w:pPr>
        <w:pBdr/>
        <w:spacing/>
        <w:ind/>
        <w:rPr/>
      </w:pPr>
      <w:r>
        <w:t xml:space="preserve">Os documentos de apoio ao usuário final estão disponíveis na pasta “ApêndiceK” que acompanha este documento.</w:t>
      </w:r>
      <w:r/>
    </w:p>
    <w:p>
      <w:pPr>
        <w:pStyle w:val="1635"/>
        <w:pageBreakBefore/>
        <w:pBdr/>
        <w:spacing/>
        <w:ind/>
        <w:rPr/>
      </w:pPr>
      <w:r/>
      <w:bookmarkStart w:id="89" w:name="_Toc89"/>
      <w:r>
        <w:t xml:space="preserve">APÊNDICE L – EXTENSÃO À COMUNIDADE</w:t>
      </w:r>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customXml" Target="../customXml/item1.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197</cp:revision>
  <dcterms:created xsi:type="dcterms:W3CDTF">2026-06-10T17:27:00Z</dcterms:created>
  <dcterms:modified xsi:type="dcterms:W3CDTF">2026-09-02T13:06:04Z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