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FAI – CENTRO DE ENSINO SUPERIOR EM GESTÃO, TECNOLOGIA E EDUCAÇÃO</w:t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CURSO DE SISTEMAS DE INFORMAÇÃO</w:t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LUCAS FIORRIGI FURLAN</w:t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MIGUEL MARTINS LIMA</w:t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RODRIGO PEREIRA ROMANO</w:t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SISTEMA DE INFORMAÇÃO PARA REPORTE DE OCORRÊNCIAS E APOIO À GESTÃO DE ZELADORIA PÚBLICA: FALA, CIDADE!</w:t>
      </w:r>
    </w:p>
    <w:p>
      <w:pPr>
        <w:pBdr/>
        <w:spacing/>
        <w:ind/>
        <w:rPr>
          <w:szCs w:val="24"/>
        </w:rPr>
      </w:pPr>
      <w:r>
        <w:rPr>
          <w:szCs w:val="24"/>
        </w:rPr>
      </w:r>
    </w:p>
    <w:p>
      <w:pPr>
        <w:pBdr/>
        <w:spacing/>
        <w:ind/>
        <w:jc w:val="center"/>
        <w:rPr>
          <w:szCs w:val="24"/>
        </w:rPr>
      </w:pPr>
      <w:r>
        <w:rPr>
          <w:b/>
          <w:sz w:val="28"/>
        </w:rPr>
        <w:t xml:space="preserve">MANUAL DO USUÁRIO</w:t>
      </w:r>
      <w:r>
        <w:rPr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SANTA RITA DO SAPUCAÍ - MG</w:t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2026</w:t>
      </w:r>
    </w:p>
    <w:p>
      <w:pPr>
        <w:pBdr/>
        <w:spacing/>
        <w:ind/>
        <w:rPr>
          <w:sz w:val="28"/>
          <w:szCs w:val="20"/>
        </w:rPr>
      </w:pPr>
      <w:r>
        <w:br w:type="page" w:clear="all"/>
      </w:r>
      <w:r>
        <w:rPr>
          <w:sz w:val="28"/>
          <w:szCs w:val="20"/>
        </w:rPr>
      </w:r>
    </w:p>
    <w:p>
      <w:pPr>
        <w:pStyle w:val="1462"/>
        <w:pBdr/>
        <w:spacing/>
        <w:ind/>
        <w:rPr/>
      </w:pPr>
      <w:r>
        <w:t xml:space="preserve">SUMÁRIO</w:t>
      </w:r>
    </w:p>
    <w:p>
      <w:pPr>
        <w:pStyle w:val="1462"/>
        <w:pBdr/>
        <w:spacing/>
        <w:ind/>
        <w:rPr/>
      </w:pPr>
      <w:r/>
    </w:p>
    <w:sdt>
      <w:sdtPr>
        <w15:appearance w15:val="boundingBox"/>
        <w:id w:val="-433284110"/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color w:val="auto"/>
          <w:sz w:val="24"/>
          <w:szCs w:val="22"/>
        </w:rPr>
      </w:sdtPr>
      <w:sdtContent>
        <w:p>
          <w:pPr>
            <w:pStyle w:val="1481"/>
            <w:pBdr/>
            <w:spacing/>
            <w:ind/>
            <w:rPr/>
          </w:pPr>
          <w:r/>
        </w:p>
        <w:p w14:paraId="4F337639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r>
            <w:rPr>
              <w:bCs/>
            </w:rPr>
            <w:fldChar w:fldCharType="begin"/>
            <w:instrText xml:space="preserve"> TOC \o "1-3" \h \z \u </w:instrText>
            <w:fldChar w:fldCharType="separate"/>
          </w:r>
          <w:r/>
          <w:hyperlink w:tooltip="#_Toc1" w:anchor="_Toc1" w:history="1">
            <w:r>
              <w:rPr>
                <w:rStyle w:val="1460"/>
              </w:rPr>
              <w:t xml:space="preserve">1 APRESENTAÇÃO</w:t>
            </w:r>
            <w:r>
              <w:tab/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</w:p>
        <w:p w14:paraId="145FA934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" w:anchor="_Toc2" w:history="1">
            <w:r>
              <w:rPr>
                <w:rStyle w:val="1460"/>
              </w:rPr>
              <w:t xml:space="preserve">1.1 Requisitos para uso</w:t>
            </w:r>
            <w:r>
              <w:tab/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 w14:paraId="6E46F86A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3" w:anchor="_Toc3" w:history="1">
            <w:r>
              <w:rPr>
                <w:rStyle w:val="1460"/>
              </w:rPr>
              <w:t xml:space="preserve">1.2 Instalar como aplicativo (PWA)</w:t>
            </w:r>
            <w:r>
              <w:tab/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</w:p>
        <w:p w14:paraId="0DC3B8EF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4" w:anchor="_Toc4" w:history="1">
            <w:r>
              <w:rPr>
                <w:rStyle w:val="1460"/>
              </w:rPr>
              <w:t xml:space="preserve">1.3 Acessibilidade</w:t>
            </w:r>
            <w:r>
              <w:tab/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</w:p>
        <w:p w14:paraId="77054129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5" w:anchor="_Toc5" w:history="1">
            <w:r>
              <w:rPr>
                <w:rStyle w:val="1460"/>
              </w:rPr>
              <w:t xml:space="preserve">2 PRIMEIROS PASSOS</w:t>
            </w:r>
            <w:r>
              <w:tab/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</w:p>
        <w:p w14:paraId="473F267B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6" w:anchor="_Toc6" w:history="1">
            <w:r>
              <w:rPr>
                <w:rStyle w:val="1460"/>
              </w:rPr>
              <w:t xml:space="preserve">2.1 Criar uma conta (Cidadão)</w:t>
            </w:r>
            <w:r>
              <w:tab/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</w:p>
        <w:p w14:paraId="6B8896B7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7" w:anchor="_Toc7" w:history="1">
            <w:r>
              <w:rPr>
                <w:rStyle w:val="1460"/>
              </w:rPr>
              <w:t xml:space="preserve">2.2 Entrar no sistema</w:t>
            </w:r>
            <w:r>
              <w:tab/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</w:p>
        <w:p w14:paraId="20BF5418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8" w:anchor="_Toc8" w:history="1">
            <w:r>
              <w:rPr>
                <w:rStyle w:val="1460"/>
              </w:rPr>
              <w:t xml:space="preserve">2.3 Esqueci minha senha</w:t>
            </w:r>
            <w:r>
              <w:tab/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/>
        </w:p>
        <w:p w14:paraId="3B9559E1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9" w:anchor="_Toc9" w:history="1">
            <w:r>
              <w:rPr>
                <w:rStyle w:val="1460"/>
              </w:rPr>
              <w:t xml:space="preserve">2.4 Entrar sem cadastro (Visitante)</w:t>
            </w:r>
            <w:r>
              <w:tab/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/>
        </w:p>
        <w:p w14:paraId="5674FF9A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10" w:anchor="_Toc10" w:history="1">
            <w:r>
              <w:rPr>
                <w:rStyle w:val="1460"/>
              </w:rPr>
              <w:t xml:space="preserve">3 PERFIL CIDADÃO</w:t>
            </w:r>
            <w:r>
              <w:tab/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/>
        </w:p>
        <w:p w14:paraId="084021CB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11" w:anchor="_Toc11" w:history="1">
            <w:r>
              <w:rPr>
                <w:rStyle w:val="1460"/>
              </w:rPr>
              <w:t xml:space="preserve">3.1 Tela inicial</w:t>
            </w:r>
            <w:r>
              <w:tab/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/>
        </w:p>
        <w:p w14:paraId="166CE990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12" w:anchor="_Toc12" w:history="1">
            <w:r>
              <w:rPr>
                <w:rStyle w:val="1460"/>
              </w:rPr>
              <w:t xml:space="preserve">3.2 Registrar uma ocorrência</w:t>
            </w:r>
            <w:r>
              <w:tab/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/>
        </w:p>
        <w:p w14:paraId="743FE1D4">
          <w:pPr>
            <w:pStyle w:val="1459"/>
            <w:pBdr/>
            <w:tabs>
              <w:tab w:val="right" w:leader="dot" w:pos="9062"/>
            </w:tabs>
            <w:spacing/>
            <w:ind/>
            <w:rPr/>
          </w:pPr>
          <w:hyperlink w:tooltip="#_Toc13" w:anchor="_Toc13" w:history="1">
            <w:r>
              <w:rPr>
                <w:rStyle w:val="1460"/>
              </w:rPr>
              <w:t xml:space="preserve">3.2.1 Ocorrência repetida no mesmo local</w:t>
            </w:r>
            <w:r>
              <w:tab/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/>
        </w:p>
        <w:p w14:paraId="7123AF26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14" w:anchor="_Toc14" w:history="1">
            <w:r>
              <w:rPr>
                <w:rStyle w:val="1460"/>
              </w:rPr>
              <w:t xml:space="preserve">3.3 Acompanhar suas ocorrências</w:t>
            </w:r>
            <w:r>
              <w:tab/>
              <w:fldChar w:fldCharType="begin"/>
              <w:instrText xml:space="preserve">PAGEREF _Toc14 \h</w:instrText>
              <w:fldChar w:fldCharType="separate"/>
              <w:t xml:space="preserve">9</w:t>
              <w:fldChar w:fldCharType="end"/>
            </w:r>
          </w:hyperlink>
          <w:r/>
        </w:p>
        <w:p w14:paraId="2365114C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15" w:anchor="_Toc15" w:history="1">
            <w:r>
              <w:rPr>
                <w:rStyle w:val="1460"/>
              </w:rPr>
              <w:t xml:space="preserve">3.4 Apoiar uma ocorrência</w:t>
            </w:r>
            <w:r>
              <w:tab/>
              <w:fldChar w:fldCharType="begin"/>
              <w:instrText xml:space="preserve">PAGEREF _Toc15 \h</w:instrText>
              <w:fldChar w:fldCharType="separate"/>
              <w:t xml:space="preserve">9</w:t>
              <w:fldChar w:fldCharType="end"/>
            </w:r>
          </w:hyperlink>
          <w:r/>
        </w:p>
        <w:p w14:paraId="7B38EE52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16" w:anchor="_Toc16" w:history="1">
            <w:r>
              <w:rPr>
                <w:rStyle w:val="1460"/>
              </w:rPr>
              <w:t xml:space="preserve">3.5 Minha Conta</w:t>
            </w:r>
            <w:r>
              <w:tab/>
              <w:fldChar w:fldCharType="begin"/>
              <w:instrText xml:space="preserve">PAGEREF _Toc16 \h</w:instrText>
              <w:fldChar w:fldCharType="separate"/>
              <w:t xml:space="preserve">10</w:t>
              <w:fldChar w:fldCharType="end"/>
            </w:r>
          </w:hyperlink>
          <w:r/>
        </w:p>
        <w:p w14:paraId="70C96151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17" w:anchor="_Toc17" w:history="1">
            <w:r>
              <w:rPr>
                <w:rStyle w:val="1460"/>
              </w:rPr>
              <w:t xml:space="preserve">3.6 Contato e Ajuda</w:t>
            </w:r>
            <w:r>
              <w:tab/>
              <w:fldChar w:fldCharType="begin"/>
              <w:instrText xml:space="preserve">PAGEREF _Toc17 \h</w:instrText>
              <w:fldChar w:fldCharType="separate"/>
              <w:t xml:space="preserve">10</w:t>
              <w:fldChar w:fldCharType="end"/>
            </w:r>
          </w:hyperlink>
          <w:r/>
        </w:p>
        <w:p w14:paraId="2B095C41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18" w:anchor="_Toc18" w:history="1">
            <w:r>
              <w:rPr>
                <w:rStyle w:val="1460"/>
              </w:rPr>
              <w:t xml:space="preserve">4 PERFIL VISITANTE (SEM CADASTRO)</w:t>
            </w:r>
            <w:r>
              <w:tab/>
              <w:fldChar w:fldCharType="begin"/>
              <w:instrText xml:space="preserve">PAGEREF _Toc18 \h</w:instrText>
              <w:fldChar w:fldCharType="separate"/>
              <w:t xml:space="preserve">10</w:t>
              <w:fldChar w:fldCharType="end"/>
            </w:r>
          </w:hyperlink>
          <w:r/>
        </w:p>
        <w:p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36" w:anchor="_Toc36" w:history="1">
            <w:r>
              <w:rPr>
                <w:rStyle w:val="1460"/>
              </w:rPr>
              <w:t xml:space="preserve">4.1 Escolher o município</w:t>
            </w:r>
            <w:r>
              <w:tab/>
              <w:fldChar w:fldCharType="begin"/>
              <w:instrText xml:space="preserve">PAGEREF _Toc36 \h</w:instrText>
              <w:fldChar w:fldCharType="separate"/>
              <w:t xml:space="preserve">10</w:t>
              <w:fldChar w:fldCharType="end"/>
            </w:r>
          </w:hyperlink>
          <w:r/>
        </w:p>
        <w:p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37" w:anchor="_Toc37" w:history="1">
            <w:r>
              <w:rPr>
                <w:rStyle w:val="1460"/>
              </w:rPr>
              <w:t xml:space="preserve">4.2 Alterar o município</w:t>
            </w:r>
            <w:r>
              <w:tab/>
              <w:fldChar w:fldCharType="begin"/>
              <w:instrText xml:space="preserve">PAGEREF _Toc37 \h</w:instrText>
              <w:fldChar w:fldCharType="separate"/>
              <w:t xml:space="preserve">10</w:t>
              <w:fldChar w:fldCharType="end"/>
            </w:r>
          </w:hyperlink>
          <w:r/>
        </w:p>
        <w:p w14:paraId="4C61A92F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19" w:anchor="_Toc19" w:history="1">
            <w:r>
              <w:rPr>
                <w:rStyle w:val="1460"/>
              </w:rPr>
              <w:t xml:space="preserve">4.3 O que o Visitante pode fazer</w:t>
            </w:r>
            <w:r>
              <w:tab/>
              <w:fldChar w:fldCharType="begin"/>
              <w:instrText xml:space="preserve">PAGEREF _Toc19 \h</w:instrText>
              <w:fldChar w:fldCharType="separate"/>
              <w:t xml:space="preserve">10</w:t>
              <w:fldChar w:fldCharType="end"/>
            </w:r>
          </w:hyperlink>
          <w:r/>
        </w:p>
        <w:p w14:paraId="018126CD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0" w:anchor="_Toc20" w:history="1">
            <w:r>
              <w:rPr>
                <w:rStyle w:val="1460"/>
              </w:rPr>
              <w:t xml:space="preserve">4.4 O que exige conta</w:t>
            </w:r>
            <w:r>
              <w:tab/>
              <w:fldChar w:fldCharType="begin"/>
              <w:instrText xml:space="preserve">PAGEREF _Toc20 \h</w:instrText>
              <w:fldChar w:fldCharType="separate"/>
              <w:t xml:space="preserve">10</w:t>
              <w:fldChar w:fldCharType="end"/>
            </w:r>
          </w:hyperlink>
          <w:r/>
        </w:p>
        <w:p w14:paraId="105450BB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21" w:anchor="_Toc21" w:history="1">
            <w:r>
              <w:rPr>
                <w:rStyle w:val="1460"/>
              </w:rPr>
              <w:t xml:space="preserve">5 PERFIL FUNCIONÁRIO</w:t>
            </w:r>
            <w:r>
              <w:tab/>
              <w:fldChar w:fldCharType="begin"/>
              <w:instrText xml:space="preserve">PAGEREF _Toc21 \h</w:instrText>
              <w:fldChar w:fldCharType="separate"/>
              <w:t xml:space="preserve">11</w:t>
              <w:fldChar w:fldCharType="end"/>
            </w:r>
          </w:hyperlink>
          <w:r/>
        </w:p>
        <w:p w14:paraId="069F432E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2" w:anchor="_Toc22" w:history="1">
            <w:r>
              <w:rPr>
                <w:rStyle w:val="1460"/>
              </w:rPr>
              <w:t xml:space="preserve">5.1 Gerenciar ocorrências</w:t>
            </w:r>
            <w:r>
              <w:tab/>
              <w:fldChar w:fldCharType="begin"/>
              <w:instrText xml:space="preserve">PAGEREF _Toc22 \h</w:instrText>
              <w:fldChar w:fldCharType="separate"/>
              <w:t xml:space="preserve">11</w:t>
              <w:fldChar w:fldCharType="end"/>
            </w:r>
          </w:hyperlink>
          <w:r/>
        </w:p>
        <w:p w14:paraId="7DB988D6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3" w:anchor="_Toc23" w:history="1">
            <w:r>
              <w:rPr>
                <w:rStyle w:val="1460"/>
              </w:rPr>
              <w:t xml:space="preserve">5.2 Encaminhar ao departamento responsável</w:t>
            </w:r>
            <w:r>
              <w:tab/>
              <w:fldChar w:fldCharType="begin"/>
              <w:instrText xml:space="preserve">PAGEREF _Toc23 \h</w:instrText>
              <w:fldChar w:fldCharType="separate"/>
              <w:t xml:space="preserve">12</w:t>
              <w:fldChar w:fldCharType="end"/>
            </w:r>
          </w:hyperlink>
          <w:r/>
        </w:p>
        <w:p>
          <w:pPr>
            <w:pStyle w:val="1459"/>
            <w:pBdr/>
            <w:tabs>
              <w:tab w:val="right" w:leader="dot" w:pos="9062"/>
            </w:tabs>
            <w:spacing/>
            <w:ind/>
            <w:rPr/>
          </w:pPr>
          <w:hyperlink w:tooltip="#_Toc38" w:anchor="_Toc38" w:history="1">
            <w:r>
              <w:rPr>
                <w:rStyle w:val="1460"/>
              </w:rPr>
              <w:t xml:space="preserve">5.2.1 Solicitação de conclusão pelo departamento</w:t>
            </w:r>
            <w:r>
              <w:tab/>
              <w:fldChar w:fldCharType="begin"/>
              <w:instrText xml:space="preserve">PAGEREF _Toc38 \h</w:instrText>
              <w:fldChar w:fldCharType="separate"/>
              <w:t xml:space="preserve">12</w:t>
              <w:fldChar w:fldCharType="end"/>
            </w:r>
          </w:hyperlink>
          <w:r/>
        </w:p>
        <w:p w14:paraId="0C337FEE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4" w:anchor="_Toc24" w:history="1">
            <w:r>
              <w:rPr>
                <w:rStyle w:val="1460"/>
              </w:rPr>
              <w:t xml:space="preserve">5.3 Departamentos</w:t>
            </w:r>
            <w:r>
              <w:tab/>
              <w:fldChar w:fldCharType="begin"/>
              <w:instrText xml:space="preserve">PAGEREF _Toc24 \h</w:instrText>
              <w:fldChar w:fldCharType="separate"/>
              <w:t xml:space="preserve">12</w:t>
              <w:fldChar w:fldCharType="end"/>
            </w:r>
          </w:hyperlink>
          <w:r/>
        </w:p>
        <w:p w14:paraId="6E36C63F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5" w:anchor="_Toc25" w:history="1">
            <w:r>
              <w:rPr>
                <w:rStyle w:val="1460"/>
              </w:rPr>
              <w:t xml:space="preserve">5.4 Ocorrências agrupadas (mesmo problema)</w:t>
            </w:r>
            <w:r>
              <w:tab/>
              <w:fldChar w:fldCharType="begin"/>
              <w:instrText xml:space="preserve">PAGEREF _Toc25 \h</w:instrText>
              <w:fldChar w:fldCharType="separate"/>
              <w:t xml:space="preserve">12</w:t>
              <w:fldChar w:fldCharType="end"/>
            </w:r>
          </w:hyperlink>
          <w:r/>
        </w:p>
        <w:p w14:paraId="4F7EAA5A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6" w:anchor="_Toc26" w:history="1">
            <w:r>
              <w:rPr>
                <w:rStyle w:val="1460"/>
              </w:rPr>
              <w:t xml:space="preserve">5.5 Estatísticas</w:t>
            </w:r>
            <w:r>
              <w:tab/>
              <w:fldChar w:fldCharType="begin"/>
              <w:instrText xml:space="preserve">PAGEREF _Toc26 \h</w:instrText>
              <w:fldChar w:fldCharType="separate"/>
              <w:t xml:space="preserve">13</w:t>
              <w:fldChar w:fldCharType="end"/>
            </w:r>
          </w:hyperlink>
          <w:r/>
        </w:p>
        <w:p w14:paraId="7F589C4A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27" w:anchor="_Toc27" w:history="1">
            <w:r>
              <w:rPr>
                <w:rStyle w:val="1460"/>
              </w:rPr>
              <w:t xml:space="preserve">6 PERFIL ADMINISTRADOR DO MUNICÍPIO</w:t>
            </w:r>
            <w:r>
              <w:tab/>
              <w:fldChar w:fldCharType="begin"/>
              <w:instrText xml:space="preserve">PAGEREF _Toc27 \h</w:instrText>
              <w:fldChar w:fldCharType="separate"/>
              <w:t xml:space="preserve">13</w:t>
              <w:fldChar w:fldCharType="end"/>
            </w:r>
          </w:hyperlink>
          <w:r/>
        </w:p>
        <w:p w14:paraId="550B7689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8" w:anchor="_Toc28" w:history="1">
            <w:r>
              <w:rPr>
                <w:rStyle w:val="1460"/>
              </w:rPr>
              <w:t xml:space="preserve">6.1 Gestão de usuários</w:t>
            </w:r>
            <w:r>
              <w:tab/>
              <w:fldChar w:fldCharType="begin"/>
              <w:instrText xml:space="preserve">PAGEREF _Toc28 \h</w:instrText>
              <w:fldChar w:fldCharType="separate"/>
              <w:t xml:space="preserve">13</w:t>
              <w:fldChar w:fldCharType="end"/>
            </w:r>
          </w:hyperlink>
          <w:r/>
        </w:p>
        <w:p w14:paraId="7E451CA8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9" w:anchor="_Toc29" w:history="1">
            <w:r>
              <w:rPr>
                <w:rStyle w:val="1460"/>
              </w:rPr>
              <w:t xml:space="preserve">6.2 Visão geral</w:t>
            </w:r>
            <w:r>
              <w:tab/>
              <w:fldChar w:fldCharType="begin"/>
              <w:instrText xml:space="preserve">PAGEREF _Toc29 \h</w:instrText>
              <w:fldChar w:fldCharType="separate"/>
              <w:t xml:space="preserve">14</w:t>
              <w:fldChar w:fldCharType="end"/>
            </w:r>
          </w:hyperlink>
          <w:r/>
        </w:p>
        <w:p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45" w:anchor="_Toc45" w:history="1">
            <w:r>
              <w:rPr>
                <w:rStyle w:val="1460"/>
              </w:rPr>
              <w:t xml:space="preserve">6.3 Logs</w:t>
            </w:r>
            <w:r>
              <w:tab/>
              <w:fldChar w:fldCharType="begin"/>
              <w:instrText xml:space="preserve">PAGEREF _Toc45 \h</w:instrText>
              <w:fldChar w:fldCharType="separate"/>
              <w:t xml:space="preserve">14</w:t>
              <w:fldChar w:fldCharType="end"/>
            </w:r>
          </w:hyperlink>
          <w:r/>
        </w:p>
        <w:p w14:paraId="78E50DA7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30" w:anchor="_Toc30" w:history="1">
            <w:r>
              <w:rPr>
                <w:rStyle w:val="1460"/>
              </w:rPr>
              <w:t xml:space="preserve">7 PERFIL SUPER ADMINISTRADOR</w:t>
            </w:r>
            <w:r>
              <w:tab/>
              <w:fldChar w:fldCharType="begin"/>
              <w:instrText xml:space="preserve">PAGEREF _Toc30 \h</w:instrText>
              <w:fldChar w:fldCharType="separate"/>
              <w:t xml:space="preserve">14</w:t>
              <w:fldChar w:fldCharType="end"/>
            </w:r>
          </w:hyperlink>
          <w:r/>
        </w:p>
        <w:p w14:paraId="759372E6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31" w:anchor="_Toc31" w:history="1">
            <w:r>
              <w:rPr>
                <w:rStyle w:val="1460"/>
              </w:rPr>
              <w:t xml:space="preserve">7.1 Criar administradores e super administradores</w:t>
            </w:r>
            <w:r>
              <w:tab/>
              <w:fldChar w:fldCharType="begin"/>
              <w:instrText xml:space="preserve">PAGEREF _Toc31 \h</w:instrText>
              <w:fldChar w:fldCharType="separate"/>
              <w:t xml:space="preserve">14</w:t>
              <w:fldChar w:fldCharType="end"/>
            </w:r>
          </w:hyperlink>
          <w:r/>
        </w:p>
        <w:p w14:paraId="757A74F0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32" w:anchor="_Toc32" w:history="1">
            <w:r>
              <w:rPr>
                <w:rStyle w:val="1460"/>
              </w:rPr>
              <w:t xml:space="preserve">7.2 Alcance do Super Administrador</w:t>
            </w:r>
            <w:r>
              <w:tab/>
              <w:fldChar w:fldCharType="begin"/>
              <w:instrText xml:space="preserve">PAGEREF _Toc32 \h</w:instrText>
              <w:fldChar w:fldCharType="separate"/>
              <w:t xml:space="preserve">15</w:t>
              <w:fldChar w:fldCharType="end"/>
            </w:r>
          </w:hyperlink>
          <w:r/>
        </w:p>
        <w:p w14:paraId="757A74F1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35" w:anchor="_Toc35" w:history="1">
            <w:r>
              <w:rPr>
                <w:rStyle w:val="1460"/>
              </w:rPr>
              <w:t xml:space="preserve">7.3 Excluir ocorrência</w:t>
            </w:r>
            <w:r>
              <w:tab/>
              <w:fldChar w:fldCharType="begin"/>
              <w:instrText xml:space="preserve">PAGEREF _Toc35 \h</w:instrText>
              <w:fldChar w:fldCharType="separate"/>
              <w:t xml:space="preserve">15</w:t>
              <w:fldChar w:fldCharType="end"/>
            </w:r>
          </w:hyperlink>
          <w:r/>
        </w:p>
        <w:p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39" w:anchor="_Toc39" w:history="1">
            <w:r>
              <w:rPr>
                <w:rStyle w:val="1460"/>
              </w:rPr>
              <w:t xml:space="preserve">8 FUNCIONÁRIO DO DEPARTAMENTO</w:t>
            </w:r>
            <w:r>
              <w:tab/>
              <w:fldChar w:fldCharType="begin"/>
              <w:instrText xml:space="preserve">PAGEREF _Toc39 \h</w:instrText>
              <w:fldChar w:fldCharType="separate"/>
              <w:t xml:space="preserve">16</w:t>
              <w:fldChar w:fldCharType="end"/>
            </w:r>
          </w:hyperlink>
          <w:r/>
        </w:p>
        <w:p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40" w:anchor="_Toc40" w:history="1">
            <w:r>
              <w:rPr>
                <w:rStyle w:val="1460"/>
              </w:rPr>
              <w:t xml:space="preserve">8.1 Abrir a ocorrência pelo e-mail</w:t>
            </w:r>
            <w:r>
              <w:tab/>
              <w:fldChar w:fldCharType="begin"/>
              <w:instrText xml:space="preserve">PAGEREF _Toc40 \h</w:instrText>
              <w:fldChar w:fldCharType="separate"/>
              <w:t xml:space="preserve">16</w:t>
              <w:fldChar w:fldCharType="end"/>
            </w:r>
          </w:hyperlink>
          <w:r/>
        </w:p>
        <w:p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41" w:anchor="_Toc41" w:history="1">
            <w:r>
              <w:rPr>
                <w:rStyle w:val="1460"/>
              </w:rPr>
              <w:t xml:space="preserve">8.2 O que a página mostra</w:t>
            </w:r>
            <w:r>
              <w:tab/>
              <w:fldChar w:fldCharType="begin"/>
              <w:instrText xml:space="preserve">PAGEREF _Toc41 \h</w:instrText>
              <w:fldChar w:fldCharType="separate"/>
              <w:t xml:space="preserve">16</w:t>
              <w:fldChar w:fldCharType="end"/>
            </w:r>
          </w:hyperlink>
          <w:r/>
        </w:p>
        <w:p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42" w:anchor="_Toc42" w:history="1">
            <w:r>
              <w:rPr>
                <w:rStyle w:val="1460"/>
              </w:rPr>
              <w:t xml:space="preserve">8.3 Solicitar a conclusão</w:t>
            </w:r>
            <w:r>
              <w:tab/>
              <w:fldChar w:fldCharType="begin"/>
              <w:instrText xml:space="preserve">PAGEREF _Toc42 \h</w:instrText>
              <w:fldChar w:fldCharType="separate"/>
              <w:t xml:space="preserve">16</w:t>
              <w:fldChar w:fldCharType="end"/>
            </w:r>
          </w:hyperlink>
          <w:r/>
        </w:p>
        <w:p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43" w:anchor="_Toc43" w:history="1">
            <w:r>
              <w:rPr>
                <w:rStyle w:val="1460"/>
              </w:rPr>
              <w:t xml:space="preserve">8.4 Depois do envio</w:t>
            </w:r>
            <w:r>
              <w:tab/>
              <w:fldChar w:fldCharType="begin"/>
              <w:instrText xml:space="preserve">PAGEREF _Toc43 \h</w:instrText>
              <w:fldChar w:fldCharType="separate"/>
              <w:t xml:space="preserve">16</w:t>
              <w:fldChar w:fldCharType="end"/>
            </w:r>
          </w:hyperlink>
          <w:r/>
        </w:p>
        <w:p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44" w:anchor="_Toc44" w:history="1">
            <w:r>
              <w:rPr>
                <w:rStyle w:val="1460"/>
              </w:rPr>
              <w:t xml:space="preserve">8.5 Mensagens de aviso</w:t>
            </w:r>
            <w:r>
              <w:tab/>
              <w:fldChar w:fldCharType="begin"/>
              <w:instrText xml:space="preserve">PAGEREF _Toc44 \h</w:instrText>
              <w:fldChar w:fldCharType="separate"/>
              <w:t xml:space="preserve">16</w:t>
              <w:fldChar w:fldCharType="end"/>
            </w:r>
          </w:hyperlink>
          <w:r/>
        </w:p>
        <w:p w14:paraId="5C7AF2B9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33" w:anchor="_Toc33" w:history="1">
            <w:r>
              <w:rPr>
                <w:rStyle w:val="1460"/>
              </w:rPr>
              <w:t xml:space="preserve">9 PERGUNTAS FREQUENTES</w:t>
            </w:r>
            <w:r>
              <w:tab/>
              <w:fldChar w:fldCharType="begin"/>
              <w:instrText xml:space="preserve">PAGEREF _Toc33 \h</w:instrText>
              <w:fldChar w:fldCharType="separate"/>
              <w:t xml:space="preserve">16</w:t>
              <w:fldChar w:fldCharType="end"/>
            </w:r>
          </w:hyperlink>
          <w:r/>
        </w:p>
        <w:p w14:paraId="4C48C2CA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34" w:anchor="_Toc34" w:history="1">
            <w:r>
              <w:rPr>
                <w:rStyle w:val="1460"/>
              </w:rPr>
              <w:t xml:space="preserve">10 SUPORTE</w:t>
            </w:r>
            <w:r>
              <w:tab/>
              <w:fldChar w:fldCharType="begin"/>
              <w:instrText xml:space="preserve">PAGEREF _Toc34 \h</w:instrText>
              <w:fldChar w:fldCharType="separate"/>
              <w:t xml:space="preserve">16</w:t>
              <w:fldChar w:fldCharType="end"/>
            </w:r>
          </w:hyperlink>
          <w:r/>
        </w:p>
        <w:p w14:paraId="5A431294">
          <w:pPr>
            <w:pBdr/>
            <w:spacing/>
            <w:ind/>
            <w:rPr/>
          </w:pPr>
          <w:r>
            <w:rPr>
              <w:bCs/>
            </w:rPr>
          </w:r>
          <w:r>
            <w:rPr>
              <w:b/>
              <w:bCs/>
            </w:rPr>
            <w:fldChar w:fldCharType="end"/>
          </w:r>
          <w:r/>
        </w:p>
      </w:sdtContent>
    </w:sdt>
    <w:p>
      <w:pPr>
        <w:pStyle w:val="1462"/>
        <w:pBdr/>
        <w:spacing/>
        <w:ind/>
        <w:rPr/>
        <w:sectPr>
          <w:headerReference w:type="default" r:id="rId9"/>
          <w:headerReference w:type="even" r:id="rId10"/>
          <w:footnotePr/>
          <w:endnotePr/>
          <w:type w:val="nextPage"/>
          <w:pgSz w:h="16840" w:orient="portrait" w:w="11907"/>
          <w:pgMar w:top="1701" w:right="1134" w:bottom="1134" w:left="1701" w:header="709" w:footer="709" w:gutter="0"/>
          <w:pgNumType w:fmt="lowerRoman"/>
          <w:cols w:num="1" w:sep="0" w:space="708" w:equalWidth="1"/>
          <w:titlePg/>
        </w:sectPr>
      </w:pPr>
      <w:r/>
    </w:p>
    <w:p>
      <w:pPr>
        <w:pStyle w:val="1446"/>
        <w:pBdr/>
        <w:spacing w:before="240" w:after="240" w:line="360" w:lineRule="auto"/>
        <w:ind/>
        <w:rPr/>
      </w:pPr>
      <w:r/>
      <w:bookmarkStart w:id="1" w:name="_Toc1"/>
      <w:r>
        <w:t xml:space="preserve">1 APRESENTAÇÃO</w:t>
      </w:r>
      <w:bookmarkEnd w:id="1"/>
      <w:r/>
    </w:p>
    <w:p>
      <w:pPr>
        <w:pBdr/>
        <w:spacing w:before="240" w:after="240" w:line="360" w:lineRule="auto"/>
        <w:ind/>
        <w:rPr/>
      </w:pPr>
      <w:r>
        <w:t xml:space="preserve">O Fala, Cidade! é um sistema que aproxima o cidadão da administração pública municipal. Por meio dele, qualquer pessoa pode registrar ocorrências de zeladoria urbana — como buracos em vias, iluminação precária, descarte irregular de lixo ou má conservação de espaços públicos — e acompanhar o andamento da solução pelo número de protocolo.</w:t>
      </w:r>
    </w:p>
    <w:p>
      <w:pPr>
        <w:pBdr/>
        <w:spacing w:before="240" w:after="240" w:line="360" w:lineRule="auto"/>
        <w:ind/>
        <w:rPr/>
      </w:pPr>
      <w:r>
        <w:t xml:space="preserve">Este manual explica, passo a passo, como utilizar o sistema em cada perfil de usuário: Cidadão, Visitante (sem cadastro), Funcionário da administração pública, Administrador do município e Super Administrador. A Seção 8 orienta o funcionário do departamento da prefeitura que recebe uma ocorrência encaminhada e a acessa pelo link do e-mail, sem conta.</w:t>
      </w:r>
    </w:p>
    <w:p>
      <w:pPr>
        <w:pStyle w:val="1447"/>
        <w:pBdr/>
        <w:spacing w:before="240" w:after="240" w:line="360" w:lineRule="auto"/>
        <w:ind/>
        <w:rPr/>
      </w:pPr>
      <w:r/>
      <w:bookmarkStart w:id="2" w:name="_Toc2"/>
      <w:r>
        <w:t xml:space="preserve">1.1 Requisitos para uso</w:t>
      </w:r>
      <w:bookmarkEnd w:id="2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Navegador atualizado: </w:t>
      </w:r>
      <w:r>
        <w:rPr>
          <w:b/>
        </w:rPr>
        <w:t xml:space="preserve">Google Chrome</w:t>
      </w:r>
      <w:r>
        <w:t xml:space="preserve">, </w:t>
      </w:r>
      <w:r>
        <w:rPr>
          <w:b/>
        </w:rPr>
        <w:t xml:space="preserve">Mozilla Firefox</w:t>
      </w:r>
      <w:r>
        <w:t xml:space="preserve"> ou </w:t>
      </w:r>
      <w:r>
        <w:rPr>
          <w:b/>
        </w:rPr>
        <w:t xml:space="preserve">Microsoft Edge</w:t>
      </w:r>
      <w:r>
        <w:t xml:space="preserve">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Conexão com a internet.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Um endereço de e-mail válido (para criar conta e receber notificações).</w:t>
      </w:r>
    </w:p>
    <w:p>
      <w:pPr>
        <w:pStyle w:val="1447"/>
        <w:pBdr/>
        <w:spacing w:before="240" w:after="240" w:line="360" w:lineRule="auto"/>
        <w:ind/>
        <w:rPr/>
      </w:pPr>
      <w:r/>
      <w:bookmarkStart w:id="3" w:name="_Toc3"/>
      <w:r>
        <w:t xml:space="preserve">1.2 Instalar como aplicativo (PWA)</w:t>
      </w:r>
      <w:bookmarkEnd w:id="3"/>
      <w:r/>
    </w:p>
    <w:p>
      <w:pPr>
        <w:pBdr/>
        <w:spacing w:before="240" w:after="240" w:line="360" w:lineRule="auto"/>
        <w:ind/>
        <w:rPr/>
      </w:pPr>
      <w:r>
        <w:t xml:space="preserve">O Fala, Cidade! é um aplicativo web progressivo (PWA): pode ser instalado na tela inicial do celular ou do computador, sem loja de aplicativos.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Abra o endereço do sistema no navegador do celular.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No menu do navegador, toque em “Adicionar à tela inicial” (Android/Chrome) ou “Compartilhar → Adicionar à Tela de Início” (iPhone/Safari).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Confirme. O ícone do Fala, Cidade! aparecerá na tela inicial, como um aplicativo comum.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Samsung Internet: nesse navegador, o botão “Instalar” abre o Fala, Cidade! no Google Chrome, onde a instalação é concluída. Isso é necessário porque o Android bloqueia o aplicativo instalado pelo Samsung Internet, com o aviso “App de risco bloqueado”.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4" w:name="_Toc4"/>
      <w:r>
        <w:t xml:space="preserve">1.3 Acessibilidade</w:t>
      </w:r>
      <w:bookmarkEnd w:id="4"/>
      <w:r/>
    </w:p>
    <w:p>
      <w:pPr>
        <w:pBdr/>
        <w:spacing w:before="240" w:after="240" w:line="360" w:lineRule="auto"/>
        <w:ind/>
        <w:rPr/>
      </w:pPr>
      <w:r>
        <w:t xml:space="preserve">Em todas as telas, no canto inferior direito, há controles fixos de acessibilidade: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A− / A / A+</w:t>
      </w:r>
      <w:r>
        <w:t xml:space="preserve"> — diminui, restaura ou aumenta o tamanho das letras (6 níveis).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Sol/Lua</w:t>
      </w:r>
      <w:r>
        <w:t xml:space="preserve"> — alterna entre o tema claro e o tema escuro.</w:t>
      </w:r>
    </w:p>
    <w:p>
      <w:pPr>
        <w:pBdr/>
        <w:spacing w:before="240" w:after="240" w:line="360" w:lineRule="auto"/>
        <w:ind/>
        <w:rPr/>
      </w:pPr>
      <w:r>
        <w:t xml:space="preserve">As preferências ficam salvas no dispositivo e valem para as próximas visitas.</w:t>
      </w:r>
    </w:p>
    <w:p>
      <w:pPr>
        <w:pStyle w:val="1446"/>
        <w:pBdr/>
        <w:spacing w:before="240" w:after="240" w:line="360" w:lineRule="auto"/>
        <w:ind/>
        <w:rPr/>
      </w:pPr>
      <w:r/>
      <w:bookmarkStart w:id="5" w:name="_Toc5"/>
      <w:r>
        <w:t xml:space="preserve">2 PRIMEIROS PASSOS</w:t>
      </w:r>
      <w:bookmarkEnd w:id="5"/>
      <w:r/>
    </w:p>
    <w:p>
      <w:pPr>
        <w:pStyle w:val="1447"/>
        <w:pBdr/>
        <w:spacing w:before="240" w:after="240" w:line="360" w:lineRule="auto"/>
        <w:ind/>
        <w:rPr/>
      </w:pPr>
      <w:r/>
      <w:bookmarkStart w:id="6" w:name="_Toc6"/>
      <w:r>
        <w:t xml:space="preserve">2.1 Criar uma conta (Cidadão)</w:t>
      </w:r>
      <w:bookmarkEnd w:id="6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Na tela de entrada, toque em “Criar conta”.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O cadastro é feito em 6 etapas, com uma pergunta por tela. A barra de progresso, na parte de baixo, indica “Etapa X de 6”. O botão “Continuar” (ou a tecla Enter) avança para a etapa seguinte; o botão “← Voltar” retorna à etapa anterior sem perder o que já foi digitado — na primeira etapa, ele volta à tela de entrada.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Etapa 1 — “Como você se chama?”</w:t>
      </w:r>
      <w:r>
        <w:t xml:space="preserve">: informe o nome completo. O campo aceita apenas letras (inclusive acentuadas), espaço, apóstrofo, hífen e ponto; números não são aceitos.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Etapa 2 — “Qual é o seu e-mail?”</w:t>
      </w:r>
      <w:r>
        <w:t xml:space="preserve">: informe o e-mail.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Etapa 3 — “Quando você nasceu?”</w:t>
      </w:r>
      <w:r>
        <w:t xml:space="preserve">: informe a data de nascimento no formato dd/mm/aaaa (as barras são inseridas automaticamente). A data precisa existir no calendário, não pode ser futura e deve ser a partir de 1900. Nesta etapa também pode ser informado o telefone, que é opcional — digite apenas os números: os parênteses do DDD e o hífen são inseridos automaticamente, como em (35) 99999-8888, e um +55 colado no início é ignorado; cada número de celular só pode estar vinculado a uma única conta.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Etapa 4 — “Onde você mora?”</w:t>
      </w:r>
      <w:r>
        <w:t xml:space="preserve">: informe a UF e o município onde você mora. A UF aceita apenas duas letras, que ficam maiúsculas automaticamente. O município só fica disponível depois que a UF for informada, e as duas listas se completam enquanto você digita.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Etapa 5 — “Crie sua senha”</w:t>
      </w:r>
      <w:r>
        <w:t xml:space="preserve">: digite e confirme a senha. Ela deve ter no mínimo 8 caracteres, com letra, número e caractere especial (@$!%*#?&amp;); cada regra fica verde à medida que é atendida.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Etapa 6 — “Quase lá!”</w:t>
      </w:r>
      <w:r>
        <w:t xml:space="preserve">: leia e aceite os Termos de Uso e a Política de Privacidade (LGPD) e, se desejar, ative a verificação em duas etapas por e-mail (MFA) já no cadastro.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Toque em “Criar conta”. Você receberá um e-mail de boas-vindas.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Se o e-mail ou o celular informado já estiver cadastrado em outra conta, o sistema retorna à etapa do campo repetido e exibe o aviso no próprio campo (por exemplo, “Este celular já está cadastrado em outra conta.”).</w:t>
      </w:r>
      <w:r/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adastr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9.37pt;height:295.2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1 – Tela de cadastro de novo usuário (primeira etapa)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7" w:name="_Toc7"/>
      <w:r>
        <w:t xml:space="preserve">2.2 Entrar no sistema</w:t>
      </w:r>
      <w:bookmarkEnd w:id="7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Informe e-mail e senha e toque em “Entrar”.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Se a verificação em duas etapas (MFA) estiver ativa, escolha como validar o código: a tela mostra apenas os métodos ativos na sua conta — aplicativo autenticador, e-mail ou SMS. Quando há um único método ativo, a escolha é dispensada e o sistema segue direto para ele.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Digite o código de 6 dígitos gerado pelo aplicativo autenticador, enviado ao seu e-mail ou enviado por SMS ao seu celular. Nos métodos por e-mail e por SMS, o botão “Reenviar código” envia um novo código; no SMS, o reenvio fica disponível a cada 60 segundos. Se o código estiver copiado (do e-mail, do SMS ou do aplicativo autenticador), o campo já vem preenchido quando você volta à tela; no celular, o teclado também sugere o código recebido por SMS.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Funcionários e Administradores são obrigados a manter ao menos um método de verificação (MFA) ativo — aplicativo autenticador, e-mail ou SMS.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Localização: o próprio navegador pergunta se você permite o uso da sua localização — ao abrir a tela de entrada e, se você já estiver conectado, ao abrir a tela inicial. Permitindo, as telas abrem no município onde você está; recusando, você vê as ocorrências de todos os municípios. A escolha pode ser trocada a qualquer momento no seletor de município da tela inicial.</w:t>
      </w:r>
      <w:r/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utenticaca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9.37pt;height:295.2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2 – Tela de autenticação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8" w:name="_Toc8"/>
      <w:r>
        <w:t xml:space="preserve">2.3 Esqueci minha senha</w:t>
      </w:r>
      <w:bookmarkEnd w:id="8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Na tela de entrada, toque em “Esqueci minha senha”.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Informe o e-mail cadastrado — toque em “Enviar código” e digite, na tela seguinte, o código de recuperação de 8 caracteres que chega ao seu e-mail. Se o código estiver copiado, o campo já vem preenchido; se você já recebeu um código, toque em “Já tenho um código”.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Defina a nova senha seguindo a política de segurança.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Para desistir, toque em “Voltar para a autenticação”: o link aparece em todas as etapas e leva de volta à tela de entrada.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9" w:name="_Toc9"/>
      <w:r>
        <w:t xml:space="preserve">2.4 Entrar sem cadastro (Visitante)</w:t>
      </w:r>
      <w:bookmarkEnd w:id="9"/>
      <w:r/>
    </w:p>
    <w:p>
      <w:pPr>
        <w:pBdr/>
        <w:spacing w:before="240" w:after="240" w:line="360" w:lineRule="auto"/>
        <w:ind/>
        <w:rPr/>
      </w:pPr>
      <w:r>
        <w:t xml:space="preserve">Na tela de entrada, o botão “Entrar como Usuário Anônimo” dá acesso ao sistema sem criar conta, depois que você escolhe o seu município. O Visitante pode ver o mapa e as ocorrências, consultar protocolos e registrar ocorrências anônimas — os detalhes estão na Seção 4.</w:t>
      </w:r>
    </w:p>
    <w:p>
      <w:pPr>
        <w:pStyle w:val="1446"/>
        <w:pBdr/>
        <w:spacing w:before="240" w:after="240" w:line="360" w:lineRule="auto"/>
        <w:ind/>
        <w:rPr/>
      </w:pPr>
      <w:r/>
      <w:bookmarkStart w:id="10" w:name="_Toc10"/>
      <w:r>
        <w:t xml:space="preserve">3 PERFIL CIDADÃO</w:t>
      </w:r>
      <w:bookmarkEnd w:id="10"/>
      <w:r/>
    </w:p>
    <w:p>
      <w:pPr>
        <w:pStyle w:val="1447"/>
        <w:pBdr/>
        <w:spacing w:before="240" w:after="240" w:line="360" w:lineRule="auto"/>
        <w:ind/>
        <w:rPr/>
      </w:pPr>
      <w:r/>
      <w:bookmarkStart w:id="11" w:name="_Toc11"/>
      <w:r>
        <w:t xml:space="preserve">3.1 Tela inicial</w:t>
      </w:r>
      <w:bookmarkEnd w:id="11"/>
      <w:r/>
    </w:p>
    <w:p>
      <w:pPr>
        <w:pBdr/>
        <w:spacing w:before="240" w:after="240" w:line="360" w:lineRule="auto"/>
        <w:ind/>
        <w:rPr/>
      </w:pPr>
      <w:r>
        <w:t xml:space="preserve">Após entrar, a tela inicial mostra as ocorrências recentes e o Mapa de Ocorrências da cidade. Acima do mapa há filtros por bairro, categoria e status, além do botão “Limpar”. Cada ocorrência aparece como um ponto colorido conforme o status: O primeiro seletor, acima dos demais, escolhe o município: ao selecionar um município, o mapa se desloca até ele e os números, o mapa e a lista de recentes passam a mostrar apenas aquele município; a opção “Todos os municípios” mostra tudo de novo (quando só existe um município, essa opção não aparece, e o seletor já vem com ele selecionado). A lista do seletor traz os municípios que já têm ocorrências, mais o município do seu cadastro — por isso ele aparece ali mesmo que ainda não haja nenhuma ocorrência registrada nele.</w:t>
      </w:r>
    </w:p>
    <w:tbl>
      <w:tblPr>
        <w:tblStyle w:val="1471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/>
        <w:tc>
          <w:tcPr>
            <w:tcBorders/>
            <w:tcW w:w="302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Status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Cor no mapa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Significado</w:t>
            </w:r>
            <w:r/>
          </w:p>
        </w:tc>
      </w:tr>
      <w:tr>
        <w:trPr/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Pendente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Âmbar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Ocorrência registrada, aguardando triagem da prefeitura.</w:t>
            </w:r>
            <w:r/>
          </w:p>
        </w:tc>
      </w:tr>
      <w:tr>
        <w:trPr/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Em Andamento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Azul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A equipe responsável está atuando na solução.</w:t>
            </w:r>
            <w:r/>
          </w:p>
        </w:tc>
      </w:tr>
      <w:tr>
        <w:trPr/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Concluída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Verde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O problema foi resolvido.</w:t>
            </w:r>
            <w:r/>
          </w:p>
        </w:tc>
      </w:tr>
      <w:tr>
        <w:trPr/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Indeferida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Vermelho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A ocorrência não foi acatada — a justificativa aparece no histórico.</w:t>
            </w:r>
            <w:r/>
          </w:p>
        </w:tc>
      </w:tr>
      <w:tr>
        <w:trPr/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Finalizada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Preto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A ocorrência foi excluída pela administração. Esse status não aparece para você: se uma ocorrência sua for excluída, você recebe um e-mail e ela deixa de aparecer na sua lista de ocorrências. O selo preto aparece apenas para o Super Administrador.</w:t>
            </w:r>
            <w:r/>
          </w:p>
        </w:tc>
      </w:tr>
    </w:tbl>
    <w:p>
      <w:pPr>
        <w:pBdr/>
        <w:spacing w:before="240" w:after="240" w:line="360" w:lineRule="auto"/>
        <w:ind/>
        <w:rPr/>
      </w:pPr>
      <w:r>
        <w:t xml:space="preserve">Ao tocar em um ponto do mapa, um balão mostra o título, o endereço, o status e a quantidade de apoios da ocorrência.</w:t>
      </w:r>
    </w:p>
    <w:p>
      <w:pPr>
        <w:pBdr/>
        <w:spacing w:before="240" w:after="240" w:line="360" w:lineRule="auto"/>
        <w:ind/>
        <w:rPr/>
      </w:pPr>
      <w:r>
        <w:t xml:space="preserve">As ocorrências agrupadas (Seção 3.2.1) aparecem no mapa como um único ponto, com borda colorida e um selo com a quantidade; a cor é a do status mais frequente no grupo, e a legenda do mapa mostra o item “Agrupadas”. Ao tocar nesse ponto, as ocorrências do grupo se abrem em leque ao redor dele, cada uma com o seu ponto e o seu balão, e o ponto central fica translúcido; toque nele de novo para recolher. Se o seu dispositivo estiver configurado para reduzir movimento, o leque abre sem animação.</w:t>
      </w:r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ici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9.37pt;height:295.2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3 – Tela inicial do perfil Cidadão, com o mapa e as ocorrências recentes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12" w:name="_Toc12"/>
      <w:r>
        <w:t xml:space="preserve">3.2 Registrar uma ocorrência</w:t>
      </w:r>
      <w:bookmarkEnd w:id="12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No menu, toque em “Nova Ocorrência”.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Dados da ocorrência: informe título e descrição detalhada (obrigatórios).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Categoria da ocorrência: escolha a categoria (ex.: Buraco na Rua, Iluminação Pública). A prioridade é definida automaticamente pelo sistema.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Localização: permita o uso da sua localização OU toque no ponto exato no mapa — logradouro, bairro e município são preenchidos automaticamente. O número e o ponto de referência podem ser digitados. A UF e o município também podem ser digitados nos campos “UF” e “Município”: o município só é oferecido depois da UF. Você pode registrar ocorrências em qualquer município, inclusive fora daquele em que mora.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Se o município escolhido ainda não tiver equipe no Fala, Cidade!, um aviso é exibido antes do envio. O registro continua sendo possível: a ocorrência fica guardada com o seu protocolo e passa a ser atendida quando o município aderir.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Fotos: anexe até 3 fotos do problema (opcional, mas recomendado). O formulário avisa: “Os rostos de pessoas e as placas de veículos serão desfocados automaticamente para preservar a privacidade (LGPD).”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Se preferir não se identificar, marque “Registrar como anônimo (você receberá um código de rastreamento)”.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Toque em “Registrar Ocorrência”. Guarde o número de protocolo exibido (no formato FC-AA-XXXXX, como FC-26-K4T9W; Seção 3.3) — ele também é enviado ao seu e-mail; o botão de copiar, ao lado do protocolo, copia o número. Na ocorrência anônima, a tela mostra o código de acompanhamento, com o botão de copiar ao lado, e o aviso, em destaque, “⚠️ Este código não será exibido novamente.”: copie ou anote o código antes de tocar em “Entendido”.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Privacidade (LGPD): os rostos de pessoas e os textos legíveis, como as placas de veículos, serão desfocados automaticamente nas fotos antes da exibição.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Limite diário: cada usuário pode registrar até 5 ocorrências identificadas por dia.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Tamanho dos campos: o título aceita até 120 caracteres, a descrição até 2000, o logradouro até 200, o bairro e o município até 100, o número até 10 e o ponto de referência até 300. A UF aceita apenas duas letras, que ficam maiúsculas automaticamente.</w:t>
      </w:r>
      <w:r/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gistra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9.37pt;height:295.2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4 – Formulário de registro de ocorrência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8"/>
        <w:pBdr/>
        <w:spacing w:before="240" w:after="240" w:line="360" w:lineRule="auto"/>
        <w:ind/>
        <w:rPr/>
      </w:pPr>
      <w:r/>
      <w:bookmarkStart w:id="13" w:name="_Toc13"/>
      <w:r>
        <w:t xml:space="preserve">3.2.1 Ocorrência repetida no mesmo local</w:t>
      </w:r>
      <w:bookmarkEnd w:id="13"/>
      <w:r/>
    </w:p>
    <w:p>
      <w:pPr>
        <w:pBdr/>
        <w:spacing w:before="240" w:after="240" w:line="360" w:lineRule="auto"/>
        <w:ind/>
        <w:rPr/>
      </w:pPr>
      <w:r>
        <w:t xml:space="preserve">Se já existir uma ocorrência ativa (ainda não concluída, indeferida nem finalizada) da mesma categoria a até 70 metros, em linha reta, do local informado, a sua ocorrência é registrada normalmente e agrupada automaticamente à existente; você não precisa fazer nada. Depois do registro, a tela mostra o aviso “Ocorrência agrupada”, com o protocolo da ocorrência que já existia. A prefeitura acompanha as ocorrências agrupadas em conjunto (Seção 5.4), e cada autor continua recebendo as notificações da sua. No mapa da tela inicial, o grupo aparece como um único ponto (Seção 3.1).</w:t>
      </w:r>
    </w:p>
    <w:p>
      <w:pPr>
        <w:pStyle w:val="1447"/>
        <w:pBdr/>
        <w:spacing w:before="240" w:after="240" w:line="360" w:lineRule="auto"/>
        <w:ind/>
        <w:rPr/>
      </w:pPr>
      <w:r/>
      <w:bookmarkStart w:id="14" w:name="_Toc14"/>
      <w:r>
        <w:t xml:space="preserve">3.3 Acompanhar suas ocorrências</w:t>
      </w:r>
      <w:bookmarkEnd w:id="14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Suas ocorrências</w:t>
      </w:r>
      <w:r>
        <w:t xml:space="preserve">: no menu, toque em “Ocorrências” e marque “Minhas ocorrências” para ver apenas o que você registrou. A lista tem ainda a pesquisa por protocolo ou título, os filtros por município e status e o agrupamento por categoria, bairro ou status; por padrão, ela aparece “Sem agrupamento”.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Detalhes</w:t>
      </w:r>
      <w:r>
        <w:t xml:space="preserve">: mostra a foto, o mapa, o status atual, a quantidade de apoios e o </w:t>
      </w:r>
      <w:r>
        <w:rPr>
          <w:b/>
        </w:rPr>
        <w:t xml:space="preserve">Histórico</w:t>
      </w:r>
      <w:r>
        <w:t xml:space="preserve"> completo (cada mudança de status, com data e mensagem da equipe).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E-mail</w:t>
      </w:r>
      <w:r>
        <w:t xml:space="preserve">: você recebe uma mensagem a cada mudança de status, incluindo a mensagem da equipe, quando houver.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Ocorrência anônima</w:t>
      </w:r>
      <w:r>
        <w:t xml:space="preserve">: guarde o </w:t>
      </w:r>
      <w:r>
        <w:rPr>
          <w:b/>
        </w:rPr>
        <w:t xml:space="preserve">código de acompanhamento</w:t>
      </w:r>
      <w:r>
        <w:t xml:space="preserve"> exibido no registro; use o botão “Acompanhar ocorrência anônima” para consultá-la. Se o código de 8 caracteres estiver copiado, o campo já vem preenchido.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Protocolo</w:t>
      </w:r>
      <w:r>
        <w:t xml:space="preserve">: onde quer que o número de protocolo apareça — nos cartões da listagem e da tela inicial, nos detalhes, nas estatísticas e na lista de ocorrências agrupadas —, há ao lado um botão para copiá-lo. O texto dos cartões também pode ser selecionado e copiado; para abrir a ocorrência em uma nova aba, use Ctrl+clique (Cmd+clique no Mac). O protocolo segue o formato FC-AA-XXXXX: as letras FC, o ano com dois dígitos e cinco caracteres sorteados, sem as letras I e O e sem os números 0 e 1, que se confundem ao ditar ou copiar — por exemplo, FC-26-K4T9W.</w:t>
      </w:r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companha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9.37pt;height:295.2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5 – Listagem de ocorrências, com os filtros de busca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15" w:name="_Toc15"/>
      <w:r>
        <w:t xml:space="preserve">3.4 Apoiar uma ocorrência</w:t>
      </w:r>
      <w:bookmarkEnd w:id="15"/>
      <w:r/>
    </w:p>
    <w:p>
      <w:pPr>
        <w:pBdr/>
        <w:spacing w:before="240" w:after="240" w:line="360" w:lineRule="auto"/>
        <w:ind/>
        <w:rPr/>
      </w:pPr>
      <w:r>
        <w:t xml:space="preserve">O apoio funciona como uma curtida: qualquer cidadão com conta pode apoiar qualquer ocorrência, e não apenas as que registrou. Toque em “🤝 Apoiar” no cartão da ocorrência, na listagem, ou na tela de detalhes. O contador de apoios ajuda a prefeitura a priorizar os problemas que afetam mais pessoas. Cada cidadão pode apoiar uma ocorrência apenas uma vez; para desfazer, toque novamente no botão (“Não apoiar”).</w:t>
      </w:r>
    </w:p>
    <w:p>
      <w:pPr>
        <w:pStyle w:val="1447"/>
        <w:pBdr/>
        <w:spacing w:before="240" w:after="240" w:line="360" w:lineRule="auto"/>
        <w:ind/>
        <w:rPr/>
      </w:pPr>
      <w:r/>
      <w:bookmarkStart w:id="16" w:name="_Toc16"/>
      <w:r>
        <w:t xml:space="preserve">3.5 Minha Conta</w:t>
      </w:r>
      <w:bookmarkEnd w:id="16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Dados Pessoais</w:t>
      </w:r>
      <w:r>
        <w:t xml:space="preserve">: edite nome, telefone, CEP, logradouro, número, bairro e município e toque em “Salvar dados”. No telefone e no CEP, digite apenas os números: a máscara é aplicada automaticamente, como em (35) 99999-8888 e 37540-000. O nome aceita apenas letras, espaço, apóstrofo, hífen e ponto.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Alterar Senha</w:t>
      </w:r>
      <w:r>
        <w:t xml:space="preserve">: exige a senha atual e uma nova senha dentro da política de segurança.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Verificação em duas etapas (MFA)</w:t>
      </w:r>
      <w:r>
        <w:t xml:space="preserve">: ative/desative o aplicativo autenticador (QR Code), o código por e-mail ou o código por SMS. A desativação sempre exige o código do método. Se o código estiver copiado, o campo já vem preenchido.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MFA por SMS</w:t>
      </w:r>
      <w:r>
        <w:t xml:space="preserve">: para ativar, toque em “Ativar”, confirme o número do celular (DDD + 9 dígitos, como (35) 99999-8888; telefone fixo não é aceito, e o botão de envio do código só é habilitado com um celular válido) e digite o código de 6 dígitos recebido por SMS. Para desativar, toque em “Desativar” e digite o código enviado ao celular. O botão “Reenviar código” fica disponível a cada 60 segundos, e o número ativo aparece mascarado, como “(35) 9****-1234”. O celular não pode estar vinculado a outra conta. A opção por SMS só aparece quando o envio de SMS está ligado no sistema; enquanto estiver desligado, quem tem apenas o SMS ativo recebe o código por e-mail.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Zona de Perigo — Excluir conta</w:t>
      </w:r>
      <w:r>
        <w:t xml:space="preserve">: remove definitivamente a conta e os dados pessoais (LGPD). Se houver MFA ativo, um código de confirmação é exigido — enviado por e-mail, gerado pelo aplicativo autenticador ou enviado por SMS, conforme os métodos ativos. A janela de confirmação avisa, em destaque: “Esta ação não pode ser desfeita.”</w:t>
      </w:r>
    </w:p>
    <w:p>
      <w:pPr>
        <w:pStyle w:val="1447"/>
        <w:pBdr/>
        <w:spacing w:before="240" w:after="240" w:line="360" w:lineRule="auto"/>
        <w:ind/>
        <w:rPr/>
      </w:pPr>
      <w:r/>
      <w:bookmarkStart w:id="17" w:name="_Toc17"/>
      <w:r>
        <w:t xml:space="preserve">3.6 Contato e Ajuda</w:t>
      </w:r>
      <w:bookmarkEnd w:id="17"/>
      <w:r/>
    </w:p>
    <w:p>
      <w:pPr>
        <w:pBdr/>
        <w:spacing w:before="240" w:after="240" w:line="360" w:lineRule="auto"/>
        <w:ind/>
        <w:rPr/>
      </w:pPr>
      <w:r>
        <w:t xml:space="preserve">Use a página “Contato” para enviar dúvidas, sugestões ou reclamações diretamente à equipe do sistema. A “Central de Ajuda” traz orientações rápidas de uso.</w:t>
      </w:r>
    </w:p>
    <w:p>
      <w:pPr>
        <w:pStyle w:val="1446"/>
        <w:pBdr/>
        <w:spacing w:before="240" w:after="240" w:line="360" w:lineRule="auto"/>
        <w:ind/>
        <w:rPr/>
      </w:pPr>
      <w:r/>
      <w:bookmarkStart w:id="18" w:name="_Toc18"/>
      <w:r>
        <w:t xml:space="preserve">4 PERFIL VISITANTE (SEM CADASTRO)</w:t>
      </w:r>
      <w:bookmarkEnd w:id="18"/>
      <w:r/>
    </w:p>
    <w:p>
      <w:pPr>
        <w:pBdr/>
        <w:spacing w:before="240" w:after="240" w:line="360" w:lineRule="auto"/>
        <w:ind/>
        <w:rPr/>
      </w:pPr>
      <w:r>
        <w:t xml:space="preserve">O Visitante acessa o sistema pelo botão “Entrar como Usuário Anônimo”, sem informar nenhum dado pessoal.</w:t>
      </w:r>
    </w:p>
    <w:p>
      <w:pPr>
        <w:pStyle w:val="1447"/>
        <w:pBdr/>
        <w:spacing w:before="240" w:after="240" w:line="360" w:lineRule="auto"/>
        <w:ind/>
        <w:rPr/>
      </w:pPr>
      <w:r/>
      <w:bookmarkStart w:id="36" w:name="_Toc36"/>
      <w:r>
        <w:t xml:space="preserve">4.1 Escolher o município</w:t>
      </w:r>
      <w:bookmarkEnd w:id="36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Na tela de entrada, toque em “Entrar como Usuário Anônimo”.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O fundo da tela fica desfocado e abre a janela “Qual é o seu município?”. Informe a UF e escolha o município na lista (os municípios do IBGE daquela UF, que se completam enquanto você digita) ou toque em “📍 Usar minha localização” — o sistema tenta localizar você por até 5 segundos.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Toque em “Entrar como anônimo” (ou em “Voltar”, para desistir). O mapa e as listas abrem no município escolhido.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A escolha do município é obrigatória: sem ela, o Visitante não acessa nenhuma tela — ao tentar abrir outra página, o sistema volta à tela de entrada com a janela aberta. O município escolhido é esquecido ao sair do sistema.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37" w:name="_Toc37"/>
      <w:r>
        <w:t xml:space="preserve">4.2 Alterar o município</w:t>
      </w:r>
      <w:bookmarkEnd w:id="37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Na barra do topo, toque no botão com o nome do município e a palavra “Alterar”.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Na janela “Qual é o seu município?”, informe a nova UF e o novo município, ou use a localização, e toque em “Alterar município” (ou em “Cancelar”, para manter o atual).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Para o Visitante, o seletor de município não aparece na tela inicial nem na listagem de ocorrências: a troca é feita apenas por esse botão.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19" w:name="_Toc19"/>
      <w:r>
        <w:t xml:space="preserve">4.3 O que o Visitante pode fazer</w:t>
      </w:r>
      <w:bookmarkEnd w:id="19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Ver o mapa e a lista das ocorrências do município escolhido (sem os dados pessoais dos autores).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Consultar um protocolo ou código de acompanhamento.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Registrar ocorrência anônima — o formulário envia automaticamente como anônima (limite de 3 por dia por dispositivo).</w:t>
      </w:r>
    </w:p>
    <w:p>
      <w:pPr>
        <w:pStyle w:val="1447"/>
        <w:pBdr/>
        <w:spacing w:before="240" w:after="240" w:line="360" w:lineRule="auto"/>
        <w:ind/>
        <w:rPr/>
      </w:pPr>
      <w:r/>
      <w:bookmarkStart w:id="20" w:name="_Toc20"/>
      <w:r>
        <w:t xml:space="preserve">4.4 O que exige conta</w:t>
      </w:r>
      <w:bookmarkEnd w:id="20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Apoiar uma ocorrência — ao tentar, o sistema oferece o login/cadastro.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Registrar ocorrência identificada, editar dados e receber notificações por e-mail.</w:t>
      </w:r>
    </w:p>
    <w:p>
      <w:pPr>
        <w:pStyle w:val="1446"/>
        <w:pBdr/>
        <w:spacing w:before="240" w:after="240" w:line="360" w:lineRule="auto"/>
        <w:ind/>
        <w:rPr/>
      </w:pPr>
      <w:r/>
      <w:bookmarkStart w:id="21" w:name="_Toc21"/>
      <w:r>
        <w:t xml:space="preserve">5 PERFIL FUNCIONÁRIO</w:t>
      </w:r>
      <w:bookmarkEnd w:id="21"/>
      <w:r/>
    </w:p>
    <w:p>
      <w:pPr>
        <w:pBdr/>
        <w:spacing w:before="240" w:after="240" w:line="360" w:lineRule="auto"/>
        <w:ind/>
        <w:rPr/>
      </w:pPr>
      <w:r>
        <w:t xml:space="preserve">O Funcionário da administração pública gerencia as ocorrências do seu município. O acesso exige verificação em duas etapas (MFA).</w:t>
      </w:r>
    </w:p>
    <w:p>
      <w:pPr>
        <w:pStyle w:val="1447"/>
        <w:pBdr/>
        <w:spacing w:before="240" w:after="240" w:line="360" w:lineRule="auto"/>
        <w:ind/>
        <w:rPr/>
      </w:pPr>
      <w:r/>
      <w:bookmarkStart w:id="22" w:name="_Toc22"/>
      <w:r>
        <w:t xml:space="preserve">5.1 Gerenciar ocorrências</w:t>
      </w:r>
      <w:bookmarkEnd w:id="22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Abra a ocorrência na lista ou pelo mapa.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Opcional: escreva uma “Mensagem ao cidadão” — ou toque em uma das mensagens prontas (ex.: “Encaminhada para o setor responsável.”). Ela será enviada por e-mail ao autor junto com a mudança de status e ficará no histórico.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Toque em “▶ Iniciar Atendimento” (Pendente → Em Andamento) ou “✓ Marcar como Concluída” (Em Andamento → Concluída).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Para recusar, toque em “✕ Indeferir Ocorrência” e escreva a justificativa (obrigatória).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Toda mudança de status registra automaticamente quem a fez, a data e a hora — e notifica o autor por e-mail.</w:t>
      </w:r>
      <w:r/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rata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9.37pt;height:295.2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6 – Detalhe da ocorrência, com as ações do perfil Funcionário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23" w:name="_Toc23"/>
      <w:r>
        <w:t xml:space="preserve">5.2 Encaminhar ao departamento responsável</w:t>
      </w:r>
      <w:bookmarkEnd w:id="23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Na tela da ocorrência, toque em “Encaminhar ao departamento responsável”.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Na janela “Para qual departamento responsável?”, marque o departamento — a lista mostra os setores cadastrados no município da ocorrência, com o e-mail de destino; role para ver os demais. Se mais de um setor for responsável, marque todos: cada um recebe o seu e-mail.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Toque em “Encaminhar e iniciar atendimento” (ou “Encaminhar aos N setores e iniciar atendimento”). O sistema envia a cada departamento um e-mail com o protocolo, a categoria, a prioridade, o endereço, o relato e as fotos — sem nenhum dado pessoal do autor.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O e-mail traz ainda os links “Ver o local no mapa” e “Abrir a rota no Google Maps”, o botão “Ver / responder ocorrência” — que dá ao departamento acesso à ocorrência sem conta, por até 30 dias (Seção 8) — e, em “Qualquer dúvida entre em contato:”, o seu e-mail e os dos administradores do município. Cada encaminhamento gera um link novo.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Concluído o envio, a ocorrência passa automaticamente a “Em Andamento” e o histórico registra “Ocorrência encaminhada para departamento responsável”, com o departamento de destino. Se o envio falhar, nada é alterado — tente novamente.</w:t>
      </w:r>
      <w:r/>
    </w:p>
    <w:p>
      <w:pPr>
        <w:pStyle w:val="1448"/>
        <w:pBdr/>
        <w:spacing w:before="240" w:after="240" w:line="360" w:lineRule="auto"/>
        <w:ind/>
        <w:rPr/>
      </w:pPr>
      <w:r/>
      <w:bookmarkStart w:id="38" w:name="_Toc38"/>
      <w:r>
        <w:t xml:space="preserve">5.2.1 Solicitação de conclusão pelo departamento</w:t>
      </w:r>
      <w:bookmarkEnd w:id="38"/>
      <w:r/>
    </w:p>
    <w:p>
      <w:pPr>
        <w:pBdr/>
        <w:spacing w:before="240" w:after="240" w:line="360" w:lineRule="auto"/>
        <w:ind/>
        <w:rPr/>
      </w:pPr>
      <w:r>
        <w:t xml:space="preserve">Terminado o serviço, o departamento pode solicitar a conclusão pelo link do e-mail, enviando uma foto (Seção 8.3). A solicitação não muda o status: ela aparece no Histórico da ocorrência como “Conclusão solicitada — por &lt;departamento&gt;”, visível apenas para a equipe (Funcionário, Administrador e Super Administrador), e quem encaminhou recebe o e-mail “Conclusão solicitada”, com o botão “Abrir ocorrência”.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Abra a ocorrência e localize, no Histórico, o item “Conclusão solicitada”, com a data, o departamento e, se houver, a “Mensagem do departamento”.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Toque em “Ver anexo” para abrir a foto enviada pelo departamento.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Se a foto comprovar o serviço, toque em “✓ Marcar como concluída”. A ocorrência passa a “Concluída”, com a mensagem “Conclusão confirmada (solicitada por &lt;departamento&gt;).”; se “Aplicar a todas as ocorrências agrupadas” estiver marcada, o grupo inteiro é concluído.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Se a foto não convencer, encaminhe a ocorrência de novo ao mesmo departamento (Seção 5.2): é assim que se pede que o serviço seja refeito. O departamento recebe um novo e-mail, com um novo link, e pode enviar outra solicitação.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O botão “✓ Marcar como concluída” aparece apenas na solicitação que ainda vale, enquanto a ocorrência estiver Pendente ou Em Andamento. Reabrir, concluir ou reencaminhar a ocorrência encerra a solicitação pendente; o “Ver anexo” continua disponível no histórico.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24" w:name="_Toc24"/>
      <w:r>
        <w:t xml:space="preserve">5.3 Departamentos</w:t>
      </w:r>
      <w:bookmarkEnd w:id="24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No menu “Administração”, toque em “Departamentos” para ver os setores já cadastrados no seu município, com o nome, o e-mail e o município de cada um.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Para cadastrar, toque em “+ Novo departamento” e informe o nome, o e-mail institucional, a UF e o município. O e-mail é o endereço que receberá as ocorrências encaminhadas.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O nome não pode se repetir dentro do mesmo município, e o e-mail não pode estar em uso por outro departamento. O Funcionário cadastra apenas no seu município; o Administrador, em qualquer um.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25" w:name="_Toc25"/>
      <w:r>
        <w:t xml:space="preserve">5.4 Ocorrências agrupadas (mesmo problema)</w:t>
      </w:r>
      <w:bookmarkEnd w:id="25"/>
      <w:r/>
    </w:p>
    <w:p>
      <w:pPr>
        <w:pBdr/>
        <w:spacing w:before="240" w:after="240" w:line="360" w:lineRule="auto"/>
        <w:ind/>
        <w:rPr/>
      </w:pPr>
      <w:r>
        <w:t xml:space="preserve">Registros do mesmo problema (mesma categoria, a até 70 metros em linha reta) são encadeados automaticamente em um grupo. Na tela de detalhes, a seção “Ocorrências agrupadas” lista todos os protocolos do grupo. Marque “Aplicar a todas as ocorrências agrupadas” antes de mudar o status para atualizar o grupo inteiro de uma vez — todos os autores são notificados. No mapa da tela inicial, o grupo aparece como um único ponto, que se abre em leque ao ser tocado (Seção 3.1).</w:t>
      </w:r>
    </w:p>
    <w:p>
      <w:pPr>
        <w:pStyle w:val="1447"/>
        <w:pBdr/>
        <w:spacing w:before="240" w:after="240" w:line="360" w:lineRule="auto"/>
        <w:ind/>
        <w:rPr/>
      </w:pPr>
      <w:r/>
      <w:bookmarkStart w:id="26" w:name="_Toc26"/>
      <w:r>
        <w:t xml:space="preserve">5.5 Estatísticas</w:t>
      </w:r>
      <w:bookmarkEnd w:id="26"/>
      <w:r/>
    </w:p>
    <w:p>
      <w:pPr>
        <w:pBdr/>
        <w:spacing w:before="240" w:after="240" w:line="360" w:lineRule="auto"/>
        <w:ind/>
        <w:rPr/>
      </w:pPr>
      <w:r>
        <w:t xml:space="preserve">O painel “Estatísticas” traz os indicadores do município. Em “Carga do período” estão os totais por status, a taxa de resolução, o tempo médio até concluir e quantas ocorrências de prioridade alta seguem em aberto. Em “ocorrências em aberto” estão quantas esperam há mais de quinze dias, a que espera há mais tempo e a divisão por tempo de espera (até 3 dias, 4 a 7, 8 a 15 e mais de 15). Por fim, os quadros “Por tipo”, “Por bairro” e “Mais apoiadas” (entre as que seguem em aberto).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Período</w:t>
      </w:r>
      <w:r>
        <w:t xml:space="preserve">: nos campos “De” e “Até”, digite a data no formato dd/mm/aaaa — as barras são inseridas automaticamente. Enquanto a data estiver incompleta, o filtro não é aplicado; uma data que não existe no calendário (por exemplo, 31/02/2026) é indicada com o aviso “Data inválida.”.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Bairro e Tipo</w:t>
      </w:r>
      <w:r>
        <w:t xml:space="preserve">: escolha um bairro ou uma categoria para restringir os números.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Limpar filtros</w:t>
      </w:r>
      <w:r>
        <w:t xml:space="preserve">: volta a mostrar tudo. Os filtros escolhidos ficam salvos no dispositivo para a próxima visita.</w:t>
      </w:r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statistica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9.37pt;height:295.2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7 – Painel de estatísticas das ocorrências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6"/>
        <w:pBdr/>
        <w:spacing w:before="240" w:after="240" w:line="360" w:lineRule="auto"/>
        <w:ind/>
        <w:rPr/>
      </w:pPr>
      <w:r/>
      <w:bookmarkStart w:id="27" w:name="_Toc27"/>
      <w:r>
        <w:t xml:space="preserve">6 PERFIL ADMINISTRADOR DO MUNICÍPIO</w:t>
      </w:r>
      <w:bookmarkEnd w:id="27"/>
      <w:r/>
    </w:p>
    <w:p>
      <w:pPr>
        <w:pBdr/>
        <w:spacing w:before="240" w:after="240" w:line="360" w:lineRule="auto"/>
        <w:ind/>
        <w:rPr/>
      </w:pPr>
      <w:r>
        <w:t xml:space="preserve">O Administrador do município tem todas as funções do Funcionário e ainda administra as contas do seu município. O seu alcance termina na divisa: ocorrências, departamentos e contas de outro município não aparecem para ele.</w:t>
      </w:r>
    </w:p>
    <w:p>
      <w:pPr>
        <w:pStyle w:val="1447"/>
        <w:pBdr/>
        <w:spacing w:before="240" w:after="240" w:line="360" w:lineRule="auto"/>
        <w:ind/>
        <w:rPr/>
      </w:pPr>
      <w:r/>
      <w:bookmarkStart w:id="28" w:name="_Toc28"/>
      <w:r>
        <w:t xml:space="preserve">6.1 Gestão de usuários</w:t>
      </w:r>
      <w:bookmarkEnd w:id="28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Cadastrar funcionários: menu “Criar Usuário” — informe nome, e-mail e senha inicial. O município já vem preenchido com o seu e não pode ser alterado; o perfil disponível é apenas “Funcionário”.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Listar usuários: menu “Usuários” — mostra as contas do seu município (inclusive as inativas), com perfil, município e situação. Acima da lista, pesquise por nome ou e-mail e filtre por perfil, município e situação (“Ativas e inativas”, “Somente ativas”, “Somente inativas”); “Limpar” desfaz os filtros.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Ativar/Inativar</w:t>
      </w:r>
      <w:r>
        <w:t xml:space="preserve">: bloqueia ou restaura o acesso de qualquer usuário sem excluir os dados. Usuários inativos não conseguem entrar. Se o usuário for inativado ou excluído enquanto estiver conectado, ele é desconectado em até 30 segundos, com o aviso “Sessão encerrada”.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Alterar perfil</w:t>
      </w:r>
      <w:r>
        <w:t xml:space="preserve">: na coluna “Perfil”, escolha o novo perfil da conta e toque em “Salvar”, que aparece ao lado.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Excluir conta</w:t>
      </w:r>
      <w:r>
        <w:t xml:space="preserve">: o botão “Excluir” aparece apenas nas contas inativas. Confira, na janela “Excluir conta”, o nome e o e-mail e toque em “Excluir conta” (ou em “Cancelar”). Como a janela avisa, “Esta ação não pode ser desfeita.”</w:t>
      </w:r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suario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9.37pt;height:295.2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8 – Gestão de contas de usuário do município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29" w:name="_Toc29"/>
      <w:r>
        <w:t xml:space="preserve">6.2 Visão geral</w:t>
      </w:r>
      <w:bookmarkEnd w:id="29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Acesso às ocorrências, aos departamentos e às contas do seu município.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Dashboards e relatórios gerenciais para decisão estratégica.</w:t>
      </w:r>
    </w:p>
    <w:p>
      <w:pPr>
        <w:pStyle w:val="1447"/>
        <w:pBdr/>
        <w:spacing w:before="240" w:after="240" w:line="360" w:lineRule="auto"/>
        <w:ind/>
        <w:rPr/>
      </w:pPr>
      <w:r/>
      <w:bookmarkStart w:id="45" w:name="_Toc45"/>
      <w:r>
        <w:t xml:space="preserve">6.3 Logs</w:t>
      </w:r>
      <w:bookmarkEnd w:id="45"/>
      <w:r/>
    </w:p>
    <w:p>
      <w:pPr>
        <w:pBdr/>
        <w:spacing w:before="240" w:after="240" w:line="360" w:lineRule="auto"/>
        <w:ind/>
        <w:rPr/>
      </w:pPr>
      <w:r>
        <w:t xml:space="preserve">No menu “Administração”, a tela “Logs” mostra as contas criadas e excluídas pela administração e as ocorrências excluídas pelo Super Administrador (Seção 7.3). Cada linha traz a data e a hora, a ação (“Criação” ou “Exclusão”), quem fez, a conta ou a ocorrência (protocolo e título), o perfil e o município.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Filtros</w:t>
      </w:r>
      <w:r>
        <w:t xml:space="preserve">: pesquise por nome, e-mail ou protocolo e filtre por ação (“Criações e exclusões”, “Somente criações”, “Somente exclusões”), por perfil e por período; o Super Administrador filtra também por município. “Limpar” desfaz os filtros.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O Administrador do município vê o que os administradores do seu município fizeram; o que um Super Administrador fez aparece apenas para Super Administradores. Quando a conta já foi excluída, a linha mostra “Conta excluída” no lugar do nome.</w:t>
      </w:r>
      <w:r/>
    </w:p>
    <w:p>
      <w:pPr>
        <w:pStyle w:val="1446"/>
        <w:pBdr/>
        <w:spacing w:before="240" w:after="240" w:line="360" w:lineRule="auto"/>
        <w:ind/>
        <w:rPr/>
      </w:pPr>
      <w:r/>
      <w:bookmarkStart w:id="30" w:name="_Toc30"/>
      <w:r>
        <w:t xml:space="preserve">7 PERFIL SUPER ADMINISTRADOR</w:t>
      </w:r>
      <w:bookmarkEnd w:id="30"/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 Super Administrador cuida do sistema como um todo e não está preso a nenhum município. É o perfil que habilita um novo município: cria o administrador dele, define o município que ele vai cuidar e acompanha o funcionamento geral.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31" w:name="_Toc31"/>
      <w:r>
        <w:t xml:space="preserve">7.1 Criar administradores e super administradores</w:t>
      </w:r>
      <w:bookmarkEnd w:id="31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No menu “Administração”, toque em “Criar Usuário”.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Escolha o perfil: “Funcionário”, “Administrador do município” ou “Super Administrador”.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Para funcionário e administrador, informe a UF e o município — é ele que define o que a conta vai enxergar e atender. O Super Administrador não tem município, e os campos somem do formulário.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Toda conta criada configura a verificação em duas etapas no primeiro acesso.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32" w:name="_Toc32"/>
      <w:r>
        <w:t xml:space="preserve">7.2 Alcance do Super Administrador</w:t>
      </w:r>
      <w:bookmarkEnd w:id="32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Vê e trata as ocorrências de todos os municípios atendidos.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Vê e cadastra departamentos de qualquer município.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Administra todas as contas, inclusive as de administrador e as de outro Super Administrador.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35" w:name="_Toc35"/>
      <w:r>
        <w:t xml:space="preserve">7.3 Excluir ocorrência</w:t>
      </w:r>
      <w:bookmarkEnd w:id="35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Na listagem de ocorrências, toque em “Excluir”, no cartão da ocorrência, ou em “🗑 Excluir Ocorrência”, na tela de detalhes. O botão aparece apenas para o Super Administrador.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Se a ocorrência não tiver agrupadas, confira, na janela “Excluir ocorrência”, o protocolo e o título e toque em “Excluir ocorrência” (ou em “Cancelar”, para desistir).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Se a ocorrência tiver agrupadas, a janela lista todas as ocorrências do grupo — o protocolo (o link abre a ocorrência em uma nova aba), o título, o status e a última mensagem do histórico —, cada uma com uma caixa de seleção. A ocorrência em que você tocou já vem marcada e indicada como “(atual)”. Toque na linha para marcar ou desmarcar, ou use “Selecionar todas” / “Desmarcar todas”, e toque em “Excluir N ocorrências”.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Na janela “Confirmar exclusão”, confira os protocolos que serão excluídos e toque em “Sim, excluir” (ou em “Voltar”, para rever a seleção).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Cada ocorrência excluída passa ao status “Finalizada” (selo preto), e o histórico registra “Ocorrência excluída pelo Super Administrador.”. As fotos são apagadas — inclusive a foto enviada pelo departamento na solicitação de conclusão —, e cada autor identificado recebe um e-mail informando que a ocorrência foi excluída pela administração. Como as janelas avisam, em destaque (“Esta ação não pode ser desfeita.”), a ação não pode ser desfeita: a ocorrência finalizada não pode ser reaberta nem ter o status alterado.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A ocorrência finalizada deixa de aparecer para todos os outros perfis — Administrador, Funcionário, Cidadão (inclusive o próprio autor, na sua lista de ocorrências) e Visitante —, também na consulta pelo protocolo ou pelo código de acompanhamento. Somente o Super Administrador continua a vê-la na listagem, no mapa e nas estatísticas, e pode filtrá-la pelo status “Finalizada”.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A exclusão fica registrada na tela “Logs” (menu “Administração”), que mostra, além das contas criadas e excluídas, as ocorrências excluídas (finalizadas): quem excluiu, o protocolo, o título e o município. Essas linhas aparecem apenas para o Super Administrador.</w:t>
      </w:r>
      <w:r/>
    </w:p>
    <w:p>
      <w:pPr>
        <w:pStyle w:val="1446"/>
        <w:pBdr/>
        <w:spacing w:before="240" w:after="240" w:line="360" w:lineRule="auto"/>
        <w:ind/>
        <w:rPr/>
      </w:pPr>
      <w:r/>
      <w:bookmarkStart w:id="39" w:name="_Toc39"/>
      <w:r>
        <w:t xml:space="preserve">8 FUNCIONÁRIO DO DEPARTAMENTO</w:t>
      </w:r>
      <w:bookmarkEnd w:id="39"/>
      <w:r/>
    </w:p>
    <w:p>
      <w:pPr>
        <w:pBdr/>
        <w:spacing w:before="240" w:after="240" w:line="360" w:lineRule="auto"/>
        <w:ind/>
        <w:rPr/>
      </w:pPr>
      <w:r>
        <w:t xml:space="preserve">O funcionário do departamento — o setor da prefeitura responsável pelo serviço, como obras ou iluminação pública — não precisa de conta no Fala, Cidade!. Cada ocorrência encaminhada pela equipe do município (Seção 5.2) chega ao e-mail institucional do departamento, e o link desse e-mail dá acesso à ocorrência e permite informar que o serviço foi feito.</w:t>
      </w:r>
    </w:p>
    <w:p>
      <w:pPr>
        <w:pStyle w:val="1447"/>
        <w:pBdr/>
        <w:spacing w:before="240" w:after="240" w:line="360" w:lineRule="auto"/>
        <w:ind/>
        <w:rPr/>
      </w:pPr>
      <w:r/>
      <w:bookmarkStart w:id="40" w:name="_Toc40"/>
      <w:r>
        <w:t xml:space="preserve">8.1 Abrir a ocorrência pelo e-mail</w:t>
      </w:r>
      <w:bookmarkEnd w:id="40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Abra o e-mail “Fala, Cidade! – Ocorrência &lt;protocolo&gt; encaminhada”. Ele traz o protocolo, a categoria, a prioridade, a data de registro, o endereço, o relato do cidadão e as fotos em anexo, com rostos e placas desfocados.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Para ir até o local, use o link “Abrir a rota no Google Maps” — no celular, a rota abre direto no aplicativo — ou “Ver o local no mapa”.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Toque no botão “Ver / responder ocorrência”. A página da ocorrência abre no navegador, sem login nem senha.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O link dá acesso apenas às ocorrências daquele encaminhamento e vale enquanto a ocorrência estiver aberta (Pendente ou Em Andamento), por no máximo 30 dias. Não o repasse para fora do departamento. Cada novo encaminhamento chega em um novo e-mail, com um link novo.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Dúvidas sobre o serviço: escreva para os endereços indicados no fim do e-mail, em “Qualquer dúvida entre em contato:” — o de quem encaminhou e os dos administradores do município.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41" w:name="_Toc41"/>
      <w:r>
        <w:t xml:space="preserve">8.2 O que a página mostra</w:t>
      </w:r>
      <w:bookmarkEnd w:id="41"/>
      <w:r/>
    </w:p>
    <w:p>
      <w:pPr>
        <w:pBdr/>
        <w:spacing w:before="240" w:after="240" w:line="360" w:lineRule="auto"/>
        <w:ind/>
        <w:rPr/>
      </w:pPr>
      <w:r>
        <w:t xml:space="preserve">No topo, a página indica o departamento (“Departamento: &lt;nome&gt;”). Em seguida vem a ocorrência encaminhada: o protocolo, com o botão de copiar, o status, o título, a categoria, o endereço, o link “Abrir a rota no Google Maps”, o relato e as fotos. Mais abaixo aparecem: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Ocorrências agrupadas</w:t>
      </w:r>
      <w:r>
        <w:t xml:space="preserve">: quando outras pessoas registraram o mesmo problema no mesmo local, a lista mostra o protocolo, o título e o status de cada ocorrência do grupo; toque em uma delas para abri-la na mesma página.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Histórico</w:t>
      </w:r>
      <w:r>
        <w:t xml:space="preserve">: cada mudança de status, com a data e a hora, e a nota de cada encaminhamento.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Privacidade (LGPD): a página não mostra dados pessoais — nem o nome ou o e-mail de quem registrou a ocorrência, nem quem fez cada trâmite, nem as mensagens que a equipe da prefeitura escreveu ao cidadão.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42" w:name="_Toc42"/>
      <w:r>
        <w:t xml:space="preserve">8.3 Solicitar a conclusão</w:t>
      </w:r>
      <w:bookmarkEnd w:id="42"/>
      <w:r/>
    </w:p>
    <w:p>
      <w:pPr>
        <w:pBdr/>
        <w:spacing w:before="240" w:after="240" w:line="360" w:lineRule="auto"/>
        <w:ind/>
        <w:rPr/>
      </w:pPr>
      <w:r>
        <w:t xml:space="preserve">Terminado o serviço, informe a prefeitura pela própria página: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Toque em “Solicitar conclusão”.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Na janela, toque em “Escolher ou tirar foto” e anexe uma foto do serviço feito — ela é obrigatória. No celular, a câmera pode ser aberta direto. A prévia aparece na janela; para substituí-la, toque em “Trocar foto”.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Se desejar, escreva uma mensagem no campo “Mensagem (opcional)” — por exemplo: “buraco tapado e asfalto refeito.”.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Toque em “Enviar solicitação” (ou em “Cancelar”, para desistir). O sistema confirma: “Solicitação enviada. A prefeitura vai conferir e concluir a ocorrência.”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Privacidade (LGPD): a foto passa pela mesma verificação das fotos das ocorrências — rostos e placas são desfocados automaticamente, e uma foto reprovada é recusada, com o motivo. Nesse caso, tire outra foto e envie de novo.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43" w:name="_Toc43"/>
      <w:r>
        <w:t xml:space="preserve">8.4 Depois do envio</w:t>
      </w:r>
      <w:bookmarkEnd w:id="43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O status da ocorrência não muda. A solicitação entra no histórico visível apenas para a equipe da prefeitura (Seção 5.2.1), e quem encaminhou recebe o e-mail “Conclusão solicitada”.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No lugar do botão, a página passa a mostrar “Conclusão solicitada em dd/mm/aaaa hh:mm — aguardando a prefeitura confirmar.”. Enquanto isso, não é possível enviar outra solicitação.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Se a prefeitura aprovar a foto, a ocorrência passa a “Concluída”. Quando todas as ocorrências do grupo estiverem encerradas, o acesso pelo link termina.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Se o serviço precisar ser refeito, a prefeitura encaminha a ocorrência de novo ao departamento: chega um novo e-mail, com um novo link, e uma nova solicitação pode ser enviada.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Se a prefeitura reabrir ou concluir a ocorrência por conta própria, a solicitação pendente é encerrada.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44" w:name="_Toc44"/>
      <w:r>
        <w:t xml:space="preserve">8.5 Mensagens de aviso</w:t>
      </w:r>
      <w:bookmarkEnd w:id="44"/>
      <w:r/>
    </w:p>
    <w:p>
      <w:pPr>
        <w:pBdr/>
        <w:spacing w:before="240" w:after="240" w:line="360" w:lineRule="auto"/>
        <w:ind/>
        <w:rPr/>
      </w:pPr>
      <w:r>
        <w:t xml:space="preserve">Se algo impedir o acesso ou o envio, a página mostra um aviso, e nada é gravado: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“Link inválido ou expirado. Peça um novo encaminhamento.”</w:t>
      </w:r>
      <w:r>
        <w:t xml:space="preserve">: o link está incompleto, foi alterado ou passou do prazo de 30 dias. Peça à prefeitura que encaminhe a ocorrência de novo.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“Esta ocorrência foi encerrada; o acesso do departamento terminou.”</w:t>
      </w:r>
      <w:r>
        <w:t xml:space="preserve">: todas as ocorrências do grupo já foram concluídas, indeferidas ou excluídas. Não há mais nada a fazer pelo link.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“Ocorrência não encontrada.”</w:t>
      </w:r>
      <w:r>
        <w:t xml:space="preserve">: a ocorrência pedida não faz parte do encaminhamento.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“Esta ocorrência não está mais aberta.”</w:t>
      </w:r>
      <w:r>
        <w:t xml:space="preserve">: a ocorrência foi concluída ou indeferida antes do envio da solicitação.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“Já existe uma solicitação aguardando confirmação da prefeitura.”</w:t>
      </w:r>
      <w:r>
        <w:t xml:space="preserve">: o departamento já enviou uma solicitação — inclusive quando duas pessoas enviam ao mesmo tempo — e a prefeitura ainda não respondeu.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“Envie uma foto do serviço feito.”</w:t>
      </w:r>
      <w:r>
        <w:t xml:space="preserve">: o arquivo escolhido não é uma imagem. Escolha uma foto e envie de novo.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“Não foi possível processar a foto. Confira se é uma imagem válida e tente de novo.”</w:t>
      </w:r>
      <w:r>
        <w:t xml:space="preserve">: a foto não pôde ser lida. Tente de novo ou escolha outra foto.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Foto recusada</w:t>
      </w:r>
      <w:r>
        <w:t xml:space="preserve">: a foto não passou na verificação automática, e o aviso informa o motivo. Tire outra foto e envie de novo.</w:t>
      </w:r>
    </w:p>
    <w:p>
      <w:pPr>
        <w:pStyle w:val="1446"/>
        <w:pBdr/>
        <w:spacing w:before="240" w:after="240" w:line="360" w:lineRule="auto"/>
        <w:ind/>
        <w:rPr/>
      </w:pPr>
      <w:r/>
      <w:bookmarkStart w:id="33" w:name="_Toc33"/>
      <w:r>
        <w:t xml:space="preserve">9 PERGUNTAS FREQUENTES</w:t>
      </w:r>
      <w:bookmarkEnd w:id="33"/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Não recebi o e-mail do sistema. </w:t>
      </w:r>
      <w:r>
        <w:t xml:space="preserve">Verifique a caixa de spam/lixo eletrônico e confirme se o e-mail cadastrado está correto.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Perdi o código da minha ocorrência anônima. </w:t>
      </w:r>
      <w:r>
        <w:t xml:space="preserve">Por proteção do anonimato, não é possível recuperá-lo. Registre uma nova ocorrência, se necessário.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Posso apagar uma ocorrência que registrei? </w:t>
      </w:r>
      <w:r>
        <w:t xml:space="preserve">Não pela tela — use a página de Contato para solicitar a exclusão à equipe. Somente o Super Administrador pode excluir ocorrências (Seção 7.3): a ocorrência excluída passa ao status “Finalizada”, deixa de aparecer em “Minhas Ocorrências” e você recebe um e-mail avisando.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Posso registrar uma ocorrência em outra cidade? Pode. O que vale é o endereço da ocorrência, e não o município do seu cadastro: quem mora em Santa Rita do Sapucaí pode registrar um problema em Itajubá, e quem atende é a equipe de Itajubá.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Por que o navegador pede minha localização na tela de entrada? Apenas para abrir o mapa no município onde você está. Recusar não impede nada: você continua vendo as ocorrências de todos os municípios e pode escolher o município na tela inicial. Para o Visitante, o município é escolhido na entrada (Seção 4.1).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Minha foto ficou desfocada. </w:t>
      </w:r>
      <w:r>
        <w:t xml:space="preserve">O desfoque de rostos e de textos (como placas) é automático, exigido pela LGPD. Se a foto inteira ficou borrada (sem nitidez), o sistema pode rejeitá-la em categorias críticas — tire outra foto com melhor foco.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 mapa não encontra meu endereço. </w:t>
      </w:r>
      <w:r>
        <w:t xml:space="preserve">Toque diretamente no ponto do mapa: o endereço é preenchido automaticamente a partir do local tocado.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 link do departamento parou de funcionar. </w:t>
      </w:r>
      <w:r>
        <w:t xml:space="preserve">O link vale enquanto a ocorrência estiver aberta, por até 30 dias. Se a página mostrar “Link inválido ou expirado”, peça à prefeitura um novo encaminhamento (Seção 8.5).</w:t>
      </w:r>
    </w:p>
    <w:p>
      <w:pPr>
        <w:pStyle w:val="1446"/>
        <w:pBdr/>
        <w:spacing w:before="240" w:after="240" w:line="360" w:lineRule="auto"/>
        <w:ind/>
        <w:rPr/>
      </w:pPr>
      <w:r/>
      <w:bookmarkStart w:id="34" w:name="_Toc34"/>
      <w:r>
        <w:t xml:space="preserve">10 SUPORTE</w:t>
      </w:r>
      <w:bookmarkEnd w:id="34"/>
      <w:r/>
    </w:p>
    <w:p>
      <w:pPr>
        <w:pBdr/>
        <w:spacing w:before="240" w:after="240" w:line="360" w:lineRule="auto"/>
        <w:ind/>
        <w:rPr/>
      </w:pPr>
      <w:r>
        <w:t xml:space="preserve">Dúvidas, sugestões ou problemas: use a página </w:t>
      </w:r>
      <w:r>
        <w:rPr>
          <w:b/>
        </w:rPr>
        <w:t xml:space="preserve">Contato</w:t>
      </w:r>
      <w:r>
        <w:t xml:space="preserve"> dentro do sistema ou escreva para </w:t>
      </w:r>
      <w:r>
        <w:rPr>
          <w:b/>
        </w:rPr>
        <w:t xml:space="preserve">fala.cidade.faitec@gmail.com</w:t>
      </w:r>
      <w:r>
        <w:t xml:space="preserve">.</w:t>
      </w:r>
    </w:p>
    <w:p>
      <w:pPr>
        <w:pBdr/>
        <w:spacing w:before="240" w:after="240" w:line="360" w:lineRule="auto"/>
        <w:ind/>
        <w:rPr/>
      </w:pPr>
      <w:r>
        <w:t xml:space="preserve">Equipe Fala, Cidade! — Santa Rita do Sapucaí, MG.</w:t>
      </w:r>
    </w:p>
    <w:sectPr>
      <w:headerReference w:type="default" r:id="rId11"/>
      <w:headerReference w:type="even" r:id="rId12"/>
      <w:headerReference w:type="first" r:id="rId13"/>
      <w:footnotePr/>
      <w:endnotePr/>
      <w:type w:val="nextPage"/>
      <w:pgSz w:h="16840" w:orient="portrait" w:w="11907"/>
      <w:pgMar w:top="1701" w:right="1134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ahoma">
    <w:panose1 w:val="020B0606030804020204"/>
  </w:font>
  <w:font w:name="INKKGO+TimesNewRoman">
    <w:panose1 w:val="05040102010807070707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56"/>
      <w:pBdr/>
      <w:spacing/>
      <w:ind/>
      <w:jc w:val="right"/>
      <w:rPr/>
    </w:pPr>
    <w:r/>
    <w:sdt>
      <w:sdtPr>
        <w15:appearance w15:val="boundingBox"/>
        <w:id w:val="245571573"/>
        <w:docPartObj>
          <w:docPartGallery w:val="Page Numbers (Top of Page)"/>
          <w:docPartUnique w:val="true"/>
        </w:docPartObj>
        <w:rPr/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ii</w:t>
        </w:r>
        <w:r>
          <w:fldChar w:fldCharType="end"/>
        </w:r>
      </w:sdtContent>
    </w:sdt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  <w:p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36437513"/>
      <w:docPartObj>
        <w:docPartGallery w:val="Page Numbers (Top of Page)"/>
        <w:docPartUnique w:val="true"/>
      </w:docPartObj>
      <w:rPr/>
    </w:sdtPr>
    <w:sdtContent>
      <w:p>
        <w:pPr>
          <w:pStyle w:val="1456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4</w:t>
        </w:r>
        <w:r>
          <w:fldChar w:fldCharType="end"/>
        </w:r>
        <w:r/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56"/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5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10727FD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2">
    <w:nsid w:val="14EC4CF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/>
      <w:start w:val="1"/>
      <w:suff w:val="tab"/>
    </w:lvl>
  </w:abstractNum>
  <w:abstractNum w:abstractNumId="3">
    <w:nsid w:val="1862130C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4">
    <w:nsid w:val="19F3483E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5">
    <w:nsid w:val="1FD13A6F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6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6">
    <w:nsid w:val="27540B40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C8232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4E26EA6"/>
    <w:lvl w:ilvl="0">
      <w:isLgl w:val="false"/>
      <w:lvlJc w:val="left"/>
      <w:lvlText w:val="%1."/>
      <w:numFmt w:val="decimal"/>
      <w:pPr>
        <w:pBdr/>
        <w:tabs>
          <w:tab w:val="num" w:leader="none" w:pos="840"/>
        </w:tabs>
        <w:spacing/>
        <w:ind w:hanging="480" w:left="84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800"/>
        </w:tabs>
        <w:spacing/>
        <w:ind w:hanging="720" w:left="180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2520"/>
        </w:tabs>
        <w:spacing/>
        <w:ind w:hanging="720" w:left="25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600"/>
        </w:tabs>
        <w:spacing/>
        <w:ind w:hanging="1080" w:left="360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680"/>
        </w:tabs>
        <w:spacing/>
        <w:ind w:hanging="1440" w:left="46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400"/>
        </w:tabs>
        <w:spacing/>
        <w:ind w:hanging="1440" w:left="540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6480"/>
        </w:tabs>
        <w:spacing/>
        <w:ind w:hanging="1800" w:left="64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7560"/>
        </w:tabs>
        <w:spacing/>
        <w:ind w:hanging="2160" w:left="75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8280"/>
        </w:tabs>
        <w:spacing/>
        <w:ind w:hanging="2160" w:left="8280"/>
      </w:pPr>
      <w:rPr>
        <w:rFonts w:hint="default"/>
      </w:rPr>
      <w:start w:val="1"/>
      <w:suff w:val="tab"/>
    </w:lvl>
  </w:abstractNum>
  <w:abstractNum w:abstractNumId="9">
    <w:nsid w:val="39F52A64"/>
    <w:lvl w:ilvl="0">
      <w:isLgl w:val="false"/>
      <w:lvlJc w:val="left"/>
      <w:lvlText w:val=""/>
      <w:numFmt w:val="bullet"/>
      <w:pPr>
        <w:pBdr/>
        <w:tabs>
          <w:tab w:val="num" w:leader="none" w:pos="644"/>
        </w:tabs>
        <w:spacing/>
        <w:ind w:hanging="360" w:left="644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3EB02082"/>
    <w:lvl w:ilvl="0">
      <w:isLgl w:val="false"/>
      <w:lvlJc w:val="left"/>
      <w:lvlText w:val="%1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</w:rPr>
      <w:start w:val="7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</w:abstractNum>
  <w:abstractNum w:abstractNumId="11">
    <w:nsid w:val="43F26983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2160"/>
        </w:tabs>
        <w:spacing/>
        <w:ind w:hanging="2160" w:left="2160"/>
      </w:pPr>
      <w:rPr>
        <w:rFonts w:hint="default"/>
      </w:rPr>
      <w:start w:val="1"/>
      <w:suff w:val="tab"/>
    </w:lvl>
  </w:abstractNum>
  <w:abstractNum w:abstractNumId="12">
    <w:nsid w:val="5F2F46EB"/>
    <w:lvl w:ilvl="0">
      <w:isLgl w:val="false"/>
      <w:lvlJc w:val="left"/>
      <w:lvlText w:val="%1."/>
      <w:numFmt w:val="decimal"/>
      <w:pPr>
        <w:pBdr/>
        <w:tabs>
          <w:tab w:val="num" w:leader="none" w:pos="840"/>
        </w:tabs>
        <w:spacing/>
        <w:ind w:hanging="480" w:left="84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800"/>
        </w:tabs>
        <w:spacing/>
        <w:ind w:hanging="720" w:left="180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2520"/>
        </w:tabs>
        <w:spacing/>
        <w:ind w:hanging="720" w:left="25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600"/>
        </w:tabs>
        <w:spacing/>
        <w:ind w:hanging="1080" w:left="360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680"/>
        </w:tabs>
        <w:spacing/>
        <w:ind w:hanging="1440" w:left="46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400"/>
        </w:tabs>
        <w:spacing/>
        <w:ind w:hanging="1440" w:left="540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6480"/>
        </w:tabs>
        <w:spacing/>
        <w:ind w:hanging="1800" w:left="64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7560"/>
        </w:tabs>
        <w:spacing/>
        <w:ind w:hanging="2160" w:left="75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8280"/>
        </w:tabs>
        <w:spacing/>
        <w:ind w:hanging="2160" w:left="8280"/>
      </w:pPr>
      <w:rPr>
        <w:rFonts w:hint="default"/>
      </w:rPr>
      <w:start w:val="1"/>
      <w:suff w:val="tab"/>
    </w:lvl>
  </w:abstractNum>
  <w:abstractNum w:abstractNumId="13">
    <w:nsid w:val="634472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4">
    <w:nsid w:val="729A5C18"/>
    <w:lvl w:ilvl="0">
      <w:isLgl w:val="false"/>
      <w:lvlJc w:val="left"/>
      <w:lvlText w:val=""/>
      <w:numFmt w:val="bullet"/>
      <w:pPr>
        <w:pBdr/>
        <w:tabs>
          <w:tab w:val="num" w:leader="none" w:pos="644"/>
        </w:tabs>
        <w:spacing/>
        <w:ind w:hanging="360" w:left="644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2"/>
  </w:num>
  <w:num w:numId="2">
    <w:abstractNumId w:val="13"/>
  </w:num>
  <w:num w:numId="3">
    <w:abstractNumId w:val="11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12"/>
  </w:num>
  <w:num w:numId="9">
    <w:abstractNumId w:val="3"/>
  </w:num>
  <w:num w:numId="10">
    <w:abstractNumId w:val="0"/>
  </w:num>
  <w:num w:numId="11">
    <w:abstractNumId w:val="10"/>
  </w:num>
  <w:num w:numId="12">
    <w:abstractNumId w:val="9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updateFields w:val="true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Times New Roman" w:cs="Times New Roman"/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14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4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4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4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4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4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4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4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4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4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Times New Roman" w:hAnsi="Times New Roman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Times New Roman" w:hAnsi="Times New Roman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Times New Roman" w:hAnsi="Times New Roman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Times New Roman" w:hAnsi="Times New Roman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Times New Roman" w:hAnsi="Times New Roman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Times New Roman" w:hAnsi="Times New Roman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Times New Roman" w:hAnsi="Times New Roman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Times New Roman" w:hAnsi="Times New Roman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Times New Roman" w:hAnsi="Times New Roman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Times New Roman" w:hAnsi="Times New Roman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Times New Roman" w:hAnsi="Times New Roman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Times New Roman" w:hAnsi="Times New Roman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Times New Roman" w:hAnsi="Times New Roman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Times New Roman" w:hAnsi="Times New Roman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Times New Roman" w:hAnsi="Times New Roman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Times New Roman" w:hAnsi="Times New Roman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Times New Roman" w:hAnsi="Times New Roman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Times New Roman" w:hAnsi="Times New Roman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Times New Roman" w:hAnsi="Times New Roman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Times New Roman" w:hAnsi="Times New Roman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Times New Roman" w:hAnsi="Times New Roman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Times New Roman" w:hAnsi="Times New Roman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Times New Roman" w:hAnsi="Times New Roman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Times New Roman" w:hAnsi="Times New Roman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Times New Roman" w:hAnsi="Times New Roman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Times New Roman" w:hAnsi="Times New Roman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Times New Roman" w:hAnsi="Times New Roman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Times New Roman" w:hAnsi="Times New Roman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Times New Roman" w:hAnsi="Times New Roman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Times New Roman" w:hAnsi="Times New Roman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Times New Roman" w:hAnsi="Times New Roman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Times New Roman" w:hAnsi="Times New Roman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Times New Roman" w:hAnsi="Times New Roman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Times New Roman" w:hAnsi="Times New Roman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Times New Roman" w:hAnsi="Times New Roman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Times New Roman" w:hAnsi="Times New Roman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Times New Roman" w:hAnsi="Times New Roman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Times New Roman" w:hAnsi="Times New Roman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Times New Roman" w:hAnsi="Times New Roman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Times New Roman" w:hAnsi="Times New Roman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Times New Roman" w:hAnsi="Times New Roman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Times New Roman" w:hAnsi="Times New Roman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Times New Roman" w:hAnsi="Times New Roman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Times New Roman" w:hAnsi="Times New Roman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Times New Roman" w:hAnsi="Times New Roman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Times New Roman" w:hAnsi="Times New Roman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Times New Roman" w:hAnsi="Times New Roman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1445"/>
    <w:next w:val="144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Times New Roman" w:hAnsi="Times New Roman" w:eastAsia="Arial" w:cs="Times New Roman"/>
      <w:i/>
      <w:iCs/>
      <w:color w:val="0f4761" w:themeColor="accent1" w:themeShade="BF"/>
    </w:rPr>
  </w:style>
  <w:style w:type="paragraph" w:styleId="143">
    <w:name w:val="Heading 5"/>
    <w:basedOn w:val="1445"/>
    <w:next w:val="144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Times New Roman" w:hAnsi="Times New Roman" w:eastAsia="Arial" w:cs="Times New Roman"/>
      <w:color w:val="0f4761" w:themeColor="accent1" w:themeShade="BF"/>
    </w:rPr>
  </w:style>
  <w:style w:type="paragraph" w:styleId="144">
    <w:name w:val="Heading 6"/>
    <w:basedOn w:val="1445"/>
    <w:next w:val="144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Times New Roman" w:hAnsi="Times New Roman" w:eastAsia="Arial" w:cs="Times New Roman"/>
      <w:i/>
      <w:iCs/>
      <w:color w:val="595959" w:themeColor="text1" w:themeTint="A6"/>
    </w:rPr>
  </w:style>
  <w:style w:type="paragraph" w:styleId="145">
    <w:name w:val="Heading 7"/>
    <w:basedOn w:val="1445"/>
    <w:next w:val="144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Times New Roman" w:hAnsi="Times New Roman" w:eastAsia="Arial" w:cs="Times New Roman"/>
      <w:color w:val="595959" w:themeColor="text1" w:themeTint="A6"/>
    </w:rPr>
  </w:style>
  <w:style w:type="paragraph" w:styleId="146">
    <w:name w:val="Heading 8"/>
    <w:basedOn w:val="1445"/>
    <w:next w:val="144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Times New Roman" w:hAnsi="Times New Roman" w:eastAsia="Arial" w:cs="Times New Roman"/>
      <w:i/>
      <w:iCs/>
      <w:color w:val="272727" w:themeColor="text1" w:themeTint="D8"/>
    </w:rPr>
  </w:style>
  <w:style w:type="paragraph" w:styleId="147">
    <w:name w:val="Heading 9"/>
    <w:basedOn w:val="1445"/>
    <w:next w:val="144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Times New Roman" w:hAnsi="Times New Roman" w:eastAsia="Arial" w:cs="Times New Roman"/>
      <w:i/>
      <w:iCs/>
      <w:color w:val="272727" w:themeColor="text1" w:themeTint="D8"/>
    </w:rPr>
  </w:style>
  <w:style w:type="character" w:styleId="150">
    <w:name w:val="Heading 1 Char"/>
    <w:basedOn w:val="1449"/>
    <w:link w:val="1446"/>
    <w:uiPriority w:val="9"/>
    <w:pPr>
      <w:pBdr/>
      <w:spacing/>
      <w:ind/>
    </w:pPr>
    <w:rPr>
      <w:rFonts w:ascii="Times New Roman" w:hAnsi="Times New Roman" w:eastAsia="Arial" w:cs="Times New Roman"/>
      <w:color w:val="0f4761" w:themeColor="accent1" w:themeShade="BF"/>
      <w:sz w:val="40"/>
      <w:szCs w:val="40"/>
    </w:rPr>
  </w:style>
  <w:style w:type="character" w:styleId="151">
    <w:name w:val="Heading 2 Char"/>
    <w:basedOn w:val="1449"/>
    <w:link w:val="1447"/>
    <w:uiPriority w:val="9"/>
    <w:pPr>
      <w:pBdr/>
      <w:spacing/>
      <w:ind/>
    </w:pPr>
    <w:rPr>
      <w:rFonts w:ascii="Times New Roman" w:hAnsi="Times New Roman" w:eastAsia="Arial" w:cs="Times New Roman"/>
      <w:color w:val="0f4761" w:themeColor="accent1" w:themeShade="BF"/>
      <w:sz w:val="32"/>
      <w:szCs w:val="32"/>
    </w:rPr>
  </w:style>
  <w:style w:type="character" w:styleId="152">
    <w:name w:val="Heading 3 Char"/>
    <w:basedOn w:val="1449"/>
    <w:link w:val="1448"/>
    <w:uiPriority w:val="9"/>
    <w:pPr>
      <w:pBdr/>
      <w:spacing/>
      <w:ind/>
    </w:pPr>
    <w:rPr>
      <w:rFonts w:ascii="Times New Roman" w:hAnsi="Times New Roman" w:eastAsia="Arial" w:cs="Times New Roman"/>
      <w:color w:val="0f4761" w:themeColor="accent1" w:themeShade="BF"/>
      <w:sz w:val="28"/>
      <w:szCs w:val="28"/>
    </w:rPr>
  </w:style>
  <w:style w:type="character" w:styleId="153">
    <w:name w:val="Heading 4 Char"/>
    <w:basedOn w:val="1449"/>
    <w:link w:val="142"/>
    <w:uiPriority w:val="9"/>
    <w:pPr>
      <w:pBdr/>
      <w:spacing/>
      <w:ind/>
    </w:pPr>
    <w:rPr>
      <w:rFonts w:ascii="Times New Roman" w:hAnsi="Times New Roman" w:eastAsia="Arial" w:cs="Times New Roman"/>
      <w:i/>
      <w:iCs/>
      <w:color w:val="0f4761" w:themeColor="accent1" w:themeShade="BF"/>
    </w:rPr>
  </w:style>
  <w:style w:type="character" w:styleId="154">
    <w:name w:val="Heading 5 Char"/>
    <w:basedOn w:val="1449"/>
    <w:link w:val="143"/>
    <w:uiPriority w:val="9"/>
    <w:pPr>
      <w:pBdr/>
      <w:spacing/>
      <w:ind/>
    </w:pPr>
    <w:rPr>
      <w:rFonts w:ascii="Times New Roman" w:hAnsi="Times New Roman" w:eastAsia="Arial" w:cs="Times New Roman"/>
      <w:color w:val="0f4761" w:themeColor="accent1" w:themeShade="BF"/>
    </w:rPr>
  </w:style>
  <w:style w:type="character" w:styleId="155">
    <w:name w:val="Heading 6 Char"/>
    <w:basedOn w:val="1449"/>
    <w:link w:val="144"/>
    <w:uiPriority w:val="9"/>
    <w:pPr>
      <w:pBdr/>
      <w:spacing/>
      <w:ind/>
    </w:pPr>
    <w:rPr>
      <w:rFonts w:ascii="Times New Roman" w:hAnsi="Times New Roman" w:eastAsia="Arial" w:cs="Times New Roman"/>
      <w:i/>
      <w:iCs/>
      <w:color w:val="595959" w:themeColor="text1" w:themeTint="A6"/>
    </w:rPr>
  </w:style>
  <w:style w:type="character" w:styleId="156">
    <w:name w:val="Heading 7 Char"/>
    <w:basedOn w:val="1449"/>
    <w:link w:val="145"/>
    <w:uiPriority w:val="9"/>
    <w:pPr>
      <w:pBdr/>
      <w:spacing/>
      <w:ind/>
    </w:pPr>
    <w:rPr>
      <w:rFonts w:ascii="Times New Roman" w:hAnsi="Times New Roman" w:eastAsia="Arial" w:cs="Times New Roman"/>
      <w:color w:val="595959" w:themeColor="text1" w:themeTint="A6"/>
    </w:rPr>
  </w:style>
  <w:style w:type="character" w:styleId="157">
    <w:name w:val="Heading 8 Char"/>
    <w:basedOn w:val="1449"/>
    <w:link w:val="146"/>
    <w:uiPriority w:val="9"/>
    <w:pPr>
      <w:pBdr/>
      <w:spacing/>
      <w:ind/>
    </w:pPr>
    <w:rPr>
      <w:rFonts w:ascii="Times New Roman" w:hAnsi="Times New Roman" w:eastAsia="Arial" w:cs="Times New Roman"/>
      <w:i/>
      <w:iCs/>
      <w:color w:val="272727" w:themeColor="text1" w:themeTint="D8"/>
    </w:rPr>
  </w:style>
  <w:style w:type="character" w:styleId="158">
    <w:name w:val="Heading 9 Char"/>
    <w:basedOn w:val="1449"/>
    <w:link w:val="147"/>
    <w:uiPriority w:val="9"/>
    <w:pPr>
      <w:pBdr/>
      <w:spacing/>
      <w:ind/>
    </w:pPr>
    <w:rPr>
      <w:rFonts w:ascii="Times New Roman" w:hAnsi="Times New Roman" w:eastAsia="Arial" w:cs="Times New Roman"/>
      <w:i/>
      <w:iCs/>
      <w:color w:val="272727" w:themeColor="text1" w:themeTint="D8"/>
    </w:rPr>
  </w:style>
  <w:style w:type="paragraph" w:styleId="159">
    <w:name w:val="Title"/>
    <w:basedOn w:val="1445"/>
    <w:next w:val="1445"/>
    <w:link w:val="160"/>
    <w:uiPriority w:val="10"/>
    <w:qFormat/>
    <w:pPr>
      <w:pBdr/>
      <w:spacing w:after="80" w:line="240" w:lineRule="auto"/>
      <w:ind/>
      <w:contextualSpacing w:val="true"/>
    </w:pPr>
    <w:rPr>
      <w:rFonts w:ascii="Times New Roman" w:hAnsi="Times New Roman" w:eastAsia="Arial" w:cs="Times New Roman"/>
      <w:spacing w:val="-10"/>
      <w:sz w:val="56"/>
      <w:szCs w:val="56"/>
    </w:rPr>
  </w:style>
  <w:style w:type="character" w:styleId="160">
    <w:name w:val="Title Char"/>
    <w:basedOn w:val="1449"/>
    <w:link w:val="159"/>
    <w:uiPriority w:val="10"/>
    <w:pPr>
      <w:pBdr/>
      <w:spacing/>
      <w:ind/>
    </w:pPr>
    <w:rPr>
      <w:rFonts w:ascii="Times New Roman" w:hAnsi="Times New Roman" w:eastAsia="Arial" w:cs="Times New Roman"/>
      <w:spacing w:val="-10"/>
      <w:sz w:val="56"/>
      <w:szCs w:val="56"/>
    </w:rPr>
  </w:style>
  <w:style w:type="paragraph" w:styleId="161">
    <w:name w:val="Subtitle"/>
    <w:basedOn w:val="1445"/>
    <w:next w:val="144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4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445"/>
    <w:next w:val="144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4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445"/>
    <w:next w:val="144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4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49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4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449"/>
    <w:link w:val="1456"/>
    <w:uiPriority w:val="99"/>
    <w:pPr>
      <w:pBdr/>
      <w:spacing/>
      <w:ind/>
    </w:pPr>
  </w:style>
  <w:style w:type="character" w:styleId="179">
    <w:name w:val="Footer Char"/>
    <w:basedOn w:val="1449"/>
    <w:link w:val="1454"/>
    <w:uiPriority w:val="99"/>
    <w:pPr>
      <w:pBdr/>
      <w:spacing/>
      <w:ind/>
    </w:pPr>
  </w:style>
  <w:style w:type="paragraph" w:styleId="181">
    <w:name w:val="footnote text"/>
    <w:basedOn w:val="144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4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4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44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4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49"/>
    <w:uiPriority w:val="99"/>
    <w:semiHidden/>
    <w:unhideWhenUsed/>
    <w:pPr>
      <w:pBdr/>
      <w:spacing/>
      <w:ind/>
    </w:pPr>
    <w:rPr>
      <w:vertAlign w:val="superscript"/>
    </w:rPr>
  </w:style>
  <w:style w:type="character" w:styleId="198">
    <w:name w:val="Placeholder Text"/>
    <w:basedOn w:val="1449"/>
    <w:uiPriority w:val="99"/>
    <w:semiHidden/>
    <w:pPr>
      <w:pBdr/>
      <w:spacing/>
      <w:ind/>
    </w:pPr>
    <w:rPr>
      <w:color w:val="666666"/>
    </w:rPr>
  </w:style>
  <w:style w:type="paragraph" w:styleId="1445" w:default="1">
    <w:name w:val="Normal"/>
    <w:qFormat/>
    <w:pPr>
      <w:pBdr/>
      <w:spacing w:after="240" w:line="360" w:lineRule="auto"/>
      <w:ind/>
      <w:jc w:val="both"/>
    </w:pPr>
    <w:rPr>
      <w:sz w:val="24"/>
      <w:szCs w:val="22"/>
    </w:rPr>
  </w:style>
  <w:style w:type="paragraph" w:styleId="1446">
    <w:name w:val="Heading 1"/>
    <w:basedOn w:val="1445"/>
    <w:next w:val="1445"/>
    <w:qFormat/>
    <w:pPr>
      <w:keepNext w:val="true"/>
      <w:pBdr/>
      <w:spacing/>
      <w:ind/>
      <w:outlineLvl w:val="0"/>
    </w:pPr>
    <w:rPr>
      <w:rFonts w:cs="Times New Roman"/>
      <w:b/>
      <w:bCs/>
      <w:caps/>
    </w:rPr>
  </w:style>
  <w:style w:type="paragraph" w:styleId="1447">
    <w:name w:val="Heading 2"/>
    <w:basedOn w:val="1445"/>
    <w:next w:val="1445"/>
    <w:qFormat/>
    <w:pPr>
      <w:keepNext w:val="true"/>
      <w:pBdr/>
      <w:spacing/>
      <w:ind/>
      <w:outlineLvl w:val="1"/>
    </w:pPr>
    <w:rPr>
      <w:rFonts w:cs="Times New Roman"/>
      <w:bCs/>
      <w:iCs/>
      <w:caps/>
    </w:rPr>
  </w:style>
  <w:style w:type="paragraph" w:styleId="1448">
    <w:name w:val="Heading 3"/>
    <w:basedOn w:val="1445"/>
    <w:next w:val="1445"/>
    <w:qFormat/>
    <w:pPr>
      <w:keepNext w:val="true"/>
      <w:pBdr/>
      <w:spacing/>
      <w:ind/>
      <w:outlineLvl w:val="2"/>
    </w:pPr>
    <w:rPr>
      <w:rFonts w:cs="Times New Roman"/>
      <w:b/>
      <w:bCs/>
      <w:szCs w:val="26"/>
    </w:rPr>
  </w:style>
  <w:style w:type="character" w:styleId="1449" w:default="1">
    <w:name w:val="Default Paragraph Font"/>
    <w:uiPriority w:val="1"/>
    <w:semiHidden/>
    <w:unhideWhenUsed/>
    <w:pPr>
      <w:pBdr/>
      <w:spacing/>
      <w:ind/>
    </w:pPr>
  </w:style>
  <w:style w:type="table" w:styleId="145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51" w:default="1">
    <w:name w:val="No List"/>
    <w:uiPriority w:val="99"/>
    <w:semiHidden/>
    <w:unhideWhenUsed/>
    <w:pPr>
      <w:pBdr/>
      <w:spacing/>
      <w:ind/>
    </w:pPr>
  </w:style>
  <w:style w:type="paragraph" w:styleId="1452">
    <w:name w:val="HTML Preformatted"/>
    <w:basedOn w:val="1445"/>
    <w:semiHidden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Courier New"/>
      <w:color w:val="000000"/>
      <w:sz w:val="20"/>
      <w:szCs w:val="20"/>
    </w:rPr>
  </w:style>
  <w:style w:type="paragraph" w:styleId="1453" w:customStyle="1">
    <w:name w:val="Default"/>
    <w:pPr>
      <w:pBdr/>
      <w:spacing/>
      <w:ind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1454">
    <w:name w:val="Footer"/>
    <w:basedOn w:val="1445"/>
    <w:link w:val="1475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455">
    <w:name w:val="page number"/>
    <w:basedOn w:val="1449"/>
    <w:semiHidden/>
    <w:pPr>
      <w:pBdr/>
      <w:spacing/>
      <w:ind/>
    </w:pPr>
  </w:style>
  <w:style w:type="paragraph" w:styleId="1456">
    <w:name w:val="Header"/>
    <w:basedOn w:val="1445"/>
    <w:link w:val="1472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1457">
    <w:name w:val="toc 1"/>
    <w:basedOn w:val="1445"/>
    <w:next w:val="1445"/>
    <w:uiPriority w:val="39"/>
    <w:pPr>
      <w:pBdr/>
      <w:spacing/>
      <w:ind/>
    </w:pPr>
    <w:rPr>
      <w:b/>
    </w:rPr>
  </w:style>
  <w:style w:type="paragraph" w:styleId="1458">
    <w:name w:val="toc 2"/>
    <w:basedOn w:val="1445"/>
    <w:next w:val="1445"/>
    <w:uiPriority w:val="39"/>
    <w:pPr>
      <w:pBdr/>
      <w:spacing/>
      <w:ind w:left="240"/>
    </w:pPr>
  </w:style>
  <w:style w:type="paragraph" w:styleId="1459">
    <w:name w:val="toc 3"/>
    <w:basedOn w:val="1445"/>
    <w:next w:val="1445"/>
    <w:uiPriority w:val="39"/>
    <w:pPr>
      <w:pBdr/>
      <w:spacing/>
      <w:ind w:left="480"/>
    </w:pPr>
    <w:rPr>
      <w:b/>
    </w:rPr>
  </w:style>
  <w:style w:type="character" w:styleId="1460">
    <w:name w:val="Hyperlink"/>
    <w:basedOn w:val="1449"/>
    <w:uiPriority w:val="99"/>
    <w:pPr>
      <w:pBdr/>
      <w:spacing/>
      <w:ind/>
    </w:pPr>
    <w:rPr>
      <w:color w:val="0000ff"/>
      <w:u w:val="single"/>
    </w:rPr>
  </w:style>
  <w:style w:type="character" w:styleId="1461">
    <w:name w:val="FollowedHyperlink"/>
    <w:basedOn w:val="1449"/>
    <w:semiHidden/>
    <w:pPr>
      <w:pBdr/>
      <w:spacing/>
      <w:ind/>
    </w:pPr>
    <w:rPr>
      <w:color w:val="800080"/>
      <w:u w:val="single"/>
    </w:rPr>
  </w:style>
  <w:style w:type="paragraph" w:styleId="1462" w:customStyle="1">
    <w:name w:val="Estilo Fonte 12+Negrito+Centralizado"/>
    <w:basedOn w:val="1445"/>
    <w:pPr>
      <w:pBdr/>
      <w:spacing/>
      <w:ind/>
      <w:jc w:val="center"/>
    </w:pPr>
    <w:rPr>
      <w:b/>
      <w:bCs/>
      <w:szCs w:val="20"/>
    </w:rPr>
  </w:style>
  <w:style w:type="paragraph" w:styleId="1463" w:customStyle="1">
    <w:name w:val="CAPA"/>
    <w:basedOn w:val="1445"/>
    <w:pPr>
      <w:pBdr/>
      <w:spacing w:line="240" w:lineRule="auto"/>
      <w:ind/>
      <w:jc w:val="center"/>
    </w:pPr>
    <w:rPr>
      <w:b/>
      <w:sz w:val="28"/>
      <w:szCs w:val="20"/>
    </w:rPr>
  </w:style>
  <w:style w:type="paragraph" w:styleId="1464">
    <w:name w:val="toc 4"/>
    <w:basedOn w:val="1445"/>
    <w:next w:val="1445"/>
    <w:semiHidden/>
    <w:pPr>
      <w:pBdr/>
      <w:spacing/>
      <w:ind w:left="720"/>
      <w:jc w:val="left"/>
    </w:pPr>
  </w:style>
  <w:style w:type="paragraph" w:styleId="1465">
    <w:name w:val="toc 5"/>
    <w:basedOn w:val="1445"/>
    <w:next w:val="1445"/>
    <w:semiHidden/>
    <w:pPr>
      <w:pBdr/>
      <w:spacing/>
      <w:ind w:left="960"/>
      <w:jc w:val="left"/>
    </w:pPr>
  </w:style>
  <w:style w:type="paragraph" w:styleId="1466">
    <w:name w:val="toc 6"/>
    <w:basedOn w:val="1445"/>
    <w:next w:val="1445"/>
    <w:semiHidden/>
    <w:pPr>
      <w:pBdr/>
      <w:spacing/>
      <w:ind w:left="1200"/>
      <w:jc w:val="left"/>
    </w:pPr>
  </w:style>
  <w:style w:type="paragraph" w:styleId="1467">
    <w:name w:val="toc 7"/>
    <w:basedOn w:val="1445"/>
    <w:next w:val="1445"/>
    <w:semiHidden/>
    <w:pPr>
      <w:pBdr/>
      <w:spacing/>
      <w:ind w:left="1440"/>
      <w:jc w:val="left"/>
    </w:pPr>
  </w:style>
  <w:style w:type="paragraph" w:styleId="1468">
    <w:name w:val="toc 8"/>
    <w:basedOn w:val="1445"/>
    <w:next w:val="1445"/>
    <w:semiHidden/>
    <w:pPr>
      <w:pBdr/>
      <w:spacing/>
      <w:ind w:left="1680"/>
      <w:jc w:val="left"/>
    </w:pPr>
  </w:style>
  <w:style w:type="paragraph" w:styleId="1469">
    <w:name w:val="toc 9"/>
    <w:basedOn w:val="1445"/>
    <w:next w:val="1445"/>
    <w:semiHidden/>
    <w:pPr>
      <w:pBdr/>
      <w:spacing/>
      <w:ind w:left="1920"/>
      <w:jc w:val="left"/>
    </w:pPr>
  </w:style>
  <w:style w:type="paragraph" w:styleId="1470">
    <w:name w:val="No Spacing"/>
    <w:uiPriority w:val="1"/>
    <w:qFormat/>
    <w:pPr>
      <w:pBdr/>
      <w:spacing/>
      <w:ind/>
      <w:jc w:val="both"/>
    </w:pPr>
    <w:rPr>
      <w:sz w:val="24"/>
      <w:szCs w:val="24"/>
    </w:rPr>
  </w:style>
  <w:style w:type="table" w:styleId="1471">
    <w:name w:val="Table Grid"/>
    <w:basedOn w:val="1450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72" w:customStyle="1">
    <w:name w:val="Cabeçalho Char"/>
    <w:basedOn w:val="1449"/>
    <w:link w:val="1456"/>
    <w:uiPriority w:val="99"/>
    <w:pPr>
      <w:pBdr/>
      <w:spacing/>
      <w:ind/>
    </w:pPr>
    <w:rPr>
      <w:sz w:val="24"/>
      <w:szCs w:val="22"/>
    </w:rPr>
  </w:style>
  <w:style w:type="paragraph" w:styleId="1473">
    <w:name w:val="Balloon Text"/>
    <w:basedOn w:val="1445"/>
    <w:link w:val="1474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474" w:customStyle="1">
    <w:name w:val="Texto de balão Char"/>
    <w:basedOn w:val="1449"/>
    <w:link w:val="147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475" w:customStyle="1">
    <w:name w:val="Rodapé Char"/>
    <w:basedOn w:val="1449"/>
    <w:link w:val="1454"/>
    <w:uiPriority w:val="99"/>
    <w:pPr>
      <w:pBdr/>
      <w:spacing/>
      <w:ind/>
    </w:pPr>
    <w:rPr>
      <w:sz w:val="24"/>
      <w:szCs w:val="22"/>
    </w:rPr>
  </w:style>
  <w:style w:type="character" w:styleId="1476">
    <w:name w:val="Strong"/>
    <w:basedOn w:val="1449"/>
    <w:uiPriority w:val="22"/>
    <w:qFormat/>
    <w:pPr>
      <w:pBdr/>
      <w:spacing/>
      <w:ind/>
    </w:pPr>
    <w:rPr>
      <w:rFonts w:ascii="Times New Roman" w:hAnsi="Times New Roman"/>
      <w:bCs/>
      <w:sz w:val="20"/>
    </w:rPr>
  </w:style>
  <w:style w:type="paragraph" w:styleId="1477">
    <w:name w:val="List Paragraph"/>
    <w:basedOn w:val="1445"/>
    <w:uiPriority w:val="34"/>
    <w:qFormat/>
    <w:pPr>
      <w:pBdr/>
      <w:spacing/>
      <w:ind w:left="720"/>
      <w:contextualSpacing w:val="true"/>
    </w:pPr>
  </w:style>
  <w:style w:type="paragraph" w:styleId="1478">
    <w:name w:val="Caption"/>
    <w:basedOn w:val="1445"/>
    <w:next w:val="1445"/>
    <w:uiPriority w:val="35"/>
    <w:unhideWhenUsed/>
    <w:qFormat/>
    <w:pPr>
      <w:pBdr/>
      <w:spacing w:after="200" w:line="240" w:lineRule="auto"/>
      <w:ind/>
    </w:pPr>
    <w:rPr>
      <w:bCs/>
      <w:sz w:val="20"/>
      <w:szCs w:val="18"/>
    </w:rPr>
  </w:style>
  <w:style w:type="paragraph" w:styleId="1479">
    <w:name w:val="table of figures"/>
    <w:basedOn w:val="1445"/>
    <w:next w:val="1445"/>
    <w:uiPriority w:val="99"/>
    <w:unhideWhenUsed/>
    <w:pPr>
      <w:pBdr/>
      <w:spacing w:after="0"/>
      <w:ind/>
    </w:pPr>
  </w:style>
  <w:style w:type="paragraph" w:styleId="1480" w:customStyle="1">
    <w:name w:val="Normal1"/>
    <w:pPr>
      <w:pBdr/>
      <w:spacing w:line="276" w:lineRule="auto"/>
      <w:ind/>
    </w:pPr>
    <w:rPr>
      <w:rFonts w:ascii="Times New Roman" w:hAnsi="Times New Roman" w:eastAsia="Arial" w:cs="Times New Roman"/>
      <w:sz w:val="22"/>
      <w:szCs w:val="22"/>
    </w:rPr>
  </w:style>
  <w:style w:type="paragraph" w:styleId="1481">
    <w:name w:val="TOC Heading"/>
    <w:basedOn w:val="1446"/>
    <w:next w:val="1445"/>
    <w:uiPriority w:val="39"/>
    <w:unhideWhenUsed/>
    <w:qFormat/>
    <w:pPr>
      <w:keepLines w:val="true"/>
      <w:pBdr/>
      <w:spacing w:after="0" w:before="240" w:line="259" w:lineRule="auto"/>
      <w:ind/>
      <w:jc w:val="left"/>
      <w:outlineLvl w:val="9"/>
    </w:pPr>
    <w:rPr>
      <w:rFonts w:asciiTheme="majorHAnsi" w:hAnsiTheme="majorHAnsi" w:eastAsiaTheme="majorEastAsia" w:cstheme="majorBidi"/>
      <w:b w:val="0"/>
      <w:bCs w:val="0"/>
      <w:caps w:val="0"/>
      <w:color w:val="365f91" w:themeColor="accent1" w:themeShade="BF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customXml" Target="../customXml/item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3767344-F2D5-4878-9F81-31B56D71E1C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revision>25</cp:revision>
  <dcterms:created xsi:type="dcterms:W3CDTF">2021-08-02T12:41:00Z</dcterms:created>
  <dcterms:modified xsi:type="dcterms:W3CDTF">2026-10-20T17:30:00Z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5dc42927a2d39c38f394c7ae939ebd54beab87bcf42fc65c1061a03ed42e28e9</vt:lpwstr>
  </property>
</Properties>
</file>