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833"/>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33"/>
        <w:pBdr/>
        <w:spacing/>
        <w:ind/>
        <w:rPr>
          <w:sz w:val="24"/>
          <w:szCs w:val="24"/>
        </w:rPr>
      </w:pPr>
      <w:r>
        <w:rPr>
          <w:sz w:val="24"/>
          <w:szCs w:val="24"/>
        </w:rPr>
        <w:t xml:space="preserve">CURSO DE SISTEMAS DE INFORMAÇÃO</w:t>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t xml:space="preserve">LUCAS FIORRIGI FURLAN</w:t>
      </w:r>
      <w:r>
        <w:rPr>
          <w:sz w:val="24"/>
          <w:szCs w:val="24"/>
        </w:rPr>
      </w:r>
      <w:r>
        <w:rPr>
          <w:sz w:val="24"/>
          <w:szCs w:val="24"/>
        </w:rPr>
      </w:r>
    </w:p>
    <w:p>
      <w:pPr>
        <w:pStyle w:val="1833"/>
        <w:pBdr/>
        <w:spacing/>
        <w:ind/>
        <w:rPr>
          <w:sz w:val="24"/>
          <w:szCs w:val="24"/>
        </w:rPr>
      </w:pPr>
      <w:r>
        <w:rPr>
          <w:sz w:val="24"/>
          <w:szCs w:val="24"/>
        </w:rPr>
        <w:t xml:space="preserve">MIGUEL MARTINS LIMA</w:t>
      </w:r>
      <w:r>
        <w:rPr>
          <w:sz w:val="24"/>
          <w:szCs w:val="24"/>
        </w:rPr>
      </w:r>
      <w:r>
        <w:rPr>
          <w:sz w:val="24"/>
          <w:szCs w:val="24"/>
        </w:rPr>
      </w:r>
    </w:p>
    <w:p>
      <w:pPr>
        <w:pStyle w:val="1833"/>
        <w:pBdr/>
        <w:spacing/>
        <w:ind/>
        <w:rPr>
          <w:sz w:val="24"/>
          <w:szCs w:val="24"/>
        </w:rPr>
      </w:pPr>
      <w:r>
        <w:rPr>
          <w:sz w:val="24"/>
          <w:szCs w:val="24"/>
        </w:rPr>
        <w:t xml:space="preserve">RODRIGO PEREIRA ROMANO</w:t>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line="360" w:lineRule="auto"/>
        <w:ind/>
        <w:rPr>
          <w:sz w:val="24"/>
          <w:szCs w:val="24"/>
        </w:rPr>
      </w:pPr>
      <w:r>
        <w:rPr>
          <w:sz w:val="24"/>
          <w:szCs w:val="24"/>
        </w:rPr>
        <w:t xml:space="preserve"> SISTEMA DE INFORMAÇÃO PARA REPORTE DE OCORRÊNCIAS E APOIO À GESTÃO DE ZELADORIA PÚBLICA: FALA, CIDADE!</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jc w:val="both"/>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t xml:space="preserve">SANTA RITA DO SAPUCAÍ - MG</w:t>
      </w:r>
      <w:r>
        <w:rPr>
          <w:sz w:val="24"/>
          <w:szCs w:val="24"/>
        </w:rPr>
      </w:r>
      <w:r>
        <w:rPr>
          <w:sz w:val="24"/>
          <w:szCs w:val="24"/>
        </w:rPr>
      </w:r>
    </w:p>
    <w:p>
      <w:pPr>
        <w:pStyle w:val="1833"/>
        <w:pBdr/>
        <w:spacing/>
        <w:ind/>
        <w:rPr/>
      </w:pPr>
      <w:r>
        <w:rPr>
          <w:sz w:val="24"/>
          <w:szCs w:val="24"/>
        </w:rPr>
        <w:t xml:space="preserve">2026</w:t>
      </w:r>
      <w:r>
        <w:br w:type="page" w:clear="all"/>
      </w:r>
      <w:r/>
    </w:p>
    <w:p>
      <w:pPr>
        <w:pStyle w:val="1833"/>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33"/>
        <w:pBdr/>
        <w:spacing/>
        <w:ind/>
        <w:rPr>
          <w:sz w:val="24"/>
          <w:szCs w:val="24"/>
        </w:rPr>
      </w:pPr>
      <w:r>
        <w:rPr>
          <w:sz w:val="24"/>
          <w:szCs w:val="24"/>
        </w:rPr>
        <w:t xml:space="preserve">CURSO DE SISTEMAS DE INFORMAÇÃO</w:t>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t xml:space="preserve">LUCAS FIORRIGI FURLAN</w:t>
      </w:r>
      <w:r>
        <w:rPr>
          <w:sz w:val="24"/>
          <w:szCs w:val="24"/>
        </w:rPr>
      </w:r>
      <w:r>
        <w:rPr>
          <w:sz w:val="24"/>
          <w:szCs w:val="24"/>
        </w:rPr>
      </w:r>
    </w:p>
    <w:p>
      <w:pPr>
        <w:pStyle w:val="1833"/>
        <w:pBdr/>
        <w:spacing/>
        <w:ind/>
        <w:rPr>
          <w:sz w:val="24"/>
          <w:szCs w:val="24"/>
        </w:rPr>
      </w:pPr>
      <w:r>
        <w:rPr>
          <w:sz w:val="24"/>
          <w:szCs w:val="24"/>
        </w:rPr>
        <w:t xml:space="preserve">MIGUEL MARTINS LIMA</w:t>
      </w:r>
      <w:r>
        <w:rPr>
          <w:sz w:val="24"/>
          <w:szCs w:val="24"/>
        </w:rPr>
      </w:r>
      <w:r>
        <w:rPr>
          <w:sz w:val="24"/>
          <w:szCs w:val="24"/>
        </w:rPr>
      </w:r>
    </w:p>
    <w:p>
      <w:pPr>
        <w:pStyle w:val="1833"/>
        <w:pBdr/>
        <w:spacing/>
        <w:ind/>
        <w:rPr>
          <w:sz w:val="24"/>
          <w:szCs w:val="24"/>
        </w:rPr>
      </w:pPr>
      <w:r>
        <w:rPr>
          <w:sz w:val="24"/>
          <w:szCs w:val="24"/>
        </w:rPr>
        <w:t xml:space="preserve">RODRIGO PEREIRA ROMANO</w:t>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line="360" w:lineRule="auto"/>
        <w:ind/>
        <w:rPr>
          <w:sz w:val="24"/>
          <w:szCs w:val="24"/>
        </w:rPr>
      </w:pPr>
      <w:r>
        <w:rPr>
          <w:sz w:val="24"/>
          <w:szCs w:val="24"/>
        </w:rPr>
        <w:t xml:space="preserve">SISTEMA DE INFORMAÇÃO PARA REPORTE DE OCORRÊNCIAS E APOIO À GESTÃO DE ZELADORIA PÚBLICA: FALA, CIDADE!</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v:textbox>
              </v:shape>
            </w:pict>
          </mc:Fallback>
        </mc:AlternateContent>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r>
      <w:r>
        <w:rPr>
          <w:sz w:val="24"/>
          <w:szCs w:val="24"/>
        </w:rPr>
      </w:r>
      <w:r>
        <w:rPr>
          <w:sz w:val="24"/>
          <w:szCs w:val="24"/>
        </w:rPr>
      </w:r>
    </w:p>
    <w:p>
      <w:pPr>
        <w:pStyle w:val="1833"/>
        <w:pBdr/>
        <w:spacing/>
        <w:ind/>
        <w:rPr>
          <w:sz w:val="24"/>
          <w:szCs w:val="24"/>
        </w:rPr>
      </w:pPr>
      <w:r>
        <w:rPr>
          <w:sz w:val="24"/>
          <w:szCs w:val="24"/>
        </w:rPr>
        <w:tab/>
      </w:r>
      <w:r>
        <w:rPr>
          <w:sz w:val="24"/>
          <w:szCs w:val="24"/>
        </w:rPr>
      </w:r>
      <w:r>
        <w:rPr>
          <w:sz w:val="24"/>
          <w:szCs w:val="24"/>
        </w:rPr>
      </w:r>
    </w:p>
    <w:p>
      <w:pPr>
        <w:pStyle w:val="1833"/>
        <w:pBdr/>
        <w:spacing/>
        <w:ind/>
        <w:rPr>
          <w:sz w:val="24"/>
          <w:szCs w:val="24"/>
        </w:rPr>
      </w:pPr>
      <w:r>
        <w:rPr>
          <w:sz w:val="24"/>
          <w:szCs w:val="24"/>
        </w:rPr>
        <w:t xml:space="preserve">SANTA RITA DO SAPUCAÍ - MG</w:t>
      </w:r>
      <w:r>
        <w:rPr>
          <w:sz w:val="24"/>
          <w:szCs w:val="24"/>
        </w:rPr>
      </w:r>
      <w:r>
        <w:rPr>
          <w:sz w:val="24"/>
          <w:szCs w:val="24"/>
        </w:rPr>
      </w:r>
    </w:p>
    <w:p>
      <w:pPr>
        <w:pStyle w:val="1833"/>
        <w:pBdr/>
        <w:spacing/>
        <w:ind/>
        <w:rPr>
          <w:sz w:val="24"/>
          <w:szCs w:val="24"/>
        </w:rPr>
      </w:pPr>
      <w:r>
        <w:rPr>
          <w:sz w:val="24"/>
          <w:szCs w:val="24"/>
        </w:rPr>
        <w:t xml:space="preserve">2026</w:t>
      </w:r>
      <w:r>
        <w:rPr>
          <w:sz w:val="24"/>
          <w:szCs w:val="24"/>
        </w:rPr>
      </w:r>
      <w:r>
        <w:rPr>
          <w:sz w:val="24"/>
          <w:szCs w:val="24"/>
        </w:rPr>
      </w:r>
    </w:p>
    <w:p>
      <w:pPr>
        <w:pStyle w:val="1832"/>
        <w:pBdr/>
        <w:spacing/>
        <w:ind/>
        <w:rPr/>
      </w:pPr>
      <w:r>
        <w:br w:type="page" w:clear="all"/>
        <w:t xml:space="preserve">FOLHA DE APROVAÇÃO</w:t>
      </w:r>
      <w:r/>
    </w:p>
    <w:p>
      <w:pPr>
        <w:pBdr/>
        <w:spacing/>
        <w:ind/>
        <w:rPr/>
      </w:pPr>
      <w:r>
        <w:t xml:space="preserve">Na impressão final do documento, esta folha será substituída pela assinada pela Banca examinadora final.</w:t>
      </w:r>
      <w:r/>
    </w:p>
    <w:p>
      <w:pPr>
        <w:pStyle w:val="1832"/>
        <w:pBdr/>
        <w:spacing/>
        <w:ind/>
        <w:rPr/>
      </w:pPr>
      <w:r>
        <w:br w:type="page" w:clear="all"/>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028"/>
        <w:gridCol w:w="2835"/>
        <w:gridCol w:w="3941"/>
      </w:tblGrid>
      <w:tr>
        <w:trPr/>
        <w:tc>
          <w:tcPr>
            <w:tcBorders/>
            <w:tcMar>
              <w:left w:w="108" w:type="dxa"/>
              <w:top w:w="100" w:type="dxa"/>
              <w:right w:w="108" w:type="dxa"/>
              <w:bottom w:w="100" w:type="dxa"/>
            </w:tcMar>
            <w:tcW w:w="1408" w:type="dxa"/>
          </w:tcPr>
          <w:p>
            <w:pPr>
              <w:pBdr/>
              <w:spacing w:after="0"/>
              <w:ind/>
              <w:jc w:val="center"/>
              <w:rPr/>
            </w:pPr>
            <w:r>
              <w:t xml:space="preserve">Data</w:t>
            </w:r>
            <w:r/>
          </w:p>
        </w:tc>
        <w:tc>
          <w:tcPr>
            <w:tcBorders/>
            <w:tcMar>
              <w:left w:w="108" w:type="dxa"/>
              <w:top w:w="100" w:type="dxa"/>
              <w:right w:w="108" w:type="dxa"/>
              <w:bottom w:w="100" w:type="dxa"/>
            </w:tcMar>
            <w:tcW w:w="1028" w:type="dxa"/>
          </w:tcPr>
          <w:p>
            <w:pPr>
              <w:pBdr/>
              <w:spacing w:after="0"/>
              <w:ind/>
              <w:jc w:val="center"/>
              <w:rPr/>
            </w:pPr>
            <w:r>
              <w:t xml:space="preserve">Versão</w:t>
            </w:r>
            <w:r/>
          </w:p>
        </w:tc>
        <w:tc>
          <w:tcPr>
            <w:tcBorders/>
            <w:tcMar>
              <w:left w:w="108" w:type="dxa"/>
              <w:top w:w="100" w:type="dxa"/>
              <w:right w:w="108" w:type="dxa"/>
              <w:bottom w:w="100" w:type="dxa"/>
            </w:tcMar>
            <w:tcW w:w="2835" w:type="dxa"/>
          </w:tcPr>
          <w:p>
            <w:pPr>
              <w:pBdr/>
              <w:spacing w:after="0"/>
              <w:ind/>
              <w:jc w:val="center"/>
              <w:rPr/>
            </w:pPr>
            <w:r>
              <w:t xml:space="preserve">Autor (es)</w:t>
            </w:r>
            <w:r/>
          </w:p>
        </w:tc>
        <w:tc>
          <w:tcPr>
            <w:tcBorders/>
            <w:tcMar>
              <w:left w:w="108" w:type="dxa"/>
              <w:top w:w="100" w:type="dxa"/>
              <w:right w:w="108" w:type="dxa"/>
              <w:bottom w:w="100" w:type="dxa"/>
            </w:tcMar>
            <w:tcW w:w="3941" w:type="dxa"/>
          </w:tcPr>
          <w:p>
            <w:pPr>
              <w:pBdr/>
              <w:spacing w:after="0"/>
              <w:ind/>
              <w:jc w:val="center"/>
              <w:rPr/>
            </w:pPr>
            <w:r>
              <w:t xml:space="preserve">Descrição</w:t>
            </w:r>
            <w:r/>
          </w:p>
        </w:tc>
      </w:tr>
      <w:tr>
        <w:trPr>
          <w:trHeight w:val="873"/>
        </w:trPr>
        <w:tc>
          <w:tcPr>
            <w:tcBorders/>
            <w:tcMar>
              <w:left w:w="108" w:type="dxa"/>
              <w:top w:w="100" w:type="dxa"/>
              <w:right w:w="108" w:type="dxa"/>
              <w:bottom w:w="100" w:type="dxa"/>
            </w:tcMar>
            <w:tcW w:w="1408" w:type="dxa"/>
          </w:tcPr>
          <w:p>
            <w:pPr>
              <w:pBdr/>
              <w:spacing w:after="0"/>
              <w:ind/>
              <w:rPr/>
            </w:pPr>
            <w:r>
              <w:t xml:space="preserve">20/10/2026</w:t>
            </w:r>
            <w:r/>
          </w:p>
        </w:tc>
        <w:tc>
          <w:tcPr>
            <w:tcBorders/>
            <w:tcMar>
              <w:left w:w="108" w:type="dxa"/>
              <w:top w:w="100" w:type="dxa"/>
              <w:right w:w="108" w:type="dxa"/>
              <w:bottom w:w="100" w:type="dxa"/>
            </w:tcMar>
            <w:tcW w:w="1028" w:type="dxa"/>
          </w:tcPr>
          <w:p>
            <w:pPr>
              <w:pBdr/>
              <w:spacing w:after="0"/>
              <w:ind/>
              <w:jc w:val="right"/>
              <w:rPr/>
            </w:pPr>
            <w:r>
              <w:t xml:space="preserve">1.18</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Atendimento dos apontamentos da versão 1.17.</w:t>
            </w:r>
            <w:r/>
          </w:p>
        </w:tc>
      </w:tr>
      <w:tr>
        <w:trPr>
          <w:trHeight w:val="873"/>
        </w:trPr>
        <w:tc>
          <w:tcPr>
            <w:tcBorders/>
            <w:tcMar>
              <w:left w:w="108" w:type="dxa"/>
              <w:top w:w="100" w:type="dxa"/>
              <w:right w:w="108" w:type="dxa"/>
              <w:bottom w:w="100" w:type="dxa"/>
            </w:tcMar>
            <w:tcW w:w="1408" w:type="dxa"/>
          </w:tcPr>
          <w:p>
            <w:pPr>
              <w:pBdr/>
              <w:spacing w:after="0"/>
              <w:ind/>
              <w:rPr/>
            </w:pPr>
            <w:r>
              <w:t xml:space="preserve">10/10/2026</w:t>
            </w:r>
            <w:r/>
          </w:p>
        </w:tc>
        <w:tc>
          <w:tcPr>
            <w:tcBorders/>
            <w:tcMar>
              <w:left w:w="108" w:type="dxa"/>
              <w:top w:w="100" w:type="dxa"/>
              <w:right w:w="108" w:type="dxa"/>
              <w:bottom w:w="100" w:type="dxa"/>
            </w:tcMar>
            <w:tcW w:w="1028" w:type="dxa"/>
          </w:tcPr>
          <w:p>
            <w:pPr>
              <w:pBdr/>
              <w:spacing w:after="0"/>
              <w:ind/>
              <w:jc w:val="right"/>
              <w:rPr/>
            </w:pPr>
            <w:r>
              <w:t xml:space="preserve">1.17</w:t>
            </w:r>
            <w:r/>
          </w:p>
        </w:tc>
        <w:tc>
          <w:tcPr>
            <w:tcBorders/>
            <w:tcMar>
              <w:left w:w="108" w:type="dxa"/>
              <w:top w:w="100" w:type="dxa"/>
              <w:right w:w="108" w:type="dxa"/>
              <w:bottom w:w="100" w:type="dxa"/>
            </w:tcMar>
            <w:tcW w:w="2835" w:type="dxa"/>
          </w:tcPr>
          <w:p>
            <w:pPr>
              <w:pBdr/>
              <w:spacing w:after="0"/>
              <w:ind/>
              <w:rPr/>
            </w:pPr>
            <w:r>
              <w:t xml:space="preserve">Eunice Gomes de Siqueira</w:t>
            </w:r>
            <w:r/>
          </w:p>
        </w:tc>
        <w:tc>
          <w:tcPr>
            <w:tcBorders/>
            <w:tcMar>
              <w:left w:w="108" w:type="dxa"/>
              <w:top w:w="100" w:type="dxa"/>
              <w:right w:w="108" w:type="dxa"/>
              <w:bottom w:w="100" w:type="dxa"/>
            </w:tcMar>
            <w:tcW w:w="3941" w:type="dxa"/>
          </w:tcPr>
          <w:p>
            <w:pPr>
              <w:pBdr/>
              <w:spacing w:after="0"/>
              <w:ind/>
              <w:rPr/>
            </w:pPr>
            <w:r>
              <w:t xml:space="preserve">Apontamentos para a complementação da Fase 3.</w:t>
            </w:r>
            <w:r/>
          </w:p>
        </w:tc>
      </w:tr>
      <w:tr>
        <w:trPr>
          <w:trHeight w:val="873"/>
        </w:trPr>
        <w:tc>
          <w:tcPr>
            <w:tcBorders/>
            <w:tcMar>
              <w:left w:w="108" w:type="dxa"/>
              <w:top w:w="100" w:type="dxa"/>
              <w:right w:w="108" w:type="dxa"/>
              <w:bottom w:w="100" w:type="dxa"/>
            </w:tcMar>
            <w:tcW w:w="1408" w:type="dxa"/>
          </w:tcPr>
          <w:p>
            <w:pPr>
              <w:pBdr/>
              <w:spacing w:after="0"/>
              <w:ind/>
              <w:rPr/>
            </w:pPr>
            <w:r>
              <w:t xml:space="preserve">30/09/2026</w:t>
            </w:r>
            <w:r/>
          </w:p>
        </w:tc>
        <w:tc>
          <w:tcPr>
            <w:tcBorders/>
            <w:tcMar>
              <w:left w:w="108" w:type="dxa"/>
              <w:top w:w="100" w:type="dxa"/>
              <w:right w:w="108" w:type="dxa"/>
              <w:bottom w:w="100" w:type="dxa"/>
            </w:tcMar>
            <w:tcW w:w="1028" w:type="dxa"/>
          </w:tcPr>
          <w:p>
            <w:pPr>
              <w:pBdr/>
              <w:spacing w:after="0"/>
              <w:ind/>
              <w:jc w:val="right"/>
              <w:rPr/>
            </w:pPr>
            <w:r>
              <w:t xml:space="preserve">1.16.1</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Acesso do departamento pelo link do encaminhamento e solicitação de conclusão (RF26 e RN11), agrupamento a 70 m em linha reta, ocorrências agrupadas em um único marcador n</w:t>
            </w:r>
            <w:r>
              <w:t xml:space="preserve">o mapa, exclusão em cadeia das agrupadas, escolha obrigatória do município pelo visitante, cópia e preenchimento automático de protocolos e códigos, máscaras e limites dos campos, novas colunas da occurrence_history e atualização dos resultados dos testes.</w:t>
            </w:r>
            <w:r/>
          </w:p>
        </w:tc>
      </w:tr>
      <w:tr>
        <w:trPr>
          <w:trHeight w:val="1170"/>
        </w:trPr>
        <w:tc>
          <w:tcPr>
            <w:tcBorders/>
            <w:tcMar>
              <w:left w:w="108" w:type="dxa"/>
              <w:top w:w="100" w:type="dxa"/>
              <w:right w:w="108" w:type="dxa"/>
              <w:bottom w:w="100" w:type="dxa"/>
            </w:tcMar>
            <w:tcW w:w="1408" w:type="dxa"/>
          </w:tcPr>
          <w:p>
            <w:pPr>
              <w:pBdr/>
              <w:spacing w:after="0"/>
              <w:ind/>
              <w:rPr/>
            </w:pPr>
            <w:r>
              <w:t xml:space="preserve">28/09/2026</w:t>
            </w:r>
            <w:r/>
          </w:p>
        </w:tc>
        <w:tc>
          <w:tcPr>
            <w:tcBorders/>
            <w:tcMar>
              <w:left w:w="108" w:type="dxa"/>
              <w:top w:w="100" w:type="dxa"/>
              <w:right w:w="108" w:type="dxa"/>
              <w:bottom w:w="100" w:type="dxa"/>
            </w:tcMar>
            <w:tcW w:w="1028" w:type="dxa"/>
          </w:tcPr>
          <w:p>
            <w:pPr>
              <w:pBdr/>
              <w:spacing w:after="0"/>
              <w:ind/>
              <w:jc w:val="right"/>
              <w:rPr/>
            </w:pPr>
            <w:r>
              <w:t xml:space="preserve">1.16</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Inclusão da verificação em duas etapas por SMS, melhoria no cadastro do cidadão em etapas, unicidade do número do telefone celular por conta, encerramento da sessão de conta excluída ou desativada e atualização dos resultados dos testes.</w:t>
            </w:r>
            <w:r/>
          </w:p>
        </w:tc>
      </w:tr>
      <w:tr>
        <w:trPr>
          <w:trHeight w:val="1170"/>
        </w:trPr>
        <w:tc>
          <w:tcPr>
            <w:tcBorders/>
            <w:tcMar>
              <w:left w:w="108" w:type="dxa"/>
              <w:top w:w="100" w:type="dxa"/>
              <w:right w:w="108" w:type="dxa"/>
              <w:bottom w:w="100" w:type="dxa"/>
            </w:tcMar>
            <w:tcW w:w="1408" w:type="dxa"/>
          </w:tcPr>
          <w:p>
            <w:pPr>
              <w:pBdr/>
              <w:spacing w:after="0"/>
              <w:ind/>
              <w:rPr/>
            </w:pPr>
            <w:r>
              <w:t xml:space="preserve">19/09/2026</w:t>
            </w:r>
            <w:r/>
          </w:p>
        </w:tc>
        <w:tc>
          <w:tcPr>
            <w:tcBorders/>
            <w:tcMar>
              <w:left w:w="108" w:type="dxa"/>
              <w:top w:w="100" w:type="dxa"/>
              <w:right w:w="108" w:type="dxa"/>
              <w:bottom w:w="100" w:type="dxa"/>
            </w:tcMar>
            <w:tcW w:w="1028" w:type="dxa"/>
          </w:tcPr>
          <w:p>
            <w:pPr>
              <w:pBdr/>
              <w:spacing w:after="0"/>
              <w:ind/>
              <w:jc w:val="right"/>
              <w:rPr/>
            </w:pPr>
            <w:r>
              <w:t xml:space="preserve">1.15</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Evolução funcional e correções dos novos apontamentos da Fase 3, enviados pela profa. Eunice.</w:t>
            </w:r>
            <w:r/>
          </w:p>
        </w:tc>
      </w:tr>
      <w:tr>
        <w:trPr>
          <w:trHeight w:val="456"/>
        </w:trPr>
        <w:tc>
          <w:tcPr>
            <w:tcBorders/>
            <w:tcMar>
              <w:left w:w="108" w:type="dxa"/>
              <w:top w:w="100" w:type="dxa"/>
              <w:right w:w="108" w:type="dxa"/>
              <w:bottom w:w="100" w:type="dxa"/>
            </w:tcMar>
            <w:tcW w:w="1408" w:type="dxa"/>
          </w:tcPr>
          <w:p>
            <w:pPr>
              <w:pBdr/>
              <w:spacing w:after="0"/>
              <w:ind/>
              <w:rPr/>
            </w:pPr>
            <w:r>
              <w:t xml:space="preserve">18/09/2026</w:t>
            </w:r>
            <w:r/>
          </w:p>
        </w:tc>
        <w:tc>
          <w:tcPr>
            <w:tcBorders/>
            <w:tcMar>
              <w:left w:w="108" w:type="dxa"/>
              <w:top w:w="100" w:type="dxa"/>
              <w:right w:w="108" w:type="dxa"/>
              <w:bottom w:w="100" w:type="dxa"/>
            </w:tcMar>
            <w:tcW w:w="1028" w:type="dxa"/>
          </w:tcPr>
          <w:p>
            <w:pPr>
              <w:pBdr/>
              <w:spacing w:after="0"/>
              <w:ind/>
              <w:jc w:val="right"/>
              <w:rPr/>
            </w:pPr>
            <w:r>
              <w:t xml:space="preserve">1.14</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Atendimento dos apontamentos da Fase 3.</w:t>
            </w:r>
            <w:r/>
          </w:p>
        </w:tc>
      </w:tr>
      <w:tr>
        <w:trPr>
          <w:trHeight w:val="698"/>
        </w:trPr>
        <w:tc>
          <w:tcPr>
            <w:tcBorders/>
            <w:tcMar>
              <w:left w:w="108" w:type="dxa"/>
              <w:top w:w="100" w:type="dxa"/>
              <w:right w:w="108" w:type="dxa"/>
              <w:bottom w:w="100" w:type="dxa"/>
            </w:tcMar>
            <w:tcW w:w="1408" w:type="dxa"/>
          </w:tcPr>
          <w:p>
            <w:pPr>
              <w:pBdr/>
              <w:spacing w:after="0"/>
              <w:ind/>
              <w:rPr/>
            </w:pPr>
            <w:r>
              <w:t xml:space="preserve">05/09/2026</w:t>
            </w:r>
            <w:r/>
          </w:p>
        </w:tc>
        <w:tc>
          <w:tcPr>
            <w:tcBorders/>
            <w:tcMar>
              <w:left w:w="108" w:type="dxa"/>
              <w:top w:w="100" w:type="dxa"/>
              <w:right w:w="108" w:type="dxa"/>
              <w:bottom w:w="100" w:type="dxa"/>
            </w:tcMar>
            <w:tcW w:w="1028" w:type="dxa"/>
          </w:tcPr>
          <w:p>
            <w:pPr>
              <w:pBdr/>
              <w:spacing w:after="0"/>
              <w:ind/>
              <w:jc w:val="right"/>
              <w:rPr/>
            </w:pPr>
            <w:r>
              <w:t xml:space="preserve">1.13</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Correções e entrega da Fase 3.</w:t>
            </w:r>
            <w:r/>
          </w:p>
        </w:tc>
      </w:tr>
      <w:tr>
        <w:trPr>
          <w:trHeight w:val="654"/>
        </w:trPr>
        <w:tc>
          <w:tcPr>
            <w:tcBorders/>
            <w:tcMar>
              <w:left w:w="108" w:type="dxa"/>
              <w:top w:w="100" w:type="dxa"/>
              <w:right w:w="108" w:type="dxa"/>
              <w:bottom w:w="100" w:type="dxa"/>
            </w:tcMar>
            <w:tcW w:w="1408" w:type="dxa"/>
          </w:tcPr>
          <w:p>
            <w:pPr>
              <w:pBdr/>
              <w:spacing w:after="0"/>
              <w:ind/>
              <w:rPr/>
            </w:pPr>
            <w:r>
              <w:t xml:space="preserve">02/07/2026</w:t>
            </w:r>
            <w:r/>
          </w:p>
        </w:tc>
        <w:tc>
          <w:tcPr>
            <w:tcBorders/>
            <w:tcMar>
              <w:left w:w="108" w:type="dxa"/>
              <w:top w:w="100" w:type="dxa"/>
              <w:right w:w="108" w:type="dxa"/>
              <w:bottom w:w="100" w:type="dxa"/>
            </w:tcMar>
            <w:tcW w:w="1028" w:type="dxa"/>
          </w:tcPr>
          <w:p>
            <w:pPr>
              <w:pBdr/>
              <w:spacing w:after="0"/>
              <w:ind/>
              <w:jc w:val="right"/>
              <w:rPr/>
            </w:pPr>
            <w:r>
              <w:t xml:space="preserve">1.12</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jc w:val="left"/>
              <w:rPr/>
            </w:pPr>
            <w:r>
              <w:t xml:space="preserve">Alinhamento da especificação : correção de versões de tecnologias, padronização da nomenclatura de status e atualização de requisitos, regras de negócio e arquitetura.</w:t>
            </w:r>
            <w:r/>
          </w:p>
        </w:tc>
      </w:tr>
      <w:tr>
        <w:trPr>
          <w:trHeight w:val="654"/>
        </w:trPr>
        <w:tc>
          <w:tcPr>
            <w:tcBorders/>
            <w:tcMar>
              <w:left w:w="108" w:type="dxa"/>
              <w:top w:w="100" w:type="dxa"/>
              <w:right w:w="108" w:type="dxa"/>
              <w:bottom w:w="100" w:type="dxa"/>
            </w:tcMar>
            <w:tcW w:w="1408" w:type="dxa"/>
          </w:tcPr>
          <w:p>
            <w:pPr>
              <w:pBdr/>
              <w:spacing w:after="0"/>
              <w:ind/>
              <w:rPr/>
            </w:pPr>
            <w:r>
              <w:t xml:space="preserve">28/06/2026</w:t>
            </w:r>
            <w:r/>
          </w:p>
        </w:tc>
        <w:tc>
          <w:tcPr>
            <w:tcBorders/>
            <w:tcMar>
              <w:left w:w="108" w:type="dxa"/>
              <w:top w:w="100" w:type="dxa"/>
              <w:right w:w="108" w:type="dxa"/>
              <w:bottom w:w="100" w:type="dxa"/>
            </w:tcMar>
            <w:tcW w:w="1028" w:type="dxa"/>
          </w:tcPr>
          <w:p>
            <w:pPr>
              <w:pBdr/>
              <w:spacing w:after="0"/>
              <w:ind/>
              <w:jc w:val="right"/>
              <w:rPr/>
            </w:pPr>
            <w:r>
              <w:t xml:space="preserve">1.11</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Correções dos apontamentos da banca de qualificação.</w:t>
            </w:r>
            <w:r/>
          </w:p>
        </w:tc>
      </w:tr>
      <w:tr>
        <w:trPr/>
        <w:tc>
          <w:tcPr>
            <w:tcBorders/>
            <w:tcMar>
              <w:left w:w="108" w:type="dxa"/>
              <w:top w:w="100" w:type="dxa"/>
              <w:right w:w="108" w:type="dxa"/>
              <w:bottom w:w="100" w:type="dxa"/>
            </w:tcMar>
            <w:tcW w:w="1408" w:type="dxa"/>
          </w:tcPr>
          <w:p>
            <w:pPr>
              <w:pBdr/>
              <w:spacing w:after="0"/>
              <w:ind/>
              <w:rPr/>
            </w:pPr>
            <w:r>
              <w:t xml:space="preserve">16/06/2026</w:t>
            </w:r>
            <w:r/>
          </w:p>
        </w:tc>
        <w:tc>
          <w:tcPr>
            <w:tcBorders/>
            <w:tcMar>
              <w:left w:w="108" w:type="dxa"/>
              <w:top w:w="100" w:type="dxa"/>
              <w:right w:w="108" w:type="dxa"/>
              <w:bottom w:w="100" w:type="dxa"/>
            </w:tcMar>
            <w:tcW w:w="1028" w:type="dxa"/>
          </w:tcPr>
          <w:p>
            <w:pPr>
              <w:pBdr/>
              <w:spacing w:after="0"/>
              <w:ind/>
              <w:jc w:val="right"/>
              <w:rPr/>
            </w:pPr>
            <w:r>
              <w:t xml:space="preserve">1.10</w:t>
            </w:r>
            <w:r/>
          </w:p>
        </w:tc>
        <w:tc>
          <w:tcPr>
            <w:tcBorders/>
            <w:tcMar>
              <w:left w:w="108" w:type="dxa"/>
              <w:top w:w="100" w:type="dxa"/>
              <w:right w:w="108" w:type="dxa"/>
              <w:bottom w:w="100" w:type="dxa"/>
            </w:tcMar>
            <w:tcW w:w="2835" w:type="dxa"/>
          </w:tcPr>
          <w:p>
            <w:pPr>
              <w:pBdr/>
              <w:spacing w:after="0"/>
              <w:ind/>
              <w:rPr/>
            </w:pPr>
            <w:r>
              <w:t xml:space="preserve">Andrey Pereira, Luciane Santos e Eunice Gomes.</w:t>
            </w:r>
            <w:r/>
          </w:p>
        </w:tc>
        <w:tc>
          <w:tcPr>
            <w:tcBorders/>
            <w:tcMar>
              <w:left w:w="108" w:type="dxa"/>
              <w:top w:w="100" w:type="dxa"/>
              <w:right w:w="108" w:type="dxa"/>
              <w:bottom w:w="100" w:type="dxa"/>
            </w:tcMar>
            <w:tcW w:w="3941" w:type="dxa"/>
          </w:tcPr>
          <w:p>
            <w:pPr>
              <w:pBdr/>
              <w:spacing w:after="0"/>
              <w:ind/>
              <w:rPr/>
            </w:pPr>
            <w:r>
              <w:t xml:space="preserve">Apontamentos da banca de qualificação.</w:t>
            </w:r>
            <w:r/>
          </w:p>
        </w:tc>
      </w:tr>
      <w:tr>
        <w:trPr/>
        <w:tc>
          <w:tcPr>
            <w:tcBorders/>
            <w:tcMar>
              <w:left w:w="108" w:type="dxa"/>
              <w:top w:w="100" w:type="dxa"/>
              <w:right w:w="108" w:type="dxa"/>
              <w:bottom w:w="100" w:type="dxa"/>
            </w:tcMar>
            <w:tcW w:w="1408" w:type="dxa"/>
          </w:tcPr>
          <w:p>
            <w:pPr>
              <w:pBdr/>
              <w:spacing w:after="0"/>
              <w:ind/>
              <w:rPr/>
            </w:pPr>
            <w:r>
              <w:t xml:space="preserve">05/06/2026</w:t>
            </w:r>
            <w:r/>
          </w:p>
        </w:tc>
        <w:tc>
          <w:tcPr>
            <w:tcBorders/>
            <w:tcMar>
              <w:left w:w="108" w:type="dxa"/>
              <w:top w:w="100" w:type="dxa"/>
              <w:right w:w="108" w:type="dxa"/>
              <w:bottom w:w="100" w:type="dxa"/>
            </w:tcMar>
            <w:tcW w:w="1028" w:type="dxa"/>
          </w:tcPr>
          <w:p>
            <w:pPr>
              <w:pBdr/>
              <w:spacing w:after="0"/>
              <w:ind/>
              <w:jc w:val="right"/>
              <w:rPr/>
            </w:pPr>
            <w:r>
              <w:t xml:space="preserve">1.9.1</w:t>
            </w:r>
            <w:r/>
          </w:p>
        </w:tc>
        <w:tc>
          <w:tcPr>
            <w:tcBorders/>
            <w:tcMar>
              <w:left w:w="108" w:type="dxa"/>
              <w:top w:w="100" w:type="dxa"/>
              <w:right w:w="108" w:type="dxa"/>
              <w:bottom w:w="100" w:type="dxa"/>
            </w:tcMar>
            <w:tcW w:w="2835" w:type="dxa"/>
          </w:tcPr>
          <w:p>
            <w:pPr>
              <w:pBdr/>
              <w:spacing w:after="0"/>
              <w:ind/>
              <w:rPr/>
            </w:pPr>
            <w:r>
              <w:t xml:space="preserve">Lucas Fiorrigi Furlan</w:t>
            </w:r>
            <w:r/>
          </w:p>
        </w:tc>
        <w:tc>
          <w:tcPr>
            <w:tcBorders/>
            <w:tcMar>
              <w:left w:w="108" w:type="dxa"/>
              <w:top w:w="100" w:type="dxa"/>
              <w:right w:w="108" w:type="dxa"/>
              <w:bottom w:w="100" w:type="dxa"/>
            </w:tcMar>
            <w:tcW w:w="3941" w:type="dxa"/>
          </w:tcPr>
          <w:p>
            <w:pPr>
              <w:pBdr/>
              <w:spacing w:after="0"/>
              <w:ind/>
              <w:rPr/>
            </w:pPr>
            <w:r>
              <w:t xml:space="preserve">Correção dos diagramas dos Apêndices A, C e F.</w:t>
            </w:r>
            <w:r/>
          </w:p>
        </w:tc>
      </w:tr>
      <w:tr>
        <w:trPr/>
        <w:tc>
          <w:tcPr>
            <w:tcBorders/>
            <w:tcMar>
              <w:left w:w="108" w:type="dxa"/>
              <w:top w:w="100" w:type="dxa"/>
              <w:right w:w="108" w:type="dxa"/>
              <w:bottom w:w="100" w:type="dxa"/>
            </w:tcMar>
            <w:tcW w:w="1408" w:type="dxa"/>
          </w:tcPr>
          <w:p>
            <w:pPr>
              <w:pBdr/>
              <w:spacing w:after="0"/>
              <w:ind/>
              <w:rPr/>
            </w:pPr>
            <w:r>
              <w:t xml:space="preserve">27/05/2026</w:t>
            </w:r>
            <w:r/>
          </w:p>
        </w:tc>
        <w:tc>
          <w:tcPr>
            <w:tcBorders/>
            <w:tcMar>
              <w:left w:w="108" w:type="dxa"/>
              <w:top w:w="100" w:type="dxa"/>
              <w:right w:w="108" w:type="dxa"/>
              <w:bottom w:w="100" w:type="dxa"/>
            </w:tcMar>
            <w:tcW w:w="1028" w:type="dxa"/>
          </w:tcPr>
          <w:p>
            <w:pPr>
              <w:pBdr/>
              <w:spacing w:after="0"/>
              <w:ind/>
              <w:jc w:val="right"/>
              <w:rPr/>
            </w:pPr>
            <w:r>
              <w:t xml:space="preserve">1.9</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pPr>
              <w:pBdr/>
              <w:spacing w:after="0"/>
              <w:ind/>
              <w:rPr/>
            </w:pPr>
            <w:r>
              <w:t xml:space="preserve">26/05/2026</w:t>
            </w:r>
            <w:r/>
          </w:p>
        </w:tc>
        <w:tc>
          <w:tcPr>
            <w:tcBorders/>
            <w:tcMar>
              <w:left w:w="108" w:type="dxa"/>
              <w:top w:w="100" w:type="dxa"/>
              <w:right w:w="108" w:type="dxa"/>
              <w:bottom w:w="100" w:type="dxa"/>
            </w:tcMar>
            <w:tcW w:w="1028" w:type="dxa"/>
          </w:tcPr>
          <w:p>
            <w:pPr>
              <w:pBdr/>
              <w:spacing w:after="0"/>
              <w:ind/>
              <w:jc w:val="right"/>
              <w:rPr/>
            </w:pPr>
            <w:r>
              <w:t xml:space="preserve">1.8</w:t>
            </w:r>
            <w:r/>
          </w:p>
        </w:tc>
        <w:tc>
          <w:tcPr>
            <w:tcBorders/>
            <w:tcMar>
              <w:left w:w="108" w:type="dxa"/>
              <w:top w:w="100" w:type="dxa"/>
              <w:right w:w="108" w:type="dxa"/>
              <w:bottom w:w="100" w:type="dxa"/>
            </w:tcMar>
            <w:tcW w:w="2835" w:type="dxa"/>
          </w:tcPr>
          <w:p>
            <w:pPr>
              <w:pBdr/>
              <w:spacing w:after="0"/>
              <w:ind/>
              <w:rPr/>
            </w:pPr>
            <w:r>
              <w:t xml:space="preserve">Eunice Gomes de Siqueira</w:t>
            </w:r>
            <w:r/>
          </w:p>
        </w:tc>
        <w:tc>
          <w:tcPr>
            <w:tcBorders/>
            <w:tcMar>
              <w:left w:w="108" w:type="dxa"/>
              <w:top w:w="100" w:type="dxa"/>
              <w:right w:w="108" w:type="dxa"/>
              <w:bottom w:w="100" w:type="dxa"/>
            </w:tcMar>
            <w:tcW w:w="3941" w:type="dxa"/>
          </w:tcPr>
          <w:p>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pPr>
              <w:pBdr/>
              <w:spacing w:after="0"/>
              <w:ind/>
              <w:rPr/>
            </w:pPr>
            <w:r>
              <w:t xml:space="preserve">23/05/2026</w:t>
            </w:r>
            <w:r/>
          </w:p>
        </w:tc>
        <w:tc>
          <w:tcPr>
            <w:tcBorders/>
            <w:tcMar>
              <w:left w:w="108" w:type="dxa"/>
              <w:top w:w="100" w:type="dxa"/>
              <w:right w:w="108" w:type="dxa"/>
              <w:bottom w:w="100" w:type="dxa"/>
            </w:tcMar>
            <w:tcW w:w="1028" w:type="dxa"/>
          </w:tcPr>
          <w:p>
            <w:pPr>
              <w:pBdr/>
              <w:spacing w:after="0"/>
              <w:ind/>
              <w:jc w:val="right"/>
              <w:rPr/>
            </w:pPr>
            <w:r>
              <w:t xml:space="preserve">1.7</w:t>
            </w:r>
            <w:r/>
          </w:p>
        </w:tc>
        <w:tc>
          <w:tcPr>
            <w:tcBorders/>
            <w:tcMar>
              <w:left w:w="108" w:type="dxa"/>
              <w:top w:w="100" w:type="dxa"/>
              <w:right w:w="108" w:type="dxa"/>
              <w:bottom w:w="100" w:type="dxa"/>
            </w:tcMar>
            <w:tcW w:w="2835" w:type="dxa"/>
          </w:tcPr>
          <w:p>
            <w:pPr>
              <w:pBdr/>
              <w:spacing w:after="0"/>
              <w:ind/>
              <w:rPr/>
            </w:pPr>
            <w:r>
              <w:t xml:space="preserve">Miguel Martins Lima</w:t>
            </w:r>
            <w:r/>
          </w:p>
        </w:tc>
        <w:tc>
          <w:tcPr>
            <w:tcBorders/>
            <w:tcMar>
              <w:left w:w="108" w:type="dxa"/>
              <w:top w:w="100" w:type="dxa"/>
              <w:right w:w="108" w:type="dxa"/>
              <w:bottom w:w="100" w:type="dxa"/>
            </w:tcMar>
            <w:tcW w:w="3941" w:type="dxa"/>
          </w:tcPr>
          <w:p>
            <w:pPr>
              <w:pBdr/>
              <w:spacing w:after="0"/>
              <w:ind/>
              <w:rPr/>
            </w:pPr>
            <w:r>
              <w:t xml:space="preserve">Adição da análise do perfil de usuários e formatação dos gráficos no relatório.</w:t>
            </w:r>
            <w:r/>
          </w:p>
        </w:tc>
      </w:tr>
      <w:tr>
        <w:trPr>
          <w:trHeight w:val="654"/>
        </w:trPr>
        <w:tc>
          <w:tcPr>
            <w:tcBorders/>
            <w:tcMar>
              <w:left w:w="108" w:type="dxa"/>
              <w:top w:w="100" w:type="dxa"/>
              <w:right w:w="108" w:type="dxa"/>
              <w:bottom w:w="100" w:type="dxa"/>
            </w:tcMar>
            <w:tcW w:w="1408" w:type="dxa"/>
          </w:tcPr>
          <w:p>
            <w:pPr>
              <w:pBdr/>
              <w:spacing w:after="0"/>
              <w:ind/>
              <w:rPr/>
            </w:pPr>
            <w:r>
              <w:t xml:space="preserve">20/05/2026</w:t>
            </w:r>
            <w:r/>
          </w:p>
        </w:tc>
        <w:tc>
          <w:tcPr>
            <w:tcBorders/>
            <w:tcMar>
              <w:left w:w="108" w:type="dxa"/>
              <w:top w:w="100" w:type="dxa"/>
              <w:right w:w="108" w:type="dxa"/>
              <w:bottom w:w="100" w:type="dxa"/>
            </w:tcMar>
            <w:tcW w:w="1028" w:type="dxa"/>
          </w:tcPr>
          <w:p>
            <w:pPr>
              <w:pBdr/>
              <w:spacing w:after="0"/>
              <w:ind/>
              <w:jc w:val="right"/>
              <w:rPr/>
            </w:pPr>
            <w:r>
              <w:t xml:space="preserve">1.6</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pPr>
              <w:pBdr/>
              <w:spacing w:after="0"/>
              <w:ind/>
              <w:rPr/>
            </w:pPr>
            <w:r>
              <w:t xml:space="preserve">08/05/2026</w:t>
            </w:r>
            <w:r/>
          </w:p>
        </w:tc>
        <w:tc>
          <w:tcPr>
            <w:tcBorders/>
            <w:tcMar>
              <w:left w:w="108" w:type="dxa"/>
              <w:top w:w="100" w:type="dxa"/>
              <w:right w:w="108" w:type="dxa"/>
              <w:bottom w:w="100" w:type="dxa"/>
            </w:tcMar>
            <w:tcW w:w="1028" w:type="dxa"/>
          </w:tcPr>
          <w:p>
            <w:pPr>
              <w:pBdr/>
              <w:spacing w:after="0"/>
              <w:ind/>
              <w:jc w:val="right"/>
              <w:rPr/>
            </w:pPr>
            <w:r>
              <w:t xml:space="preserve">1.5</w:t>
            </w:r>
            <w:r/>
          </w:p>
        </w:tc>
        <w:tc>
          <w:tcPr>
            <w:tcBorders/>
            <w:tcMar>
              <w:left w:w="108" w:type="dxa"/>
              <w:top w:w="100" w:type="dxa"/>
              <w:right w:w="108" w:type="dxa"/>
              <w:bottom w:w="100" w:type="dxa"/>
            </w:tcMar>
            <w:tcW w:w="2835" w:type="dxa"/>
          </w:tcPr>
          <w:p>
            <w:pPr>
              <w:pBdr/>
              <w:spacing w:after="0"/>
              <w:ind/>
              <w:rPr/>
            </w:pPr>
            <w:r>
              <w:t xml:space="preserve">Eunice Gomes de Siqueira</w:t>
            </w:r>
            <w:r/>
          </w:p>
        </w:tc>
        <w:tc>
          <w:tcPr>
            <w:tcBorders/>
            <w:tcMar>
              <w:left w:w="108" w:type="dxa"/>
              <w:top w:w="100" w:type="dxa"/>
              <w:right w:w="108" w:type="dxa"/>
              <w:bottom w:w="100" w:type="dxa"/>
            </w:tcMar>
            <w:tcW w:w="3941" w:type="dxa"/>
          </w:tcPr>
          <w:p>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tcPr>
          <w:p>
            <w:pPr>
              <w:pBdr/>
              <w:spacing w:after="0"/>
              <w:ind/>
              <w:rPr/>
            </w:pPr>
            <w:r>
              <w:t xml:space="preserve">02/05/2026</w:t>
            </w:r>
            <w:r/>
          </w:p>
        </w:tc>
        <w:tc>
          <w:tcPr>
            <w:tcBorders/>
            <w:tcMar>
              <w:left w:w="108" w:type="dxa"/>
              <w:top w:w="100" w:type="dxa"/>
              <w:right w:w="108" w:type="dxa"/>
              <w:bottom w:w="100" w:type="dxa"/>
            </w:tcMar>
            <w:tcW w:w="1028" w:type="dxa"/>
          </w:tcPr>
          <w:p>
            <w:pPr>
              <w:pBdr/>
              <w:spacing w:after="0"/>
              <w:ind/>
              <w:jc w:val="right"/>
              <w:rPr/>
            </w:pPr>
            <w:r>
              <w:t xml:space="preserve">1.4.3</w:t>
            </w:r>
            <w:r/>
          </w:p>
        </w:tc>
        <w:tc>
          <w:tcPr>
            <w:tcBorders/>
            <w:tcMar>
              <w:left w:w="108" w:type="dxa"/>
              <w:top w:w="100" w:type="dxa"/>
              <w:right w:w="108" w:type="dxa"/>
              <w:bottom w:w="100" w:type="dxa"/>
            </w:tcMar>
            <w:tcW w:w="2835" w:type="dxa"/>
          </w:tcPr>
          <w:p>
            <w:pPr>
              <w:pBdr/>
              <w:spacing w:after="0"/>
              <w:ind/>
              <w:rPr/>
            </w:pPr>
            <w:r>
              <w:t xml:space="preserve">Lucas Fiorrigi Furlan</w:t>
            </w:r>
            <w:r/>
          </w:p>
        </w:tc>
        <w:tc>
          <w:tcPr>
            <w:tcBorders/>
            <w:tcMar>
              <w:left w:w="108" w:type="dxa"/>
              <w:top w:w="100" w:type="dxa"/>
              <w:right w:w="108" w:type="dxa"/>
              <w:bottom w:w="100" w:type="dxa"/>
            </w:tcMar>
            <w:tcW w:w="3941" w:type="dxa"/>
          </w:tcPr>
          <w:p>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tcPr>
          <w:p>
            <w:pPr>
              <w:pBdr/>
              <w:spacing w:after="0"/>
              <w:ind/>
              <w:rPr/>
            </w:pPr>
            <w:r>
              <w:t xml:space="preserve">29/04/2026</w:t>
            </w:r>
            <w:r/>
          </w:p>
        </w:tc>
        <w:tc>
          <w:tcPr>
            <w:tcBorders/>
            <w:tcMar>
              <w:left w:w="108" w:type="dxa"/>
              <w:top w:w="100" w:type="dxa"/>
              <w:right w:w="108" w:type="dxa"/>
              <w:bottom w:w="100" w:type="dxa"/>
            </w:tcMar>
            <w:tcW w:w="1028" w:type="dxa"/>
          </w:tcPr>
          <w:p>
            <w:pPr>
              <w:pBdr/>
              <w:spacing w:after="0"/>
              <w:ind/>
              <w:jc w:val="right"/>
              <w:rPr/>
            </w:pPr>
            <w:r>
              <w:t xml:space="preserve">1.4.2</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Adição dos diagramas nos apêndices e preenchimento parcial dos Capítulos 6 e 7.</w:t>
            </w:r>
            <w:r/>
          </w:p>
        </w:tc>
      </w:tr>
      <w:tr>
        <w:trPr>
          <w:trHeight w:val="654"/>
        </w:trPr>
        <w:tc>
          <w:tcPr>
            <w:tcBorders/>
            <w:tcMar>
              <w:left w:w="108" w:type="dxa"/>
              <w:top w:w="100" w:type="dxa"/>
              <w:right w:w="108" w:type="dxa"/>
              <w:bottom w:w="100" w:type="dxa"/>
            </w:tcMar>
            <w:tcW w:w="1408" w:type="dxa"/>
          </w:tcPr>
          <w:p>
            <w:pPr>
              <w:pBdr/>
              <w:spacing w:after="0"/>
              <w:ind/>
              <w:rPr/>
            </w:pPr>
            <w:r>
              <w:t xml:space="preserve">28/04/2026</w:t>
            </w:r>
            <w:r/>
          </w:p>
        </w:tc>
        <w:tc>
          <w:tcPr>
            <w:tcBorders/>
            <w:tcMar>
              <w:left w:w="108" w:type="dxa"/>
              <w:top w:w="100" w:type="dxa"/>
              <w:right w:w="108" w:type="dxa"/>
              <w:bottom w:w="100" w:type="dxa"/>
            </w:tcMar>
            <w:tcW w:w="1028" w:type="dxa"/>
          </w:tcPr>
          <w:p>
            <w:pPr>
              <w:pBdr/>
              <w:spacing w:after="0"/>
              <w:ind/>
              <w:jc w:val="right"/>
              <w:rPr/>
            </w:pPr>
            <w:r>
              <w:t xml:space="preserve">1.4.1</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pPr>
              <w:pBdr/>
              <w:spacing w:after="0"/>
              <w:ind/>
              <w:rPr/>
            </w:pPr>
            <w:r>
              <w:t xml:space="preserve">23/04/2026</w:t>
            </w:r>
            <w:r/>
          </w:p>
        </w:tc>
        <w:tc>
          <w:tcPr>
            <w:tcBorders/>
            <w:tcMar>
              <w:left w:w="108" w:type="dxa"/>
              <w:top w:w="100" w:type="dxa"/>
              <w:right w:w="108" w:type="dxa"/>
              <w:bottom w:w="100" w:type="dxa"/>
            </w:tcMar>
            <w:tcW w:w="1028" w:type="dxa"/>
          </w:tcPr>
          <w:p>
            <w:pPr>
              <w:pBdr/>
              <w:spacing w:after="0"/>
              <w:ind/>
              <w:jc w:val="right"/>
              <w:rPr/>
            </w:pPr>
            <w:r>
              <w:t xml:space="preserve">1.3</w:t>
            </w:r>
            <w:r/>
          </w:p>
        </w:tc>
        <w:tc>
          <w:tcPr>
            <w:tcBorders/>
            <w:tcMar>
              <w:left w:w="108" w:type="dxa"/>
              <w:top w:w="100" w:type="dxa"/>
              <w:right w:w="108" w:type="dxa"/>
              <w:bottom w:w="100" w:type="dxa"/>
            </w:tcMar>
            <w:tcW w:w="2835" w:type="dxa"/>
          </w:tcPr>
          <w:p>
            <w:pPr>
              <w:pBdr/>
              <w:spacing w:after="0"/>
              <w:ind/>
              <w:rPr/>
            </w:pPr>
            <w:r>
              <w:t xml:space="preserve">Eunice Gomes de Siqueira</w:t>
            </w:r>
            <w:r/>
          </w:p>
        </w:tc>
        <w:tc>
          <w:tcPr>
            <w:tcBorders/>
            <w:tcMar>
              <w:left w:w="108" w:type="dxa"/>
              <w:top w:w="100" w:type="dxa"/>
              <w:right w:w="108" w:type="dxa"/>
              <w:bottom w:w="100" w:type="dxa"/>
            </w:tcMar>
            <w:tcW w:w="3941" w:type="dxa"/>
          </w:tcPr>
          <w:p>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tcPr>
          <w:p>
            <w:pPr>
              <w:pBdr/>
              <w:spacing w:after="0"/>
              <w:ind/>
              <w:rPr/>
            </w:pPr>
            <w:r>
              <w:t xml:space="preserve">16/04/2026</w:t>
            </w:r>
            <w:r/>
          </w:p>
        </w:tc>
        <w:tc>
          <w:tcPr>
            <w:tcBorders/>
            <w:tcMar>
              <w:left w:w="108" w:type="dxa"/>
              <w:top w:w="100" w:type="dxa"/>
              <w:right w:w="108" w:type="dxa"/>
              <w:bottom w:w="100" w:type="dxa"/>
            </w:tcMar>
            <w:tcW w:w="1028" w:type="dxa"/>
          </w:tcPr>
          <w:p>
            <w:pPr>
              <w:pBdr/>
              <w:spacing w:after="0"/>
              <w:ind/>
              <w:jc w:val="right"/>
              <w:rPr/>
            </w:pPr>
            <w:r>
              <w:t xml:space="preserve">1.2</w:t>
            </w:r>
            <w:r/>
          </w:p>
        </w:tc>
        <w:tc>
          <w:tcPr>
            <w:tcBorders/>
            <w:tcMar>
              <w:left w:w="108" w:type="dxa"/>
              <w:top w:w="100" w:type="dxa"/>
              <w:right w:w="108" w:type="dxa"/>
              <w:bottom w:w="100" w:type="dxa"/>
            </w:tcMar>
            <w:tcW w:w="2835" w:type="dxa"/>
          </w:tcPr>
          <w:p>
            <w:pPr>
              <w:pBdr/>
              <w:spacing w:after="0"/>
              <w:ind/>
              <w:rPr/>
            </w:pPr>
            <w:r>
              <w:t xml:space="preserve">Rodrigo Pereira Romano</w:t>
            </w:r>
            <w:r/>
          </w:p>
        </w:tc>
        <w:tc>
          <w:tcPr>
            <w:tcBorders/>
            <w:tcMar>
              <w:left w:w="108" w:type="dxa"/>
              <w:top w:w="100" w:type="dxa"/>
              <w:right w:w="108" w:type="dxa"/>
              <w:bottom w:w="100" w:type="dxa"/>
            </w:tcMar>
            <w:tcW w:w="3941" w:type="dxa"/>
          </w:tcPr>
          <w:p>
            <w:pPr>
              <w:pBdr/>
              <w:spacing w:after="0"/>
              <w:ind/>
              <w:rPr/>
            </w:pPr>
            <w:r>
              <w:t xml:space="preserve">Correções da Fase 1.</w:t>
            </w:r>
            <w:r/>
          </w:p>
        </w:tc>
      </w:tr>
      <w:tr>
        <w:trPr/>
        <w:tc>
          <w:tcPr>
            <w:tcBorders/>
            <w:tcMar>
              <w:left w:w="108" w:type="dxa"/>
              <w:top w:w="100" w:type="dxa"/>
              <w:right w:w="108" w:type="dxa"/>
              <w:bottom w:w="100" w:type="dxa"/>
            </w:tcMar>
            <w:tcW w:w="1408" w:type="dxa"/>
          </w:tcPr>
          <w:p>
            <w:pPr>
              <w:pBdr/>
              <w:spacing w:after="0"/>
              <w:ind/>
              <w:rPr/>
            </w:pPr>
            <w:r>
              <w:t xml:space="preserve">05/04/2026</w:t>
            </w:r>
            <w:r/>
          </w:p>
        </w:tc>
        <w:tc>
          <w:tcPr>
            <w:tcBorders/>
            <w:tcMar>
              <w:left w:w="108" w:type="dxa"/>
              <w:top w:w="100" w:type="dxa"/>
              <w:right w:w="108" w:type="dxa"/>
              <w:bottom w:w="100" w:type="dxa"/>
            </w:tcMar>
            <w:tcW w:w="1028" w:type="dxa"/>
          </w:tcPr>
          <w:p>
            <w:pPr>
              <w:pBdr/>
              <w:spacing w:after="0"/>
              <w:ind/>
              <w:jc w:val="right"/>
              <w:rPr/>
            </w:pPr>
            <w:r>
              <w:t xml:space="preserve">1.1</w:t>
            </w:r>
            <w:r/>
          </w:p>
        </w:tc>
        <w:tc>
          <w:tcPr>
            <w:tcBorders/>
            <w:tcMar>
              <w:left w:w="108" w:type="dxa"/>
              <w:top w:w="100" w:type="dxa"/>
              <w:right w:w="108" w:type="dxa"/>
              <w:bottom w:w="100" w:type="dxa"/>
            </w:tcMar>
            <w:tcW w:w="2835" w:type="dxa"/>
          </w:tcPr>
          <w:p>
            <w:pPr>
              <w:pBdr/>
              <w:spacing w:after="0"/>
              <w:ind/>
              <w:rPr/>
            </w:pPr>
            <w:r>
              <w:t xml:space="preserve">Eunice Gomes de Siqueira</w:t>
            </w:r>
            <w:r/>
          </w:p>
        </w:tc>
        <w:tc>
          <w:tcPr>
            <w:tcBorders/>
            <w:tcMar>
              <w:left w:w="108" w:type="dxa"/>
              <w:top w:w="100" w:type="dxa"/>
              <w:right w:w="108" w:type="dxa"/>
              <w:bottom w:w="100" w:type="dxa"/>
            </w:tcMar>
            <w:tcW w:w="3941" w:type="dxa"/>
          </w:tcPr>
          <w:p>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pPr>
              <w:pBdr/>
              <w:spacing w:after="0"/>
              <w:ind/>
              <w:rPr/>
            </w:pPr>
            <w:r>
              <w:t xml:space="preserve">28/03/2026</w:t>
            </w:r>
            <w:r/>
          </w:p>
        </w:tc>
        <w:tc>
          <w:tcPr>
            <w:tcBorders/>
            <w:tcMar>
              <w:left w:w="108" w:type="dxa"/>
              <w:top w:w="100" w:type="dxa"/>
              <w:right w:w="108" w:type="dxa"/>
              <w:bottom w:w="100" w:type="dxa"/>
            </w:tcMar>
            <w:tcW w:w="1028" w:type="dxa"/>
          </w:tcPr>
          <w:p>
            <w:pPr>
              <w:pBdr/>
              <w:spacing w:after="0"/>
              <w:ind/>
              <w:jc w:val="right"/>
              <w:rPr/>
            </w:pPr>
            <w:r>
              <w:t xml:space="preserve">1.0</w:t>
            </w:r>
            <w:r/>
          </w:p>
        </w:tc>
        <w:tc>
          <w:tcPr>
            <w:tcBorders/>
            <w:tcMar>
              <w:left w:w="108" w:type="dxa"/>
              <w:top w:w="100" w:type="dxa"/>
              <w:right w:w="108" w:type="dxa"/>
              <w:bottom w:w="100" w:type="dxa"/>
            </w:tcMar>
            <w:tcW w:w="2835" w:type="dxa"/>
          </w:tcPr>
          <w:p>
            <w:pPr>
              <w:pBdr/>
              <w:spacing w:after="0"/>
              <w:ind/>
              <w:rPr/>
            </w:pPr>
            <w:r>
              <w:t xml:space="preserve">Lucas Fiorrigi Furlan e  Miguel Martins Lima.</w:t>
            </w:r>
            <w:r/>
          </w:p>
        </w:tc>
        <w:tc>
          <w:tcPr>
            <w:tcBorders/>
            <w:tcMar>
              <w:left w:w="108" w:type="dxa"/>
              <w:top w:w="100" w:type="dxa"/>
              <w:right w:w="108" w:type="dxa"/>
              <w:bottom w:w="100" w:type="dxa"/>
            </w:tcMar>
            <w:tcW w:w="3941" w:type="dxa"/>
          </w:tcPr>
          <w:p>
            <w:pPr>
              <w:pBdr/>
              <w:spacing w:after="0"/>
              <w:ind/>
              <w:rPr/>
            </w:pPr>
            <w:r>
              <w:t xml:space="preserve">Entrega da Fase 1.</w:t>
            </w:r>
            <w:r/>
          </w:p>
        </w:tc>
      </w:tr>
    </w:tbl>
    <w:p>
      <w:pPr>
        <w:pStyle w:val="1832"/>
        <w:pBdr/>
        <w:spacing/>
        <w:ind/>
        <w:rPr/>
      </w:pPr>
      <w:r>
        <w:br w:type="page" w:clear="all"/>
        <w:t xml:space="preserve">AGRADECIMENTOS</w:t>
      </w:r>
      <w:r/>
    </w:p>
    <w:p>
      <w:pPr>
        <w:pBdr/>
        <w:spacing/>
        <w:ind/>
        <w:rPr/>
      </w:pPr>
      <w:r>
        <w:t xml:space="preserve">À Professora Eu</w:t>
      </w:r>
      <w:r>
        <w:t xml:space="preserve">nice Gomes de Siqueira, orientadora deste Projeto Final de Curso, pela coordenação geral do trabalho, pela condução criteriosa de cada uma de suas fases e pelas revisões atentas e fundamentadas, que contribuíram de forma decisiva para o seu amadurecimento.</w:t>
      </w:r>
      <w:r/>
    </w:p>
    <w:p>
      <w:pPr>
        <w:pBdr/>
        <w:spacing/>
        <w:ind/>
        <w:rPr/>
      </w:pPr>
      <w:r>
        <w:t xml:space="preserve">Ao Professor Andrey Pereira, pelo acompanhamento técnico prestado ao longo do desenvolvimento do sistema e pelas valiosas contribuições quanto à arquitetura, à segurança da informação e ao desempenho da solução, que elevaram a sua qualidade.</w:t>
      </w:r>
      <w:r/>
    </w:p>
    <w:p>
      <w:pPr>
        <w:pStyle w:val="1832"/>
        <w:pBdr/>
        <w:spacing/>
        <w:ind/>
        <w:rPr/>
      </w:pPr>
      <w:r>
        <w:br w:type="page" w:clear="all"/>
        <w:t xml:space="preserve">RESUMO</w:t>
      </w:r>
      <w:r/>
    </w:p>
    <w:p>
      <w:pPr>
        <w:pBdr/>
        <w:spacing/>
        <w:ind/>
        <w:rPr/>
      </w:pPr>
      <w:r>
        <w:t xml:space="preserve">O projeto "Fala, Cidade!" consiste do desenvolvimento de um sistema de informação para o relato de ocorrências pelo cidadão à administração pública </w:t>
      </w:r>
      <w:r>
        <w:t xml:space="preserve">e  de apoio à gestão de zeladoria pública municipal. Por meio desse sistema, será possível aproximar ainda mais a sociedade civil da administração pública, a partir de um canal digital direto e responsivo para o relato de ocorrências de eventos em infraest</w:t>
      </w:r>
      <w:r>
        <w:t xml:space="preserve">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codificação e testes de software orientados a objetos. A composição do sistema inclui aplicativo para uso com navegador </w:t>
      </w:r>
      <w:r>
        <w:rPr>
          <w:i/>
        </w:rPr>
        <w:t xml:space="preserve">Web</w:t>
      </w:r>
      <w:r>
        <w:t xml:space="preserve"> progressivo e integrado com serviços abertos de georeferenciamento e interfaces de programação de aplicações desenvolvidas para atender aos objetivos do projeto e às partes interessadas. Os resultados obtidos com este projeto consi</w:t>
      </w:r>
      <w:r>
        <w:t xml:space="preserve">stem da especificação de um sistema de software com requisitos funcionais e não funcionais, todos eles em conformidade com a legislação de proteção de dados pessoais e artefatos de software codificados com base na arquitetura de sistema proposta. Espera-se</w:t>
      </w:r>
      <w:r>
        <w:t xml:space="preserve"> que este projeto promova o engajamento comunitário por meio de mecanismos inovadores e que o rigor aplicado na engenharia de requisitos, modelagem, codificação e testes estabeleça os alicerces sólidos para a futura implantação deste sistema de informação.</w:t>
      </w:r>
      <w:r/>
    </w:p>
    <w:p>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pPr>
        <w:pBdr/>
        <w:spacing/>
        <w:ind/>
        <w:jc w:val="left"/>
        <w:rPr/>
      </w:pPr>
      <w:r>
        <w:br w:type="page" w:clear="all"/>
      </w:r>
      <w:r/>
    </w:p>
    <w:p>
      <w:pPr>
        <w:pStyle w:val="1832"/>
        <w:pBdr/>
        <w:spacing/>
        <w:ind/>
        <w:rPr/>
      </w:pPr>
      <w:r>
        <w:t xml:space="preserve">LISTA DE FIGURAS</w:t>
      </w:r>
      <w:r/>
    </w:p>
    <w:p w14:paraId="193C0EBC">
      <w:pPr>
        <w:pStyle w:val="1849"/>
        <w:pBdr/>
        <w:tabs>
          <w:tab w:val="right" w:leader="dot" w:pos="9062"/>
        </w:tabs>
        <w:spacing/>
        <w:ind/>
        <w:rPr/>
      </w:pPr>
      <w:r>
        <w:rPr>
          <w:caps w:val="0"/>
        </w:rPr>
        <w:fldChar w:fldCharType="begin"/>
        <w:instrText xml:space="preserve">TOC \h \c "FIGURA"</w:instrText>
        <w:fldChar w:fldCharType="separate"/>
      </w:r>
      <w:hyperlink w:tooltip="#_Toc1" w:anchor="_Toc1" w:history="1">
        <w:r>
          <w:rPr>
            <w:rStyle w:val="1830"/>
          </w:rPr>
        </w:r>
        <w:r>
          <w:rPr>
            <w:rStyle w:val="1830"/>
          </w:rPr>
          <w:t xml:space="preserve">FIGURA 1 – Interface de consulta do aplicativo Colab</w:t>
        </w:r>
        <w:r>
          <w:rPr>
            <w:rStyle w:val="1830"/>
          </w:rPr>
        </w:r>
        <w:r>
          <w:tab/>
        </w:r>
        <w:r>
          <w:fldChar w:fldCharType="begin"/>
          <w:instrText xml:space="preserve">PAGEREF _Toc1 \h</w:instrText>
          <w:fldChar w:fldCharType="separate"/>
          <w:t xml:space="preserve">24</w:t>
          <w:fldChar w:fldCharType="end"/>
        </w:r>
      </w:hyperlink>
      <w:r/>
      <w:r/>
    </w:p>
    <w:p w14:paraId="12CE1913">
      <w:pPr>
        <w:pStyle w:val="1849"/>
        <w:pBdr/>
        <w:tabs>
          <w:tab w:val="right" w:leader="dot" w:pos="9062"/>
        </w:tabs>
        <w:spacing/>
        <w:ind/>
        <w:rPr/>
      </w:pPr>
      <w:r/>
      <w:hyperlink w:tooltip="#_Toc2" w:anchor="_Toc2" w:history="1">
        <w:r>
          <w:rPr>
            <w:rStyle w:val="1830"/>
          </w:rPr>
        </w:r>
        <w:r>
          <w:rPr>
            <w:rStyle w:val="1830"/>
          </w:rPr>
          <w:t xml:space="preserve">FIGURA 2 - Interface de</w:t>
        </w:r>
        <w:r>
          <w:rPr>
            <w:rStyle w:val="1830"/>
            <w:i/>
          </w:rPr>
          <w:t xml:space="preserve"> feed</w:t>
        </w:r>
        <w:r>
          <w:rPr>
            <w:rStyle w:val="1830"/>
          </w:rPr>
          <w:t xml:space="preserve"> do aplicativo Colab</w:t>
        </w:r>
        <w:r>
          <w:rPr>
            <w:rStyle w:val="1830"/>
          </w:rPr>
        </w:r>
        <w:r>
          <w:tab/>
        </w:r>
        <w:r>
          <w:fldChar w:fldCharType="begin"/>
          <w:instrText xml:space="preserve">PAGEREF _Toc2 \h</w:instrText>
          <w:fldChar w:fldCharType="separate"/>
          <w:t xml:space="preserve">24</w:t>
          <w:fldChar w:fldCharType="end"/>
        </w:r>
      </w:hyperlink>
      <w:r/>
      <w:r/>
    </w:p>
    <w:p w14:paraId="5742C6B9">
      <w:pPr>
        <w:pStyle w:val="1849"/>
        <w:pBdr/>
        <w:tabs>
          <w:tab w:val="right" w:leader="dot" w:pos="9062"/>
        </w:tabs>
        <w:spacing/>
        <w:ind/>
        <w:rPr/>
      </w:pPr>
      <w:r/>
      <w:hyperlink w:tooltip="#_Toc3" w:anchor="_Toc3" w:history="1">
        <w:r>
          <w:rPr>
            <w:rStyle w:val="1830"/>
          </w:rPr>
        </w:r>
        <w:r>
          <w:rPr>
            <w:rStyle w:val="1830"/>
          </w:rPr>
          <w:t xml:space="preserve">FIGURA 3 - Seleção da unidade da federação na plataforma e-Ouve</w:t>
        </w:r>
        <w:r>
          <w:rPr>
            <w:rStyle w:val="1830"/>
          </w:rPr>
          <w:t xml:space="preserve"> </w:t>
        </w:r>
        <w:r>
          <w:rPr>
            <w:rStyle w:val="1830"/>
          </w:rPr>
        </w:r>
        <w:r>
          <w:tab/>
        </w:r>
        <w:r>
          <w:fldChar w:fldCharType="begin"/>
          <w:instrText xml:space="preserve">PAGEREF _Toc3 \h</w:instrText>
          <w:fldChar w:fldCharType="separate"/>
          <w:t xml:space="preserve">25</w:t>
          <w:fldChar w:fldCharType="end"/>
        </w:r>
      </w:hyperlink>
      <w:r/>
      <w:r/>
    </w:p>
    <w:p w14:paraId="5E75E237">
      <w:pPr>
        <w:pStyle w:val="1849"/>
        <w:pBdr/>
        <w:tabs>
          <w:tab w:val="right" w:leader="dot" w:pos="9062"/>
        </w:tabs>
        <w:spacing/>
        <w:ind/>
        <w:rPr/>
      </w:pPr>
      <w:r/>
      <w:hyperlink w:tooltip="#_Toc4" w:anchor="_Toc4" w:history="1">
        <w:r>
          <w:rPr>
            <w:rStyle w:val="1830"/>
          </w:rPr>
        </w:r>
        <w:r>
          <w:rPr>
            <w:rStyle w:val="1830"/>
          </w:rPr>
          <w:t xml:space="preserve">FIGURA 4 - Seleção de serviços na plataforma e-Ouve</w:t>
        </w:r>
        <w:r>
          <w:rPr>
            <w:rStyle w:val="1830"/>
          </w:rPr>
        </w:r>
        <w:r>
          <w:tab/>
        </w:r>
        <w:r>
          <w:fldChar w:fldCharType="begin"/>
          <w:instrText xml:space="preserve">PAGEREF _Toc4 \h</w:instrText>
          <w:fldChar w:fldCharType="separate"/>
          <w:t xml:space="preserve">26</w:t>
          <w:fldChar w:fldCharType="end"/>
        </w:r>
      </w:hyperlink>
      <w:r/>
      <w:r/>
    </w:p>
    <w:p w14:paraId="2E51574E">
      <w:pPr>
        <w:pStyle w:val="1849"/>
        <w:pBdr/>
        <w:tabs>
          <w:tab w:val="right" w:leader="dot" w:pos="9062"/>
        </w:tabs>
        <w:spacing/>
        <w:ind/>
        <w:rPr/>
      </w:pPr>
      <w:r/>
      <w:hyperlink w:tooltip="#_Toc5" w:anchor="_Toc5" w:history="1">
        <w:r>
          <w:rPr>
            <w:rStyle w:val="1830"/>
          </w:rPr>
        </w:r>
        <w:r>
          <w:rPr>
            <w:rStyle w:val="1830"/>
          </w:rPr>
          <w:t xml:space="preserve">FIGURA 5 - Estrutura do repositório remoto no GitHub</w:t>
        </w:r>
        <w:r>
          <w:rPr>
            <w:rStyle w:val="1830"/>
          </w:rPr>
        </w:r>
        <w:r>
          <w:tab/>
        </w:r>
        <w:r>
          <w:fldChar w:fldCharType="begin"/>
          <w:instrText xml:space="preserve">PAGEREF _Toc5 \h</w:instrText>
          <w:fldChar w:fldCharType="separate"/>
          <w:t xml:space="preserve">42</w:t>
          <w:fldChar w:fldCharType="end"/>
        </w:r>
      </w:hyperlink>
      <w:r/>
      <w:r/>
    </w:p>
    <w:p w14:paraId="384E1790">
      <w:pPr>
        <w:pStyle w:val="1849"/>
        <w:pBdr/>
        <w:tabs>
          <w:tab w:val="right" w:leader="dot" w:pos="9062"/>
        </w:tabs>
        <w:spacing/>
        <w:ind/>
        <w:rPr/>
      </w:pPr>
      <w:r/>
      <w:hyperlink w:tooltip="#_Toc6" w:anchor="_Toc6" w:history="1">
        <w:r>
          <w:rPr>
            <w:rStyle w:val="1830"/>
          </w:rPr>
        </w:r>
        <w:r>
          <w:rPr>
            <w:rStyle w:val="1830"/>
          </w:rPr>
          <w:t xml:space="preserve">FIGURA 6 – Perfil de usuário do respondente</w:t>
        </w:r>
        <w:r>
          <w:rPr>
            <w:rStyle w:val="1830"/>
          </w:rPr>
        </w:r>
        <w:r>
          <w:tab/>
        </w:r>
        <w:r>
          <w:fldChar w:fldCharType="begin"/>
          <w:instrText xml:space="preserve">PAGEREF _Toc6 \h</w:instrText>
          <w:fldChar w:fldCharType="separate"/>
          <w:t xml:space="preserve">76</w:t>
          <w:fldChar w:fldCharType="end"/>
        </w:r>
      </w:hyperlink>
      <w:r/>
      <w:r/>
    </w:p>
    <w:p w14:paraId="3F141B52">
      <w:pPr>
        <w:pStyle w:val="1849"/>
        <w:pBdr/>
        <w:tabs>
          <w:tab w:val="right" w:leader="dot" w:pos="9062"/>
        </w:tabs>
        <w:spacing/>
        <w:ind/>
        <w:rPr/>
      </w:pPr>
      <w:r/>
      <w:hyperlink w:tooltip="#_Toc7" w:anchor="_Toc7" w:history="1">
        <w:r>
          <w:rPr>
            <w:rStyle w:val="1830"/>
          </w:rPr>
        </w:r>
        <w:r>
          <w:rPr>
            <w:rStyle w:val="1830"/>
          </w:rPr>
          <w:t xml:space="preserve">FIGURA 7 – Experiência com aplicativos para registro de problemas da cidade</w:t>
        </w:r>
        <w:r>
          <w:rPr>
            <w:rStyle w:val="1830"/>
          </w:rPr>
        </w:r>
        <w:r>
          <w:tab/>
        </w:r>
        <w:r>
          <w:fldChar w:fldCharType="begin"/>
          <w:instrText xml:space="preserve">PAGEREF _Toc7 \h</w:instrText>
          <w:fldChar w:fldCharType="separate"/>
          <w:t xml:space="preserve">77</w:t>
          <w:fldChar w:fldCharType="end"/>
        </w:r>
      </w:hyperlink>
      <w:r/>
      <w:r/>
    </w:p>
    <w:p w14:paraId="288FDE5F">
      <w:pPr>
        <w:pStyle w:val="1849"/>
        <w:pBdr/>
        <w:tabs>
          <w:tab w:val="right" w:leader="dot" w:pos="9062"/>
        </w:tabs>
        <w:spacing/>
        <w:ind/>
        <w:rPr/>
      </w:pPr>
      <w:r/>
      <w:hyperlink w:tooltip="#_Toc8" w:anchor="_Toc8" w:history="1">
        <w:r>
          <w:rPr>
            <w:rStyle w:val="1830"/>
          </w:rPr>
        </w:r>
        <w:r>
          <w:rPr>
            <w:rStyle w:val="1830"/>
          </w:rPr>
          <w:t xml:space="preserve">FIGURA 8 – Possibilidade de uso de um aplicativo para registrar ocorrências da cidade.</w:t>
        </w:r>
        <w:r>
          <w:rPr>
            <w:rStyle w:val="1830"/>
          </w:rPr>
        </w:r>
        <w:r>
          <w:tab/>
        </w:r>
        <w:r>
          <w:fldChar w:fldCharType="begin"/>
          <w:instrText xml:space="preserve">PAGEREF _Toc8 \h</w:instrText>
          <w:fldChar w:fldCharType="separate"/>
          <w:t xml:space="preserve">78</w:t>
          <w:fldChar w:fldCharType="end"/>
        </w:r>
      </w:hyperlink>
      <w:r/>
      <w:r/>
    </w:p>
    <w:p w14:paraId="05740E25">
      <w:pPr>
        <w:pStyle w:val="1849"/>
        <w:pBdr/>
        <w:tabs>
          <w:tab w:val="right" w:leader="dot" w:pos="9062"/>
        </w:tabs>
        <w:spacing/>
        <w:ind/>
        <w:rPr/>
      </w:pPr>
      <w:r/>
      <w:hyperlink w:tooltip="#_Toc9" w:anchor="_Toc9" w:history="1">
        <w:r>
          <w:rPr>
            <w:rStyle w:val="1830"/>
          </w:rPr>
        </w:r>
        <w:r>
          <w:rPr>
            <w:rStyle w:val="1830"/>
          </w:rPr>
          <w:t xml:space="preserve">FIGURA 9 – Página inicial: estado das ocorrências em cor e rótulo, protocolo e categorias em linguagem corrente</w:t>
        </w:r>
        <w:r>
          <w:rPr>
            <w:rStyle w:val="1830"/>
          </w:rPr>
        </w:r>
        <w:r>
          <w:tab/>
        </w:r>
        <w:r>
          <w:fldChar w:fldCharType="begin"/>
          <w:instrText xml:space="preserve">PAGEREF _Toc9 \h</w:instrText>
          <w:fldChar w:fldCharType="separate"/>
          <w:t xml:space="preserve">83</w:t>
          <w:fldChar w:fldCharType="end"/>
        </w:r>
      </w:hyperlink>
      <w:r/>
      <w:r/>
    </w:p>
    <w:p w14:paraId="3D8B7F20">
      <w:pPr>
        <w:pStyle w:val="1849"/>
        <w:pBdr/>
        <w:tabs>
          <w:tab w:val="right" w:leader="dot" w:pos="9062"/>
        </w:tabs>
        <w:spacing/>
        <w:ind/>
        <w:rPr/>
      </w:pPr>
      <w:r/>
      <w:hyperlink w:tooltip="#_Toc10" w:anchor="_Toc10" w:history="1">
        <w:r>
          <w:rPr>
            <w:rStyle w:val="1830"/>
          </w:rPr>
        </w:r>
        <w:r>
          <w:rPr>
            <w:rStyle w:val="1830"/>
          </w:rPr>
          <w:t xml:space="preserve">FIGURA 10 – Registro de ocorrência: campos obrigatórios, exemplos de preenchimento e marcação do local no mapa</w:t>
        </w:r>
        <w:r>
          <w:rPr>
            <w:rStyle w:val="1830"/>
          </w:rPr>
        </w:r>
        <w:r>
          <w:tab/>
        </w:r>
        <w:r>
          <w:fldChar w:fldCharType="begin"/>
          <w:instrText xml:space="preserve">PAGEREF _Toc10 \h</w:instrText>
          <w:fldChar w:fldCharType="separate"/>
          <w:t xml:space="preserve">84</w:t>
          <w:fldChar w:fldCharType="end"/>
        </w:r>
      </w:hyperlink>
      <w:r/>
      <w:r/>
    </w:p>
    <w:p w14:paraId="79926E82">
      <w:pPr>
        <w:pStyle w:val="1849"/>
        <w:pBdr/>
        <w:tabs>
          <w:tab w:val="right" w:leader="dot" w:pos="9062"/>
        </w:tabs>
        <w:spacing/>
        <w:ind/>
        <w:rPr/>
      </w:pPr>
      <w:r/>
      <w:hyperlink w:tooltip="#_Toc11" w:anchor="_Toc11" w:history="1">
        <w:r>
          <w:rPr>
            <w:rStyle w:val="1830"/>
          </w:rPr>
        </w:r>
        <w:r>
          <w:rPr>
            <w:rStyle w:val="1830"/>
          </w:rPr>
          <w:t xml:space="preserve">FIGURA 11 – Administração de contas: busca, filtros combináveis e alteração de perfil na própria linha</w:t>
        </w:r>
        <w:r>
          <w:rPr>
            <w:rStyle w:val="1830"/>
          </w:rPr>
        </w:r>
        <w:r>
          <w:tab/>
        </w:r>
        <w:r>
          <w:fldChar w:fldCharType="begin"/>
          <w:instrText xml:space="preserve">PAGEREF _Toc11 \h</w:instrText>
          <w:fldChar w:fldCharType="separate"/>
          <w:t xml:space="preserve">85</w:t>
          <w:fldChar w:fldCharType="end"/>
        </w:r>
      </w:hyperlink>
      <w:r/>
      <w:r/>
    </w:p>
    <w:p w14:paraId="400CA808">
      <w:pPr>
        <w:pStyle w:val="1849"/>
        <w:pBdr/>
        <w:tabs>
          <w:tab w:val="right" w:leader="dot" w:pos="9062"/>
        </w:tabs>
        <w:spacing/>
        <w:ind/>
        <w:rPr/>
      </w:pPr>
      <w:r/>
      <w:hyperlink w:tooltip="#_Toc12" w:anchor="_Toc12" w:history="1">
        <w:r>
          <w:rPr>
            <w:rStyle w:val="1830"/>
          </w:rPr>
        </w:r>
        <w:r>
          <w:rPr>
            <w:rStyle w:val="1830"/>
          </w:rPr>
          <w:t xml:space="preserve">FIGURA 12 – Página inicial do visitante: município em exibição, mapa e indicadores do território em exibição</w:t>
        </w:r>
        <w:r>
          <w:rPr>
            <w:rStyle w:val="1830"/>
          </w:rPr>
        </w:r>
        <w:r>
          <w:tab/>
        </w:r>
        <w:r>
          <w:fldChar w:fldCharType="begin"/>
          <w:instrText xml:space="preserve">PAGEREF _Toc12 \h</w:instrText>
          <w:fldChar w:fldCharType="separate"/>
          <w:t xml:space="preserve">86</w:t>
          <w:fldChar w:fldCharType="end"/>
        </w:r>
      </w:hyperlink>
      <w:r/>
      <w:r/>
    </w:p>
    <w:p w14:paraId="03C90A74">
      <w:pPr>
        <w:pStyle w:val="1849"/>
        <w:pBdr/>
        <w:tabs>
          <w:tab w:val="right" w:leader="dot" w:pos="9062"/>
        </w:tabs>
        <w:spacing/>
        <w:ind/>
        <w:rPr/>
      </w:pPr>
      <w:r/>
      <w:hyperlink w:tooltip="#_Toc13" w:anchor="_Toc13" w:history="1">
        <w:r>
          <w:rPr>
            <w:rStyle w:val="1830"/>
          </w:rPr>
        </w:r>
        <w:r>
          <w:rPr>
            <w:rStyle w:val="1830"/>
          </w:rPr>
          <w:t xml:space="preserve">FIGURA 13 – Registro de ocorrência: endereço a partir do mapa, desfoque das fotografias e registro anônimo</w:t>
        </w:r>
        <w:r>
          <w:rPr>
            <w:rStyle w:val="1830"/>
          </w:rPr>
        </w:r>
        <w:r>
          <w:tab/>
        </w:r>
        <w:r>
          <w:fldChar w:fldCharType="begin"/>
          <w:instrText xml:space="preserve">PAGEREF _Toc13 \h</w:instrText>
          <w:fldChar w:fldCharType="separate"/>
          <w:t xml:space="preserve">87</w:t>
          <w:fldChar w:fldCharType="end"/>
        </w:r>
      </w:hyperlink>
      <w:r/>
      <w:r/>
    </w:p>
    <w:p w14:paraId="31DB06E4">
      <w:pPr>
        <w:pStyle w:val="1849"/>
        <w:pBdr/>
        <w:tabs>
          <w:tab w:val="right" w:leader="dot" w:pos="9062"/>
        </w:tabs>
        <w:spacing/>
        <w:ind/>
        <w:rPr/>
      </w:pPr>
      <w:r/>
      <w:hyperlink w:tooltip="#_Toc14" w:anchor="_Toc14" w:history="1">
        <w:r>
          <w:rPr>
            <w:rStyle w:val="1830"/>
          </w:rPr>
        </w:r>
        <w:r>
          <w:rPr>
            <w:rStyle w:val="1830"/>
          </w:rPr>
          <w:t xml:space="preserve">FIGURA 14 – Detalhe da ocorrência: histórico dos trâmites, resposta ao cidadão e ações de tratamento</w:t>
        </w:r>
        <w:r>
          <w:rPr>
            <w:rStyle w:val="1830"/>
          </w:rPr>
        </w:r>
        <w:r>
          <w:tab/>
        </w:r>
        <w:r>
          <w:fldChar w:fldCharType="begin"/>
          <w:instrText xml:space="preserve">PAGEREF _Toc14 \h</w:instrText>
          <w:fldChar w:fldCharType="separate"/>
          <w:t xml:space="preserve">88</w:t>
          <w:fldChar w:fldCharType="end"/>
        </w:r>
      </w:hyperlink>
      <w:r/>
      <w:r/>
    </w:p>
    <w:p w14:paraId="02BFC561">
      <w:pPr>
        <w:pStyle w:val="1849"/>
        <w:pBdr/>
        <w:tabs>
          <w:tab w:val="right" w:leader="dot" w:pos="9062"/>
        </w:tabs>
        <w:spacing/>
        <w:ind/>
        <w:rPr/>
      </w:pPr>
      <w:r/>
      <w:hyperlink w:tooltip="#_Toc15" w:anchor="_Toc15" w:history="1">
        <w:r>
          <w:rPr>
            <w:rStyle w:val="1830"/>
          </w:rPr>
        </w:r>
        <w:r>
          <w:rPr>
            <w:rStyle w:val="1830"/>
          </w:rPr>
          <w:t xml:space="preserve">FIGURA 15 – Cadastro de contas: município condicionado à unidade da federação e perfis conforme quem cadastra</w:t>
        </w:r>
        <w:r>
          <w:rPr>
            <w:rStyle w:val="1830"/>
          </w:rPr>
        </w:r>
        <w:r>
          <w:tab/>
        </w:r>
        <w:r>
          <w:fldChar w:fldCharType="begin"/>
          <w:instrText xml:space="preserve">PAGEREF _Toc15 \h</w:instrText>
          <w:fldChar w:fldCharType="separate"/>
          <w:t xml:space="preserve">89</w:t>
          <w:fldChar w:fldCharType="end"/>
        </w:r>
      </w:hyperlink>
      <w:r/>
      <w:r/>
    </w:p>
    <w:p w14:paraId="5D34BADC">
      <w:pPr>
        <w:pStyle w:val="1849"/>
        <w:pBdr/>
        <w:tabs>
          <w:tab w:val="right" w:leader="dot" w:pos="9062"/>
        </w:tabs>
        <w:spacing/>
        <w:ind/>
        <w:rPr/>
      </w:pPr>
      <w:r/>
      <w:hyperlink w:tooltip="#_Toc16" w:anchor="_Toc16" w:history="1">
        <w:r>
          <w:rPr>
            <w:rStyle w:val="1830"/>
          </w:rPr>
        </w:r>
        <w:r>
          <w:rPr>
            <w:rStyle w:val="1830"/>
          </w:rPr>
          <w:t xml:space="preserve">FIGURA 16 – Central de Ajuda: perguntas frequentes e canal de contato com a administração</w:t>
        </w:r>
        <w:r>
          <w:rPr>
            <w:rStyle w:val="1830"/>
          </w:rPr>
        </w:r>
        <w:r>
          <w:tab/>
        </w:r>
        <w:r>
          <w:fldChar w:fldCharType="begin"/>
          <w:instrText xml:space="preserve">PAGEREF _Toc16 \h</w:instrText>
          <w:fldChar w:fldCharType="separate"/>
          <w:t xml:space="preserve">90</w:t>
          <w:fldChar w:fldCharType="end"/>
        </w:r>
      </w:hyperlink>
      <w:r/>
      <w:r/>
    </w:p>
    <w:p w14:paraId="29D9ACEC">
      <w:pPr>
        <w:pStyle w:val="1849"/>
        <w:pBdr/>
        <w:tabs>
          <w:tab w:val="right" w:leader="dot" w:pos="9062"/>
        </w:tabs>
        <w:spacing/>
        <w:ind/>
        <w:rPr/>
      </w:pPr>
      <w:r/>
      <w:hyperlink w:tooltip="#_Toc17" w:anchor="_Toc17" w:history="1">
        <w:r>
          <w:rPr>
            <w:rStyle w:val="1830"/>
          </w:rPr>
        </w:r>
        <w:r>
          <w:rPr>
            <w:rStyle w:val="1830"/>
          </w:rPr>
          <w:t xml:space="preserve">FIGURA 17 – Recuperar senha: envio do código por correio eletrônico e retorno à tela de autenticação</w:t>
        </w:r>
        <w:r>
          <w:rPr>
            <w:rStyle w:val="1830"/>
          </w:rPr>
        </w:r>
        <w:r>
          <w:tab/>
        </w:r>
        <w:r>
          <w:fldChar w:fldCharType="begin"/>
          <w:instrText xml:space="preserve">PAGEREF _Toc17 \h</w:instrText>
          <w:fldChar w:fldCharType="separate"/>
          <w:t xml:space="preserve">91</w:t>
          <w:fldChar w:fldCharType="end"/>
        </w:r>
      </w:hyperlink>
      <w:r/>
      <w:r/>
    </w:p>
    <w:p w14:paraId="34A4D680">
      <w:pPr>
        <w:pStyle w:val="1849"/>
        <w:pBdr/>
        <w:tabs>
          <w:tab w:val="right" w:leader="dot" w:pos="9062"/>
        </w:tabs>
        <w:spacing/>
        <w:ind/>
        <w:rPr/>
      </w:pPr>
      <w:r/>
      <w:hyperlink w:tooltip="#_Toc18" w:anchor="_Toc18" w:history="1">
        <w:r>
          <w:rPr>
            <w:rStyle w:val="1830"/>
          </w:rPr>
        </w:r>
        <w:r>
          <w:rPr>
            <w:rStyle w:val="1830"/>
          </w:rPr>
          <w:t xml:space="preserve">FIGURA 18 – Estatísticas: carga do período, fila de espera e hierarquia sem ornamento</w:t>
        </w:r>
        <w:r>
          <w:rPr>
            <w:rStyle w:val="1830"/>
          </w:rPr>
        </w:r>
        <w:r>
          <w:tab/>
        </w:r>
        <w:r>
          <w:fldChar w:fldCharType="begin"/>
          <w:instrText xml:space="preserve">PAGEREF _Toc18 \h</w:instrText>
          <w:fldChar w:fldCharType="separate"/>
          <w:t xml:space="preserve">92</w:t>
          <w:fldChar w:fldCharType="end"/>
        </w:r>
      </w:hyperlink>
      <w:r/>
      <w:r/>
    </w:p>
    <w:p w14:paraId="49EADFA9">
      <w:pPr>
        <w:pStyle w:val="1849"/>
        <w:pBdr/>
        <w:tabs>
          <w:tab w:val="right" w:leader="dot" w:pos="9062"/>
        </w:tabs>
        <w:spacing/>
        <w:ind/>
        <w:rPr/>
      </w:pPr>
      <w:r/>
      <w:hyperlink w:tooltip="#_Toc19" w:anchor="_Toc19" w:history="1">
        <w:r>
          <w:rPr>
            <w:rStyle w:val="1830"/>
          </w:rPr>
        </w:r>
        <w:r>
          <w:rPr>
            <w:rStyle w:val="1830"/>
          </w:rPr>
          <w:t xml:space="preserve">FIGURA 19 – Minha conta: dados pessoais, troca de senha, verificação em duas etapas e exclusão da conta</w:t>
        </w:r>
        <w:r>
          <w:rPr>
            <w:rStyle w:val="1830"/>
          </w:rPr>
        </w:r>
        <w:r>
          <w:tab/>
        </w:r>
        <w:r>
          <w:fldChar w:fldCharType="begin"/>
          <w:instrText xml:space="preserve">PAGEREF _Toc19 \h</w:instrText>
          <w:fldChar w:fldCharType="separate"/>
          <w:t xml:space="preserve">93</w:t>
          <w:fldChar w:fldCharType="end"/>
        </w:r>
      </w:hyperlink>
      <w:r/>
      <w:r/>
    </w:p>
    <w:p w14:paraId="1B6552CC">
      <w:pPr>
        <w:pStyle w:val="1849"/>
        <w:pBdr/>
        <w:tabs>
          <w:tab w:val="right" w:leader="dot" w:pos="9072"/>
        </w:tabs>
        <w:spacing/>
        <w:ind/>
        <w:rPr/>
      </w:pPr>
      <w:r>
        <w:rPr>
          <w:caps w:val="0"/>
        </w:rPr>
      </w:r>
      <w:r>
        <w:fldChar w:fldCharType="end"/>
      </w:r>
      <w:r/>
    </w:p>
    <w:p>
      <w:pPr>
        <w:pStyle w:val="1832"/>
        <w:pBdr/>
        <w:spacing/>
        <w:ind/>
        <w:rPr/>
      </w:pPr>
      <w:r>
        <w:br w:type="page" w:clear="all"/>
        <w:t xml:space="preserve">LISTA DE QUADROS</w:t>
      </w:r>
      <w:r/>
    </w:p>
    <w:p w14:paraId="3EB7FE7C">
      <w:pPr>
        <w:pStyle w:val="1849"/>
        <w:pBdr/>
        <w:tabs>
          <w:tab w:val="right" w:leader="dot" w:pos="9062"/>
        </w:tabs>
        <w:spacing/>
        <w:ind/>
        <w:rPr/>
      </w:pPr>
      <w:r>
        <w:fldChar w:fldCharType="begin"/>
        <w:instrText xml:space="preserve">TOC \h \c "QUADRO"</w:instrText>
        <w:fldChar w:fldCharType="separate"/>
      </w:r>
      <w:r/>
      <w:hyperlink w:tooltip="#_Toc1" w:anchor="_Toc1" w:history="1">
        <w:r>
          <w:rPr>
            <w:rStyle w:val="1830"/>
          </w:rPr>
        </w:r>
        <w:r>
          <w:rPr>
            <w:rStyle w:val="1830"/>
          </w:rPr>
          <w:t xml:space="preserve">QUADRO 1 – Documentos relevantes para testes</w:t>
        </w:r>
        <w:r>
          <w:rPr>
            <w:rStyle w:val="1830"/>
          </w:rPr>
        </w:r>
        <w:r>
          <w:tab/>
        </w:r>
        <w:r>
          <w:fldChar w:fldCharType="begin"/>
          <w:instrText xml:space="preserve">PAGEREF _Toc1 \h</w:instrText>
          <w:fldChar w:fldCharType="separate"/>
          <w:t xml:space="preserve">109</w:t>
          <w:fldChar w:fldCharType="end"/>
        </w:r>
      </w:hyperlink>
      <w:r/>
    </w:p>
    <w:p w14:paraId="7A54735E">
      <w:pPr>
        <w:pStyle w:val="1849"/>
        <w:pBdr/>
        <w:tabs>
          <w:tab w:val="right" w:leader="dot" w:pos="9062"/>
        </w:tabs>
        <w:spacing/>
        <w:ind/>
        <w:rPr/>
      </w:pPr>
      <w:hyperlink w:tooltip="#_Toc2" w:anchor="_Toc2" w:history="1">
        <w:r>
          <w:rPr>
            <w:rStyle w:val="1830"/>
          </w:rPr>
        </w:r>
        <w:r>
          <w:rPr>
            <w:rStyle w:val="1830"/>
          </w:rPr>
          <w:t xml:space="preserve">QUADRO 2 – Equipamentos para a realização dos testes</w:t>
        </w:r>
        <w:r>
          <w:rPr>
            <w:rStyle w:val="1830"/>
          </w:rPr>
        </w:r>
        <w:r>
          <w:tab/>
        </w:r>
        <w:r>
          <w:fldChar w:fldCharType="begin"/>
          <w:instrText xml:space="preserve">PAGEREF _Toc2 \h</w:instrText>
          <w:fldChar w:fldCharType="separate"/>
          <w:t xml:space="preserve">109</w:t>
          <w:fldChar w:fldCharType="end"/>
        </w:r>
      </w:hyperlink>
      <w:r/>
    </w:p>
    <w:p w14:paraId="40620809">
      <w:pPr>
        <w:pStyle w:val="1849"/>
        <w:pBdr/>
        <w:tabs>
          <w:tab w:val="right" w:leader="dot" w:pos="9062"/>
        </w:tabs>
        <w:spacing/>
        <w:ind/>
        <w:rPr/>
      </w:pPr>
      <w:hyperlink w:tooltip="#_Toc3" w:anchor="_Toc3" w:history="1">
        <w:r>
          <w:rPr>
            <w:rStyle w:val="1830"/>
          </w:rPr>
        </w:r>
        <w:r>
          <w:rPr>
            <w:rStyle w:val="1830"/>
          </w:rPr>
          <w:t xml:space="preserve">QUADRO 3 – Softwares para a realização dos testes</w:t>
        </w:r>
        <w:r>
          <w:rPr>
            <w:rStyle w:val="1830"/>
          </w:rPr>
        </w:r>
        <w:r>
          <w:tab/>
        </w:r>
        <w:r>
          <w:fldChar w:fldCharType="begin"/>
          <w:instrText xml:space="preserve">PAGEREF _Toc3 \h</w:instrText>
          <w:fldChar w:fldCharType="separate"/>
          <w:t xml:space="preserve">110</w:t>
          <w:fldChar w:fldCharType="end"/>
        </w:r>
      </w:hyperlink>
      <w:r/>
    </w:p>
    <w:p w14:paraId="17F7475B">
      <w:pPr>
        <w:pStyle w:val="1849"/>
        <w:pBdr/>
        <w:tabs>
          <w:tab w:val="right" w:leader="dot" w:pos="9062"/>
        </w:tabs>
        <w:spacing/>
        <w:ind/>
        <w:rPr/>
      </w:pPr>
      <w:r/>
      <w:r>
        <w:fldChar w:fldCharType="end"/>
      </w:r>
      <w:r/>
      <w:r/>
    </w:p>
    <w:p>
      <w:pPr>
        <w:pStyle w:val="1832"/>
        <w:pBdr/>
        <w:spacing/>
        <w:ind/>
        <w:rPr/>
      </w:pPr>
      <w:r/>
      <w:r/>
    </w:p>
    <w:p>
      <w:pPr>
        <w:pStyle w:val="1832"/>
        <w:pBdr/>
        <w:spacing/>
        <w:ind/>
        <w:rPr/>
      </w:pPr>
      <w:r>
        <w:br w:type="page" w:clear="all"/>
        <w:t xml:space="preserve">LISTA DE ABREVIATURAS E SIGLAS</w:t>
      </w:r>
      <w:r/>
    </w:p>
    <w:tbl>
      <w:tblPr>
        <w:tblStyle w:val="184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CSS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DAO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DDL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DER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DTO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EAP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eMAG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HMAC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IDE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JDBC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 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MER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ODS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RFC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SHA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SMS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Short Message Service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SMTP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SQL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SVG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TOTP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UI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WCAG -</w:t>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r>
              <w:rPr>
                <w:rFonts w:eastAsia="Arial"/>
                <w:i/>
                <w:color w:val="1f1f1f"/>
              </w:rPr>
            </w:r>
            <w:r>
              <w:rPr>
                <w:rFonts w:eastAsia="Arial"/>
                <w:i/>
                <w:color w:val="1f1f1f"/>
              </w:rPr>
            </w:r>
          </w:p>
        </w:tc>
      </w:tr>
    </w:tbl>
    <w:p>
      <w:pPr>
        <w:pStyle w:val="1832"/>
        <w:pBdr/>
        <w:spacing/>
        <w:ind/>
        <w:jc w:val="both"/>
        <w:rPr/>
      </w:pPr>
      <w:r/>
      <w:r/>
    </w:p>
    <w:p>
      <w:pPr>
        <w:pStyle w:val="1832"/>
        <w:pBdr/>
        <w:spacing/>
        <w:ind/>
        <w:jc w:val="both"/>
        <w:rPr/>
      </w:pPr>
      <w:r>
        <w:br w:type="page" w:clear="all"/>
      </w:r>
      <w:r/>
    </w:p>
    <w:p>
      <w:pPr>
        <w:pStyle w:val="1832"/>
        <w:pBdr/>
        <w:spacing/>
        <w:ind/>
        <w:rPr/>
      </w:pPr>
      <w:r>
        <w:t xml:space="preserve">SUMÁRIO</w:t>
      </w:r>
      <w:r/>
    </w:p>
    <w:p w14:paraId="1AEF079F">
      <w:pPr>
        <w:pStyle w:val="1827"/>
        <w:pBdr/>
        <w:tabs>
          <w:tab w:val="right" w:leader="dot" w:pos="9062"/>
        </w:tabs>
        <w:spacing/>
        <w:ind/>
        <w:rPr/>
      </w:pPr>
      <w:r>
        <w:rPr>
          <w:bCs/>
        </w:rPr>
        <w:fldChar w:fldCharType="begin"/>
        <w:instrText xml:space="preserve"> TOC \o "1-5" \h \z \u </w:instrText>
        <w:fldChar w:fldCharType="separate"/>
      </w:r>
      <w:r/>
      <w:hyperlink w:tooltip="#_Toc1" w:anchor="_Toc1" w:history="1">
        <w:r>
          <w:rPr>
            <w:rStyle w:val="1830"/>
          </w:rPr>
        </w:r>
        <w:r>
          <w:rPr>
            <w:rStyle w:val="1830"/>
          </w:rPr>
          <w:t xml:space="preserve">1 INTRODUÇÃO</w:t>
        </w:r>
        <w:r>
          <w:rPr>
            <w:rStyle w:val="1830"/>
          </w:rPr>
        </w:r>
        <w:r>
          <w:tab/>
        </w:r>
        <w:r>
          <w:fldChar w:fldCharType="begin"/>
          <w:instrText xml:space="preserve">PAGEREF _Toc1 \h</w:instrText>
          <w:fldChar w:fldCharType="separate"/>
          <w:t xml:space="preserve">19</w:t>
          <w:fldChar w:fldCharType="end"/>
        </w:r>
      </w:hyperlink>
      <w:r/>
    </w:p>
    <w:p w14:paraId="39F7B095">
      <w:pPr>
        <w:pStyle w:val="1827"/>
        <w:pBdr/>
        <w:tabs>
          <w:tab w:val="right" w:leader="dot" w:pos="9062"/>
        </w:tabs>
        <w:spacing/>
        <w:ind/>
        <w:rPr/>
      </w:pPr>
      <w:hyperlink w:tooltip="#_Toc2" w:anchor="_Toc2" w:history="1">
        <w:r>
          <w:rPr>
            <w:rStyle w:val="1830"/>
          </w:rPr>
        </w:r>
        <w:r>
          <w:rPr>
            <w:rStyle w:val="1830"/>
          </w:rPr>
          <w:t xml:space="preserve">2 REVISÃO BIBLIOGRÁFICA</w:t>
        </w:r>
        <w:r>
          <w:rPr>
            <w:rStyle w:val="1830"/>
          </w:rPr>
        </w:r>
        <w:r>
          <w:tab/>
        </w:r>
        <w:r>
          <w:fldChar w:fldCharType="begin"/>
          <w:instrText xml:space="preserve">PAGEREF _Toc2 \h</w:instrText>
          <w:fldChar w:fldCharType="separate"/>
          <w:t xml:space="preserve">21</w:t>
          <w:fldChar w:fldCharType="end"/>
        </w:r>
      </w:hyperlink>
      <w:r/>
    </w:p>
    <w:p w14:paraId="12A50E63">
      <w:pPr>
        <w:pStyle w:val="1828"/>
        <w:pBdr/>
        <w:tabs>
          <w:tab w:val="right" w:leader="dot" w:pos="9062"/>
        </w:tabs>
        <w:spacing/>
        <w:ind/>
        <w:rPr/>
      </w:pPr>
      <w:hyperlink w:tooltip="#_Toc3" w:anchor="_Toc3" w:history="1">
        <w:r>
          <w:rPr>
            <w:rStyle w:val="1830"/>
          </w:rPr>
        </w:r>
        <w:r>
          <w:rPr>
            <w:rStyle w:val="1830"/>
          </w:rPr>
          <w:t xml:space="preserve">2.1 CIDADES INTELIGENTES E RESILIENTES</w:t>
        </w:r>
        <w:r>
          <w:rPr>
            <w:rStyle w:val="1830"/>
          </w:rPr>
          <w:t xml:space="preserve"> </w:t>
        </w:r>
        <w:r>
          <w:rPr>
            <w:rStyle w:val="1830"/>
          </w:rPr>
        </w:r>
        <w:r>
          <w:tab/>
        </w:r>
        <w:r>
          <w:fldChar w:fldCharType="begin"/>
          <w:instrText xml:space="preserve">PAGEREF _Toc3 \h</w:instrText>
          <w:fldChar w:fldCharType="separate"/>
          <w:t xml:space="preserve">21</w:t>
          <w:fldChar w:fldCharType="end"/>
        </w:r>
      </w:hyperlink>
      <w:r/>
    </w:p>
    <w:p w14:paraId="65E8349D">
      <w:pPr>
        <w:pStyle w:val="1829"/>
        <w:pBdr/>
        <w:tabs>
          <w:tab w:val="right" w:leader="dot" w:pos="9062"/>
        </w:tabs>
        <w:spacing/>
        <w:ind/>
        <w:rPr/>
      </w:pPr>
      <w:hyperlink w:tooltip="#_Toc4" w:anchor="_Toc4" w:history="1">
        <w:r>
          <w:rPr>
            <w:rStyle w:val="1830"/>
          </w:rPr>
        </w:r>
        <w:r>
          <w:rPr>
            <w:rStyle w:val="1830"/>
          </w:rPr>
          <w:t xml:space="preserve">2.1.1 Fundamentos de Cidade Resiliente</w:t>
        </w:r>
        <w:r>
          <w:rPr>
            <w:rStyle w:val="1830"/>
          </w:rPr>
        </w:r>
        <w:r>
          <w:tab/>
        </w:r>
        <w:r>
          <w:fldChar w:fldCharType="begin"/>
          <w:instrText xml:space="preserve">PAGEREF _Toc4 \h</w:instrText>
          <w:fldChar w:fldCharType="separate"/>
          <w:t xml:space="preserve">22</w:t>
          <w:fldChar w:fldCharType="end"/>
        </w:r>
      </w:hyperlink>
      <w:r/>
    </w:p>
    <w:p w14:paraId="3650A082">
      <w:pPr>
        <w:pStyle w:val="1829"/>
        <w:pBdr/>
        <w:tabs>
          <w:tab w:val="right" w:leader="dot" w:pos="9062"/>
        </w:tabs>
        <w:spacing/>
        <w:ind/>
        <w:rPr/>
      </w:pPr>
      <w:hyperlink w:tooltip="#_Toc5" w:anchor="_Toc5" w:history="1">
        <w:r>
          <w:rPr>
            <w:rStyle w:val="1830"/>
          </w:rPr>
        </w:r>
        <w:r>
          <w:rPr>
            <w:rStyle w:val="1830"/>
          </w:rPr>
          <w:t xml:space="preserve">2.1.2 Zeladoria Pública e Gestão de Serviços</w:t>
        </w:r>
        <w:r>
          <w:rPr>
            <w:rStyle w:val="1830"/>
          </w:rPr>
        </w:r>
        <w:r>
          <w:tab/>
        </w:r>
        <w:r>
          <w:fldChar w:fldCharType="begin"/>
          <w:instrText xml:space="preserve">PAGEREF _Toc5 \h</w:instrText>
          <w:fldChar w:fldCharType="separate"/>
          <w:t xml:space="preserve">22</w:t>
          <w:fldChar w:fldCharType="end"/>
        </w:r>
      </w:hyperlink>
      <w:r/>
    </w:p>
    <w:p w14:paraId="6E9A247A">
      <w:pPr>
        <w:pStyle w:val="1829"/>
        <w:pBdr/>
        <w:tabs>
          <w:tab w:val="right" w:leader="dot" w:pos="9062"/>
        </w:tabs>
        <w:spacing/>
        <w:ind/>
        <w:rPr/>
      </w:pPr>
      <w:hyperlink w:tooltip="#_Toc6" w:anchor="_Toc6" w:history="1">
        <w:r>
          <w:rPr>
            <w:rStyle w:val="1830"/>
          </w:rPr>
        </w:r>
        <w:r>
          <w:rPr>
            <w:rStyle w:val="1830"/>
          </w:rPr>
          <w:t xml:space="preserve">2.1.3 Participação Cidadã por meio de Sistemas de Informação Automatizados</w:t>
        </w:r>
        <w:r>
          <w:rPr>
            <w:rStyle w:val="1830"/>
          </w:rPr>
        </w:r>
        <w:r>
          <w:tab/>
        </w:r>
        <w:r>
          <w:fldChar w:fldCharType="begin"/>
          <w:instrText xml:space="preserve">PAGEREF _Toc6 \h</w:instrText>
          <w:fldChar w:fldCharType="separate"/>
          <w:t xml:space="preserve">22</w:t>
          <w:fldChar w:fldCharType="end"/>
        </w:r>
      </w:hyperlink>
      <w:r/>
    </w:p>
    <w:p w14:paraId="3638F5DD">
      <w:pPr>
        <w:pStyle w:val="1828"/>
        <w:pBdr/>
        <w:tabs>
          <w:tab w:val="right" w:leader="dot" w:pos="9062"/>
        </w:tabs>
        <w:spacing/>
        <w:ind/>
        <w:rPr/>
      </w:pPr>
      <w:hyperlink w:tooltip="#_Toc7" w:anchor="_Toc7" w:history="1">
        <w:r>
          <w:rPr>
            <w:rStyle w:val="1830"/>
          </w:rPr>
        </w:r>
        <w:r>
          <w:rPr>
            <w:rStyle w:val="1830"/>
            <w:caps w:val="0"/>
          </w:rPr>
          <w:t xml:space="preserve">2.2 TRABALHOS RELACIONADOS</w:t>
        </w:r>
        <w:r>
          <w:rPr>
            <w:rStyle w:val="1830"/>
          </w:rPr>
        </w:r>
        <w:r>
          <w:tab/>
        </w:r>
        <w:r>
          <w:fldChar w:fldCharType="begin"/>
          <w:instrText xml:space="preserve">PAGEREF _Toc7 \h</w:instrText>
          <w:fldChar w:fldCharType="separate"/>
          <w:t xml:space="preserve">23</w:t>
          <w:fldChar w:fldCharType="end"/>
        </w:r>
      </w:hyperlink>
      <w:r/>
    </w:p>
    <w:p w14:paraId="713B9153">
      <w:pPr>
        <w:pStyle w:val="1827"/>
        <w:pBdr/>
        <w:tabs>
          <w:tab w:val="right" w:leader="dot" w:pos="9062"/>
        </w:tabs>
        <w:spacing/>
        <w:ind/>
        <w:rPr/>
      </w:pPr>
      <w:hyperlink w:tooltip="#_Toc8" w:anchor="_Toc8" w:history="1">
        <w:r>
          <w:rPr>
            <w:rStyle w:val="1830"/>
          </w:rPr>
        </w:r>
        <w:r>
          <w:rPr>
            <w:rStyle w:val="1830"/>
          </w:rPr>
          <w:t xml:space="preserve">3 OBJETIVO DO PROJETO</w:t>
        </w:r>
        <w:r>
          <w:rPr>
            <w:rStyle w:val="1830"/>
          </w:rPr>
        </w:r>
        <w:r>
          <w:tab/>
        </w:r>
        <w:r>
          <w:fldChar w:fldCharType="begin"/>
          <w:instrText xml:space="preserve">PAGEREF _Toc8 \h</w:instrText>
          <w:fldChar w:fldCharType="separate"/>
          <w:t xml:space="preserve">27</w:t>
          <w:fldChar w:fldCharType="end"/>
        </w:r>
      </w:hyperlink>
      <w:r/>
    </w:p>
    <w:p w14:paraId="5159802C">
      <w:pPr>
        <w:pStyle w:val="1828"/>
        <w:pBdr/>
        <w:tabs>
          <w:tab w:val="right" w:leader="dot" w:pos="9062"/>
        </w:tabs>
        <w:spacing/>
        <w:ind/>
        <w:rPr/>
      </w:pPr>
      <w:hyperlink w:tooltip="#_Toc9" w:anchor="_Toc9" w:history="1">
        <w:r>
          <w:rPr>
            <w:rStyle w:val="1830"/>
          </w:rPr>
        </w:r>
        <w:r>
          <w:rPr>
            <w:rStyle w:val="1830"/>
          </w:rPr>
          <w:t xml:space="preserve">3.1 FORMULAÇÃO DO PROBLEMA</w:t>
        </w:r>
        <w:r>
          <w:rPr>
            <w:rStyle w:val="1830"/>
          </w:rPr>
        </w:r>
        <w:r>
          <w:tab/>
        </w:r>
        <w:r>
          <w:fldChar w:fldCharType="begin"/>
          <w:instrText xml:space="preserve">PAGEREF _Toc9 \h</w:instrText>
          <w:fldChar w:fldCharType="separate"/>
          <w:t xml:space="preserve">27</w:t>
          <w:fldChar w:fldCharType="end"/>
        </w:r>
      </w:hyperlink>
      <w:r/>
    </w:p>
    <w:p w14:paraId="1A164474">
      <w:pPr>
        <w:pStyle w:val="1828"/>
        <w:pBdr/>
        <w:tabs>
          <w:tab w:val="right" w:leader="dot" w:pos="9062"/>
        </w:tabs>
        <w:spacing/>
        <w:ind/>
        <w:rPr/>
      </w:pPr>
      <w:hyperlink w:tooltip="#_Toc10" w:anchor="_Toc10" w:history="1">
        <w:r>
          <w:rPr>
            <w:rStyle w:val="1830"/>
          </w:rPr>
        </w:r>
        <w:r>
          <w:rPr>
            <w:rStyle w:val="1830"/>
          </w:rPr>
          <w:t xml:space="preserve">3.2 OBJETIVOS</w:t>
        </w:r>
        <w:r>
          <w:rPr>
            <w:rStyle w:val="1830"/>
          </w:rPr>
          <w:t xml:space="preserve"> </w:t>
        </w:r>
        <w:r>
          <w:rPr>
            <w:rStyle w:val="1830"/>
          </w:rPr>
        </w:r>
        <w:r>
          <w:tab/>
        </w:r>
        <w:r>
          <w:fldChar w:fldCharType="begin"/>
          <w:instrText xml:space="preserve">PAGEREF _Toc10 \h</w:instrText>
          <w:fldChar w:fldCharType="separate"/>
          <w:t xml:space="preserve">28</w:t>
          <w:fldChar w:fldCharType="end"/>
        </w:r>
      </w:hyperlink>
      <w:r/>
    </w:p>
    <w:p w14:paraId="5D41DD2C">
      <w:pPr>
        <w:pStyle w:val="1828"/>
        <w:pBdr/>
        <w:tabs>
          <w:tab w:val="right" w:leader="dot" w:pos="9062"/>
        </w:tabs>
        <w:spacing/>
        <w:ind/>
        <w:rPr/>
      </w:pPr>
      <w:hyperlink w:tooltip="#_Toc11" w:anchor="_Toc11" w:history="1">
        <w:r>
          <w:rPr>
            <w:rStyle w:val="1830"/>
          </w:rPr>
        </w:r>
        <w:r>
          <w:rPr>
            <w:rStyle w:val="1830"/>
          </w:rPr>
          <w:t xml:space="preserve">3.3 JUSTIFICATIVA</w:t>
        </w:r>
        <w:r>
          <w:rPr>
            <w:rStyle w:val="1830"/>
          </w:rPr>
          <w:t xml:space="preserve"> </w:t>
        </w:r>
        <w:r>
          <w:rPr>
            <w:rStyle w:val="1830"/>
          </w:rPr>
        </w:r>
        <w:r>
          <w:tab/>
        </w:r>
        <w:r>
          <w:fldChar w:fldCharType="begin"/>
          <w:instrText xml:space="preserve">PAGEREF _Toc11 \h</w:instrText>
          <w:fldChar w:fldCharType="separate"/>
          <w:t xml:space="preserve">28</w:t>
          <w:fldChar w:fldCharType="end"/>
        </w:r>
      </w:hyperlink>
      <w:r/>
    </w:p>
    <w:p w14:paraId="0510C984">
      <w:pPr>
        <w:pStyle w:val="1828"/>
        <w:pBdr/>
        <w:tabs>
          <w:tab w:val="right" w:leader="dot" w:pos="9062"/>
        </w:tabs>
        <w:spacing/>
        <w:ind/>
        <w:rPr/>
      </w:pPr>
      <w:hyperlink w:tooltip="#_Toc12" w:anchor="_Toc12" w:history="1">
        <w:r>
          <w:rPr>
            <w:rStyle w:val="1830"/>
          </w:rPr>
        </w:r>
        <w:r>
          <w:rPr>
            <w:rStyle w:val="1830"/>
          </w:rPr>
          <w:t xml:space="preserve">3.4 NÍVEIS DE DECISÃO E GRUPOS FUNCIONAIS ATENDIDOS</w:t>
        </w:r>
        <w:r>
          <w:rPr>
            <w:rStyle w:val="1830"/>
          </w:rPr>
        </w:r>
        <w:r>
          <w:tab/>
        </w:r>
        <w:r>
          <w:fldChar w:fldCharType="begin"/>
          <w:instrText xml:space="preserve">PAGEREF _Toc12 \h</w:instrText>
          <w:fldChar w:fldCharType="separate"/>
          <w:t xml:space="preserve">29</w:t>
          <w:fldChar w:fldCharType="end"/>
        </w:r>
      </w:hyperlink>
      <w:r/>
    </w:p>
    <w:p w14:paraId="6302C676">
      <w:pPr>
        <w:pStyle w:val="1828"/>
        <w:pBdr/>
        <w:tabs>
          <w:tab w:val="right" w:leader="dot" w:pos="9062"/>
        </w:tabs>
        <w:spacing/>
        <w:ind/>
        <w:rPr/>
      </w:pPr>
      <w:hyperlink w:tooltip="#_Toc13" w:anchor="_Toc13" w:history="1">
        <w:r>
          <w:rPr>
            <w:rStyle w:val="1830"/>
          </w:rPr>
        </w:r>
        <w:r>
          <w:rPr>
            <w:rStyle w:val="1830"/>
          </w:rPr>
          <w:t xml:space="preserve">3.5 ADERÊNCIA AOS OBJETIVOS DO DESENVOLVIMENTO SUSTENTÁVEL (ODS)</w:t>
        </w:r>
        <w:r>
          <w:rPr>
            <w:rStyle w:val="1830"/>
          </w:rPr>
        </w:r>
        <w:r>
          <w:tab/>
        </w:r>
        <w:r>
          <w:fldChar w:fldCharType="begin"/>
          <w:instrText xml:space="preserve">PAGEREF _Toc13 \h</w:instrText>
          <w:fldChar w:fldCharType="separate"/>
          <w:t xml:space="preserve">29</w:t>
          <w:fldChar w:fldCharType="end"/>
        </w:r>
      </w:hyperlink>
      <w:r/>
    </w:p>
    <w:p w14:paraId="41E5D14F">
      <w:pPr>
        <w:pStyle w:val="1828"/>
        <w:pBdr/>
        <w:tabs>
          <w:tab w:val="right" w:leader="dot" w:pos="9062"/>
        </w:tabs>
        <w:spacing/>
        <w:ind/>
        <w:rPr/>
      </w:pPr>
      <w:hyperlink w:tooltip="#_Toc14" w:anchor="_Toc14" w:history="1">
        <w:r>
          <w:rPr>
            <w:rStyle w:val="1830"/>
          </w:rPr>
        </w:r>
        <w:r>
          <w:rPr>
            <w:rStyle w:val="1830"/>
          </w:rPr>
          <w:t xml:space="preserve">3.6 MODELO DE NEGÓCIO PROPOSTO</w:t>
        </w:r>
        <w:r>
          <w:rPr>
            <w:rStyle w:val="1830"/>
          </w:rPr>
        </w:r>
        <w:r>
          <w:tab/>
        </w:r>
        <w:r>
          <w:fldChar w:fldCharType="begin"/>
          <w:instrText xml:space="preserve">PAGEREF _Toc14 \h</w:instrText>
          <w:fldChar w:fldCharType="separate"/>
          <w:t xml:space="preserve">31</w:t>
          <w:fldChar w:fldCharType="end"/>
        </w:r>
      </w:hyperlink>
      <w:r/>
    </w:p>
    <w:p w14:paraId="70F5B9A4">
      <w:pPr>
        <w:pStyle w:val="1827"/>
        <w:pBdr/>
        <w:tabs>
          <w:tab w:val="right" w:leader="dot" w:pos="9062"/>
        </w:tabs>
        <w:spacing/>
        <w:ind/>
        <w:rPr/>
      </w:pPr>
      <w:hyperlink w:tooltip="#_Toc15" w:anchor="_Toc15" w:history="1">
        <w:r>
          <w:rPr>
            <w:rStyle w:val="1830"/>
          </w:rPr>
        </w:r>
        <w:r>
          <w:rPr>
            <w:rStyle w:val="1830"/>
          </w:rPr>
          <w:t xml:space="preserve">4 MÉTODOS GERENCIAIS</w:t>
        </w:r>
        <w:r>
          <w:rPr>
            <w:rStyle w:val="1830"/>
          </w:rPr>
        </w:r>
        <w:r>
          <w:tab/>
        </w:r>
        <w:r>
          <w:fldChar w:fldCharType="begin"/>
          <w:instrText xml:space="preserve">PAGEREF _Toc15 \h</w:instrText>
          <w:fldChar w:fldCharType="separate"/>
          <w:t xml:space="preserve">32</w:t>
          <w:fldChar w:fldCharType="end"/>
        </w:r>
      </w:hyperlink>
      <w:r/>
    </w:p>
    <w:p w14:paraId="501EC2C2">
      <w:pPr>
        <w:pStyle w:val="1828"/>
        <w:pBdr/>
        <w:tabs>
          <w:tab w:val="right" w:leader="dot" w:pos="9062"/>
        </w:tabs>
        <w:spacing/>
        <w:ind/>
        <w:rPr/>
      </w:pPr>
      <w:hyperlink w:tooltip="#_Toc16" w:anchor="_Toc16" w:history="1">
        <w:r>
          <w:rPr>
            <w:rStyle w:val="1830"/>
          </w:rPr>
        </w:r>
        <w:r>
          <w:rPr>
            <w:rStyle w:val="1830"/>
          </w:rPr>
          <w:t xml:space="preserve">4.1 GERENCIAMENTO DO PROJETO</w:t>
        </w:r>
        <w:r>
          <w:rPr>
            <w:rStyle w:val="1830"/>
          </w:rPr>
        </w:r>
        <w:r>
          <w:tab/>
        </w:r>
        <w:r>
          <w:fldChar w:fldCharType="begin"/>
          <w:instrText xml:space="preserve">PAGEREF _Toc16 \h</w:instrText>
          <w:fldChar w:fldCharType="separate"/>
          <w:t xml:space="preserve">32</w:t>
          <w:fldChar w:fldCharType="end"/>
        </w:r>
      </w:hyperlink>
      <w:r/>
    </w:p>
    <w:p w14:paraId="5FEA77FE">
      <w:pPr>
        <w:pStyle w:val="1828"/>
        <w:pBdr/>
        <w:tabs>
          <w:tab w:val="right" w:leader="dot" w:pos="9062"/>
        </w:tabs>
        <w:spacing/>
        <w:ind/>
        <w:rPr/>
      </w:pPr>
      <w:hyperlink w:tooltip="#_Toc17" w:anchor="_Toc17" w:history="1">
        <w:r>
          <w:rPr>
            <w:rStyle w:val="1830"/>
          </w:rPr>
        </w:r>
        <w:r>
          <w:rPr>
            <w:rStyle w:val="1830"/>
          </w:rPr>
          <w:t xml:space="preserve">4.2 MODELO DE CICLO DE VIDA</w:t>
        </w:r>
        <w:r>
          <w:rPr>
            <w:rStyle w:val="1830"/>
          </w:rPr>
          <w:t xml:space="preserve"> </w:t>
        </w:r>
        <w:r>
          <w:rPr>
            <w:rStyle w:val="1830"/>
          </w:rPr>
        </w:r>
        <w:r>
          <w:tab/>
        </w:r>
        <w:r>
          <w:fldChar w:fldCharType="begin"/>
          <w:instrText xml:space="preserve">PAGEREF _Toc17 \h</w:instrText>
          <w:fldChar w:fldCharType="separate"/>
          <w:t xml:space="preserve">33</w:t>
          <w:fldChar w:fldCharType="end"/>
        </w:r>
      </w:hyperlink>
      <w:r/>
    </w:p>
    <w:p w14:paraId="1D70AE25">
      <w:pPr>
        <w:pStyle w:val="1828"/>
        <w:pBdr/>
        <w:tabs>
          <w:tab w:val="right" w:leader="dot" w:pos="9062"/>
        </w:tabs>
        <w:spacing/>
        <w:ind/>
        <w:rPr/>
      </w:pPr>
      <w:hyperlink w:tooltip="#_Toc18" w:anchor="_Toc18" w:history="1">
        <w:r>
          <w:rPr>
            <w:rStyle w:val="1830"/>
          </w:rPr>
        </w:r>
        <w:r>
          <w:rPr>
            <w:rStyle w:val="1830"/>
          </w:rPr>
          <w:t xml:space="preserve">4.3 RECURSOS NECESSÁRIOS</w:t>
        </w:r>
        <w:r>
          <w:rPr>
            <w:rStyle w:val="1830"/>
          </w:rPr>
        </w:r>
        <w:r>
          <w:tab/>
        </w:r>
        <w:r>
          <w:fldChar w:fldCharType="begin"/>
          <w:instrText xml:space="preserve">PAGEREF _Toc18 \h</w:instrText>
          <w:fldChar w:fldCharType="separate"/>
          <w:t xml:space="preserve">34</w:t>
          <w:fldChar w:fldCharType="end"/>
        </w:r>
      </w:hyperlink>
      <w:r/>
    </w:p>
    <w:p w14:paraId="4F9D091A">
      <w:pPr>
        <w:pStyle w:val="1829"/>
        <w:pBdr/>
        <w:tabs>
          <w:tab w:val="right" w:leader="dot" w:pos="9062"/>
        </w:tabs>
        <w:spacing/>
        <w:ind/>
        <w:rPr/>
      </w:pPr>
      <w:hyperlink w:tooltip="#_Toc19" w:anchor="_Toc19" w:history="1">
        <w:r>
          <w:rPr>
            <w:rStyle w:val="1830"/>
          </w:rPr>
        </w:r>
        <w:r>
          <w:rPr>
            <w:rStyle w:val="1830"/>
          </w:rPr>
          <w:t xml:space="preserve">4.3.1 Recursos Humanos</w:t>
        </w:r>
        <w:r>
          <w:rPr>
            <w:rStyle w:val="1830"/>
          </w:rPr>
        </w:r>
        <w:r>
          <w:tab/>
        </w:r>
        <w:r>
          <w:fldChar w:fldCharType="begin"/>
          <w:instrText xml:space="preserve">PAGEREF _Toc19 \h</w:instrText>
          <w:fldChar w:fldCharType="separate"/>
          <w:t xml:space="preserve">34</w:t>
          <w:fldChar w:fldCharType="end"/>
        </w:r>
      </w:hyperlink>
      <w:r/>
    </w:p>
    <w:p w14:paraId="0560D4AF">
      <w:pPr>
        <w:pStyle w:val="1829"/>
        <w:pBdr/>
        <w:tabs>
          <w:tab w:val="right" w:leader="dot" w:pos="9062"/>
        </w:tabs>
        <w:spacing/>
        <w:ind/>
        <w:rPr/>
      </w:pPr>
      <w:hyperlink w:tooltip="#_Toc20" w:anchor="_Toc20" w:history="1">
        <w:r>
          <w:rPr>
            <w:rStyle w:val="1830"/>
          </w:rPr>
        </w:r>
        <w:r>
          <w:rPr>
            <w:rStyle w:val="1830"/>
          </w:rPr>
          <w:t xml:space="preserve">4.3.2 Recursos de Hardware</w:t>
        </w:r>
        <w:r>
          <w:rPr>
            <w:rStyle w:val="1830"/>
          </w:rPr>
        </w:r>
        <w:r>
          <w:tab/>
        </w:r>
        <w:r>
          <w:fldChar w:fldCharType="begin"/>
          <w:instrText xml:space="preserve">PAGEREF _Toc20 \h</w:instrText>
          <w:fldChar w:fldCharType="separate"/>
          <w:t xml:space="preserve">35</w:t>
          <w:fldChar w:fldCharType="end"/>
        </w:r>
      </w:hyperlink>
      <w:r/>
    </w:p>
    <w:p w14:paraId="0C783B8D">
      <w:pPr>
        <w:pStyle w:val="1829"/>
        <w:pBdr/>
        <w:tabs>
          <w:tab w:val="right" w:leader="dot" w:pos="9062"/>
        </w:tabs>
        <w:spacing/>
        <w:ind/>
        <w:rPr/>
      </w:pPr>
      <w:hyperlink w:tooltip="#_Toc21" w:anchor="_Toc21" w:history="1">
        <w:r>
          <w:rPr>
            <w:rStyle w:val="1830"/>
          </w:rPr>
        </w:r>
        <w:r>
          <w:rPr>
            <w:rStyle w:val="1830"/>
          </w:rPr>
          <w:t xml:space="preserve">4.3.3 Recursos de Software</w:t>
        </w:r>
        <w:r>
          <w:rPr>
            <w:rStyle w:val="1830"/>
          </w:rPr>
        </w:r>
        <w:r>
          <w:tab/>
        </w:r>
        <w:r>
          <w:fldChar w:fldCharType="begin"/>
          <w:instrText xml:space="preserve">PAGEREF _Toc21 \h</w:instrText>
          <w:fldChar w:fldCharType="separate"/>
          <w:t xml:space="preserve">35</w:t>
          <w:fldChar w:fldCharType="end"/>
        </w:r>
      </w:hyperlink>
      <w:r/>
    </w:p>
    <w:p w14:paraId="0579D618">
      <w:pPr>
        <w:pStyle w:val="1829"/>
        <w:pBdr/>
        <w:tabs>
          <w:tab w:val="right" w:leader="dot" w:pos="9062"/>
        </w:tabs>
        <w:spacing/>
        <w:ind/>
        <w:rPr/>
      </w:pPr>
      <w:hyperlink w:tooltip="#_Toc22" w:anchor="_Toc22" w:history="1">
        <w:r>
          <w:rPr>
            <w:rStyle w:val="1830"/>
          </w:rPr>
        </w:r>
        <w:r>
          <w:rPr>
            <w:rStyle w:val="1830"/>
          </w:rPr>
          <w:t xml:space="preserve">4.3.4 Outros Recursos</w:t>
        </w:r>
        <w:r>
          <w:rPr>
            <w:rStyle w:val="1830"/>
          </w:rPr>
        </w:r>
        <w:r>
          <w:tab/>
        </w:r>
        <w:r>
          <w:fldChar w:fldCharType="begin"/>
          <w:instrText xml:space="preserve">PAGEREF _Toc22 \h</w:instrText>
          <w:fldChar w:fldCharType="separate"/>
          <w:t xml:space="preserve">37</w:t>
          <w:fldChar w:fldCharType="end"/>
        </w:r>
      </w:hyperlink>
      <w:r/>
    </w:p>
    <w:p w14:paraId="17DF603D">
      <w:pPr>
        <w:pStyle w:val="1828"/>
        <w:pBdr/>
        <w:tabs>
          <w:tab w:val="right" w:leader="dot" w:pos="9062"/>
        </w:tabs>
        <w:spacing/>
        <w:ind/>
        <w:rPr/>
      </w:pPr>
      <w:hyperlink w:tooltip="#_Toc23" w:anchor="_Toc23" w:history="1">
        <w:r>
          <w:rPr>
            <w:rStyle w:val="1830"/>
          </w:rPr>
        </w:r>
        <w:r>
          <w:rPr>
            <w:rStyle w:val="1830"/>
          </w:rPr>
          <w:t xml:space="preserve">4.4 RELATÓRIO DE DESEMPENHO</w:t>
        </w:r>
        <w:r>
          <w:rPr>
            <w:rStyle w:val="1830"/>
          </w:rPr>
          <w:t xml:space="preserve"> </w:t>
        </w:r>
        <w:r>
          <w:rPr>
            <w:rStyle w:val="1830"/>
          </w:rPr>
        </w:r>
        <w:r>
          <w:tab/>
        </w:r>
        <w:r>
          <w:fldChar w:fldCharType="begin"/>
          <w:instrText xml:space="preserve">PAGEREF _Toc23 \h</w:instrText>
          <w:fldChar w:fldCharType="separate"/>
          <w:t xml:space="preserve">37</w:t>
          <w:fldChar w:fldCharType="end"/>
        </w:r>
      </w:hyperlink>
      <w:r/>
    </w:p>
    <w:p w14:paraId="1854BB15">
      <w:pPr>
        <w:pStyle w:val="1828"/>
        <w:pBdr/>
        <w:tabs>
          <w:tab w:val="right" w:leader="dot" w:pos="9062"/>
        </w:tabs>
        <w:spacing/>
        <w:ind/>
        <w:rPr/>
      </w:pPr>
      <w:hyperlink w:tooltip="#_Toc24" w:anchor="_Toc24" w:history="1">
        <w:r>
          <w:rPr>
            <w:rStyle w:val="1830"/>
          </w:rPr>
        </w:r>
        <w:r>
          <w:rPr>
            <w:rStyle w:val="1830"/>
          </w:rPr>
          <w:t xml:space="preserve">4.5 GERENCIAMENTO DE CONFIGURAÇÃO</w:t>
        </w:r>
        <w:r>
          <w:rPr>
            <w:rStyle w:val="1830"/>
          </w:rPr>
        </w:r>
        <w:r>
          <w:tab/>
        </w:r>
        <w:r>
          <w:fldChar w:fldCharType="begin"/>
          <w:instrText xml:space="preserve">PAGEREF _Toc24 \h</w:instrText>
          <w:fldChar w:fldCharType="separate"/>
          <w:t xml:space="preserve">39</w:t>
          <w:fldChar w:fldCharType="end"/>
        </w:r>
      </w:hyperlink>
      <w:r/>
    </w:p>
    <w:p w14:paraId="08BA3C0E">
      <w:pPr>
        <w:pStyle w:val="1829"/>
        <w:pBdr/>
        <w:tabs>
          <w:tab w:val="left" w:leader="none" w:pos="571"/>
          <w:tab w:val="right" w:leader="dot" w:pos="9062"/>
        </w:tabs>
        <w:spacing/>
        <w:ind/>
        <w:rPr/>
      </w:pPr>
      <w:hyperlink w:tooltip="#_Toc25" w:anchor="_Toc25" w:history="1">
        <w:r>
          <w:rPr>
            <w:rStyle w:val="1830"/>
          </w:rPr>
        </w:r>
        <w:r>
          <w:rPr>
            <w:rStyle w:val="1830"/>
          </w:rPr>
          <w:t xml:space="preserve">4.5.1 Papéis e Responsabilidades</w:t>
        </w:r>
        <w:r>
          <w:rPr>
            <w:rStyle w:val="1830"/>
          </w:rPr>
          <w:tab/>
        </w:r>
        <w:r>
          <w:rPr>
            <w:rStyle w:val="1830"/>
          </w:rPr>
        </w:r>
        <w:r>
          <w:tab/>
        </w:r>
        <w:r>
          <w:fldChar w:fldCharType="begin"/>
          <w:instrText xml:space="preserve">PAGEREF _Toc25 \h</w:instrText>
          <w:fldChar w:fldCharType="separate"/>
          <w:t xml:space="preserve">39</w:t>
          <w:fldChar w:fldCharType="end"/>
        </w:r>
      </w:hyperlink>
      <w:r/>
    </w:p>
    <w:p w14:paraId="7B58B7D7">
      <w:pPr>
        <w:pStyle w:val="1829"/>
        <w:pBdr/>
        <w:tabs>
          <w:tab w:val="right" w:leader="dot" w:pos="9062"/>
        </w:tabs>
        <w:spacing/>
        <w:ind/>
        <w:rPr/>
      </w:pPr>
      <w:hyperlink w:tooltip="#_Toc26" w:anchor="_Toc26" w:history="1">
        <w:r>
          <w:rPr>
            <w:rStyle w:val="1830"/>
          </w:rPr>
        </w:r>
        <w:r>
          <w:rPr>
            <w:rStyle w:val="1830"/>
          </w:rPr>
          <w:t xml:space="preserve">4.5.2 Identificação e Versionamento de Artefatos</w:t>
        </w:r>
        <w:r>
          <w:rPr>
            <w:rStyle w:val="1830"/>
          </w:rPr>
        </w:r>
        <w:r>
          <w:tab/>
        </w:r>
        <w:r>
          <w:fldChar w:fldCharType="begin"/>
          <w:instrText xml:space="preserve">PAGEREF _Toc26 \h</w:instrText>
          <w:fldChar w:fldCharType="separate"/>
          <w:t xml:space="preserve">40</w:t>
          <w:fldChar w:fldCharType="end"/>
        </w:r>
      </w:hyperlink>
      <w:r/>
    </w:p>
    <w:p w14:paraId="7FF73918">
      <w:pPr>
        <w:pStyle w:val="1829"/>
        <w:pBdr/>
        <w:tabs>
          <w:tab w:val="right" w:leader="dot" w:pos="9062"/>
        </w:tabs>
        <w:spacing/>
        <w:ind/>
        <w:rPr/>
      </w:pPr>
      <w:hyperlink w:tooltip="#_Toc27" w:anchor="_Toc27" w:history="1">
        <w:r>
          <w:rPr>
            <w:rStyle w:val="1830"/>
          </w:rPr>
        </w:r>
        <w:r>
          <w:rPr>
            <w:rStyle w:val="1830"/>
          </w:rPr>
          <w:t xml:space="preserve">4.5.3 Organização do Repositório e Ferramentas</w:t>
        </w:r>
        <w:r>
          <w:rPr>
            <w:rStyle w:val="1830"/>
          </w:rPr>
        </w:r>
        <w:r>
          <w:tab/>
        </w:r>
        <w:r>
          <w:fldChar w:fldCharType="begin"/>
          <w:instrText xml:space="preserve">PAGEREF _Toc27 \h</w:instrText>
          <w:fldChar w:fldCharType="separate"/>
          <w:t xml:space="preserve">40</w:t>
          <w:fldChar w:fldCharType="end"/>
        </w:r>
      </w:hyperlink>
      <w:r/>
    </w:p>
    <w:p w14:paraId="668AB9C4">
      <w:pPr>
        <w:pStyle w:val="1827"/>
        <w:pBdr/>
        <w:tabs>
          <w:tab w:val="right" w:leader="dot" w:pos="9062"/>
        </w:tabs>
        <w:spacing/>
        <w:ind/>
        <w:rPr/>
      </w:pPr>
      <w:hyperlink w:tooltip="#_Toc28" w:anchor="_Toc28" w:history="1">
        <w:r>
          <w:rPr>
            <w:rStyle w:val="1830"/>
          </w:rPr>
        </w:r>
        <w:r>
          <w:rPr>
            <w:rStyle w:val="1830"/>
          </w:rPr>
          <w:t xml:space="preserve">5 ESPECIFICAÇÃO E ANÁLISE DOS REQUISITOS</w:t>
        </w:r>
        <w:r>
          <w:rPr>
            <w:rStyle w:val="1830"/>
          </w:rPr>
        </w:r>
        <w:r>
          <w:tab/>
        </w:r>
        <w:r>
          <w:fldChar w:fldCharType="begin"/>
          <w:instrText xml:space="preserve">PAGEREF _Toc28 \h</w:instrText>
          <w:fldChar w:fldCharType="separate"/>
          <w:t xml:space="preserve">43</w:t>
          <w:fldChar w:fldCharType="end"/>
        </w:r>
      </w:hyperlink>
      <w:r/>
    </w:p>
    <w:p w14:paraId="7EC8FBCF">
      <w:pPr>
        <w:pStyle w:val="1828"/>
        <w:pBdr/>
        <w:tabs>
          <w:tab w:val="right" w:leader="dot" w:pos="9062"/>
        </w:tabs>
        <w:spacing/>
        <w:ind/>
        <w:rPr/>
      </w:pPr>
      <w:hyperlink w:tooltip="#_Toc29" w:anchor="_Toc29" w:history="1">
        <w:r>
          <w:rPr>
            <w:rStyle w:val="1830"/>
          </w:rPr>
        </w:r>
        <w:r>
          <w:rPr>
            <w:rStyle w:val="1830"/>
          </w:rPr>
          <w:t xml:space="preserve">5.1 REQUISITOS DO SISTEMA DE SOFTWARE</w:t>
        </w:r>
        <w:r>
          <w:rPr>
            <w:rStyle w:val="1830"/>
          </w:rPr>
        </w:r>
        <w:r>
          <w:tab/>
        </w:r>
        <w:r>
          <w:fldChar w:fldCharType="begin"/>
          <w:instrText xml:space="preserve">PAGEREF _Toc29 \h</w:instrText>
          <w:fldChar w:fldCharType="separate"/>
          <w:t xml:space="preserve">43</w:t>
          <w:fldChar w:fldCharType="end"/>
        </w:r>
      </w:hyperlink>
      <w:r/>
    </w:p>
    <w:p w14:paraId="6764D6FE">
      <w:pPr>
        <w:pStyle w:val="1829"/>
        <w:pBdr/>
        <w:tabs>
          <w:tab w:val="right" w:leader="dot" w:pos="9062"/>
        </w:tabs>
        <w:spacing/>
        <w:ind/>
        <w:rPr/>
      </w:pPr>
      <w:hyperlink w:tooltip="#_Toc30" w:anchor="_Toc30" w:history="1">
        <w:r>
          <w:rPr>
            <w:rStyle w:val="1830"/>
          </w:rPr>
        </w:r>
        <w:r>
          <w:rPr>
            <w:rStyle w:val="1830"/>
          </w:rPr>
          <w:t xml:space="preserve">5.1.1 Requisitos Funcionais</w:t>
        </w:r>
        <w:r>
          <w:rPr>
            <w:rStyle w:val="1830"/>
          </w:rPr>
        </w:r>
        <w:r>
          <w:tab/>
        </w:r>
        <w:r>
          <w:fldChar w:fldCharType="begin"/>
          <w:instrText xml:space="preserve">PAGEREF _Toc30 \h</w:instrText>
          <w:fldChar w:fldCharType="separate"/>
          <w:t xml:space="preserve">43</w:t>
          <w:fldChar w:fldCharType="end"/>
        </w:r>
      </w:hyperlink>
      <w:r/>
    </w:p>
    <w:p w14:paraId="6B34E3E5">
      <w:pPr>
        <w:pStyle w:val="1829"/>
        <w:pBdr/>
        <w:tabs>
          <w:tab w:val="right" w:leader="dot" w:pos="9062"/>
        </w:tabs>
        <w:spacing/>
        <w:ind/>
        <w:rPr/>
      </w:pPr>
      <w:hyperlink w:tooltip="#_Toc31" w:anchor="_Toc31" w:history="1">
        <w:r>
          <w:rPr>
            <w:rStyle w:val="1830"/>
          </w:rPr>
        </w:r>
        <w:r>
          <w:rPr>
            <w:rStyle w:val="1830"/>
          </w:rPr>
          <w:t xml:space="preserve">5.1.2 Requisitos não Funcionais</w:t>
        </w:r>
        <w:r>
          <w:rPr>
            <w:rStyle w:val="1830"/>
          </w:rPr>
        </w:r>
        <w:r>
          <w:tab/>
        </w:r>
        <w:r>
          <w:fldChar w:fldCharType="begin"/>
          <w:instrText xml:space="preserve">PAGEREF _Toc31 \h</w:instrText>
          <w:fldChar w:fldCharType="separate"/>
          <w:t xml:space="preserve">56</w:t>
          <w:fldChar w:fldCharType="end"/>
        </w:r>
      </w:hyperlink>
      <w:r/>
    </w:p>
    <w:p w14:paraId="6BC5B7CF">
      <w:pPr>
        <w:pStyle w:val="1829"/>
        <w:pBdr/>
        <w:tabs>
          <w:tab w:val="right" w:leader="dot" w:pos="9062"/>
        </w:tabs>
        <w:spacing/>
        <w:ind/>
        <w:rPr/>
      </w:pPr>
      <w:hyperlink w:tooltip="#_Toc32" w:anchor="_Toc32" w:history="1">
        <w:r>
          <w:rPr>
            <w:rStyle w:val="1830"/>
          </w:rPr>
        </w:r>
        <w:r>
          <w:rPr>
            <w:rStyle w:val="1830"/>
          </w:rPr>
          <w:t xml:space="preserve">5.1.3 Principais Regras de Negócio</w:t>
        </w:r>
        <w:r>
          <w:rPr>
            <w:rStyle w:val="1830"/>
          </w:rPr>
        </w:r>
        <w:r>
          <w:tab/>
        </w:r>
        <w:r>
          <w:fldChar w:fldCharType="begin"/>
          <w:instrText xml:space="preserve">PAGEREF _Toc32 \h</w:instrText>
          <w:fldChar w:fldCharType="separate"/>
          <w:t xml:space="preserve">63</w:t>
          <w:fldChar w:fldCharType="end"/>
        </w:r>
      </w:hyperlink>
      <w:r/>
    </w:p>
    <w:p w14:paraId="5865FD45">
      <w:pPr>
        <w:pStyle w:val="1828"/>
        <w:pBdr/>
        <w:tabs>
          <w:tab w:val="right" w:leader="dot" w:pos="9062"/>
        </w:tabs>
        <w:spacing/>
        <w:ind/>
        <w:rPr/>
      </w:pPr>
      <w:hyperlink w:tooltip="#_Toc33" w:anchor="_Toc33" w:history="1">
        <w:r>
          <w:rPr>
            <w:rStyle w:val="1830"/>
          </w:rPr>
        </w:r>
        <w:r>
          <w:rPr>
            <w:rStyle w:val="1830"/>
          </w:rPr>
          <w:t xml:space="preserve">5.2 ANÁLISE DOS REQUISITOS</w:t>
        </w:r>
        <w:r>
          <w:rPr>
            <w:rStyle w:val="1830"/>
          </w:rPr>
        </w:r>
        <w:r>
          <w:tab/>
        </w:r>
        <w:r>
          <w:fldChar w:fldCharType="begin"/>
          <w:instrText xml:space="preserve">PAGEREF _Toc33 \h</w:instrText>
          <w:fldChar w:fldCharType="separate"/>
          <w:t xml:space="preserve">68</w:t>
          <w:fldChar w:fldCharType="end"/>
        </w:r>
      </w:hyperlink>
      <w:r/>
    </w:p>
    <w:p w14:paraId="00BCE1B5">
      <w:pPr>
        <w:pStyle w:val="1829"/>
        <w:pBdr/>
        <w:tabs>
          <w:tab w:val="right" w:leader="dot" w:pos="9062"/>
        </w:tabs>
        <w:spacing/>
        <w:ind/>
        <w:rPr/>
      </w:pPr>
      <w:hyperlink w:tooltip="#_Toc34" w:anchor="_Toc34" w:history="1">
        <w:r>
          <w:rPr>
            <w:rStyle w:val="1830"/>
          </w:rPr>
        </w:r>
        <w:r>
          <w:rPr>
            <w:rStyle w:val="1830"/>
          </w:rPr>
          <w:t xml:space="preserve">5.2.1 Visão Funcional</w:t>
        </w:r>
        <w:r>
          <w:rPr>
            <w:rStyle w:val="1830"/>
          </w:rPr>
        </w:r>
        <w:r>
          <w:tab/>
        </w:r>
        <w:r>
          <w:fldChar w:fldCharType="begin"/>
          <w:instrText xml:space="preserve">PAGEREF _Toc34 \h</w:instrText>
          <w:fldChar w:fldCharType="separate"/>
          <w:t xml:space="preserve">68</w:t>
          <w:fldChar w:fldCharType="end"/>
        </w:r>
      </w:hyperlink>
      <w:r/>
    </w:p>
    <w:p w14:paraId="4378A537">
      <w:pPr>
        <w:pStyle w:val="1829"/>
        <w:pBdr/>
        <w:tabs>
          <w:tab w:val="right" w:leader="dot" w:pos="9062"/>
        </w:tabs>
        <w:spacing/>
        <w:ind/>
        <w:rPr/>
      </w:pPr>
      <w:hyperlink w:tooltip="#_Toc35" w:anchor="_Toc35" w:history="1">
        <w:r>
          <w:rPr>
            <w:rStyle w:val="1830"/>
          </w:rPr>
        </w:r>
        <w:r>
          <w:rPr>
            <w:rStyle w:val="1830"/>
          </w:rPr>
          <w:t xml:space="preserve">5.2.2 Modelo Conceitual dos Dados</w:t>
        </w:r>
        <w:r>
          <w:rPr>
            <w:rStyle w:val="1830"/>
          </w:rPr>
        </w:r>
        <w:r>
          <w:tab/>
        </w:r>
        <w:r>
          <w:fldChar w:fldCharType="begin"/>
          <w:instrText xml:space="preserve">PAGEREF _Toc35 \h</w:instrText>
          <w:fldChar w:fldCharType="separate"/>
          <w:t xml:space="preserve">68</w:t>
          <w:fldChar w:fldCharType="end"/>
        </w:r>
      </w:hyperlink>
      <w:r/>
    </w:p>
    <w:p w14:paraId="6E05FA5B">
      <w:pPr>
        <w:pStyle w:val="1829"/>
        <w:pBdr/>
        <w:tabs>
          <w:tab w:val="right" w:leader="dot" w:pos="9062"/>
        </w:tabs>
        <w:spacing/>
        <w:ind/>
        <w:rPr/>
      </w:pPr>
      <w:hyperlink w:tooltip="#_Toc36" w:anchor="_Toc36" w:history="1">
        <w:r>
          <w:rPr>
            <w:rStyle w:val="1830"/>
          </w:rPr>
        </w:r>
        <w:r>
          <w:rPr>
            <w:rStyle w:val="1830"/>
          </w:rPr>
          <w:t xml:space="preserve">5.2.3 Modelo Inicial da Interface de Usuário</w:t>
        </w:r>
        <w:r>
          <w:rPr>
            <w:rStyle w:val="1830"/>
          </w:rPr>
        </w:r>
        <w:r>
          <w:tab/>
        </w:r>
        <w:r>
          <w:fldChar w:fldCharType="begin"/>
          <w:instrText xml:space="preserve">PAGEREF _Toc36 \h</w:instrText>
          <w:fldChar w:fldCharType="separate"/>
          <w:t xml:space="preserve">70</w:t>
          <w:fldChar w:fldCharType="end"/>
        </w:r>
      </w:hyperlink>
      <w:r/>
    </w:p>
    <w:p w14:paraId="10D94E7B">
      <w:pPr>
        <w:pStyle w:val="1827"/>
        <w:pBdr/>
        <w:tabs>
          <w:tab w:val="right" w:leader="dot" w:pos="9062"/>
        </w:tabs>
        <w:spacing/>
        <w:ind/>
        <w:rPr/>
      </w:pPr>
      <w:hyperlink w:tooltip="#_Toc37" w:anchor="_Toc37" w:history="1">
        <w:r>
          <w:rPr>
            <w:rStyle w:val="1830"/>
          </w:rPr>
        </w:r>
        <w:r>
          <w:rPr>
            <w:rStyle w:val="1830"/>
          </w:rPr>
          <w:t xml:space="preserve">6 ARQUITETURA E PROJETO DO SISTEMA DE SOFTWARE</w:t>
        </w:r>
        <w:r>
          <w:rPr>
            <w:rStyle w:val="1830"/>
          </w:rPr>
        </w:r>
        <w:r>
          <w:tab/>
        </w:r>
        <w:r>
          <w:fldChar w:fldCharType="begin"/>
          <w:instrText xml:space="preserve">PAGEREF _Toc37 \h</w:instrText>
          <w:fldChar w:fldCharType="separate"/>
          <w:t xml:space="preserve">71</w:t>
          <w:fldChar w:fldCharType="end"/>
        </w:r>
      </w:hyperlink>
      <w:r/>
    </w:p>
    <w:p w14:paraId="27EDE8B2">
      <w:pPr>
        <w:pStyle w:val="1828"/>
        <w:pBdr/>
        <w:tabs>
          <w:tab w:val="right" w:leader="dot" w:pos="9062"/>
        </w:tabs>
        <w:spacing/>
        <w:ind/>
        <w:rPr/>
      </w:pPr>
      <w:hyperlink w:tooltip="#_Toc38" w:anchor="_Toc38" w:history="1">
        <w:r>
          <w:rPr>
            <w:rStyle w:val="1830"/>
          </w:rPr>
        </w:r>
        <w:r>
          <w:rPr>
            <w:rStyle w:val="1830"/>
          </w:rPr>
          <w:t xml:space="preserve">6.1 VISÃO ESTRUTURAL</w:t>
        </w:r>
        <w:r>
          <w:rPr>
            <w:rStyle w:val="1830"/>
          </w:rPr>
        </w:r>
        <w:r>
          <w:tab/>
        </w:r>
        <w:r>
          <w:fldChar w:fldCharType="begin"/>
          <w:instrText xml:space="preserve">PAGEREF _Toc38 \h</w:instrText>
          <w:fldChar w:fldCharType="separate"/>
          <w:t xml:space="preserve">71</w:t>
          <w:fldChar w:fldCharType="end"/>
        </w:r>
      </w:hyperlink>
      <w:r/>
    </w:p>
    <w:p w14:paraId="658D72A5">
      <w:pPr>
        <w:pStyle w:val="1829"/>
        <w:pBdr/>
        <w:tabs>
          <w:tab w:val="right" w:leader="dot" w:pos="9062"/>
        </w:tabs>
        <w:spacing/>
        <w:ind/>
        <w:rPr/>
      </w:pPr>
      <w:hyperlink w:tooltip="#_Toc39" w:anchor="_Toc39" w:history="1">
        <w:r>
          <w:rPr>
            <w:rStyle w:val="1830"/>
          </w:rPr>
        </w:r>
        <w:r>
          <w:rPr>
            <w:rStyle w:val="1830"/>
          </w:rPr>
          <w:t xml:space="preserve">6.1.1 Diagrama de Pacotes</w:t>
        </w:r>
        <w:r>
          <w:rPr>
            <w:rStyle w:val="1830"/>
          </w:rPr>
        </w:r>
        <w:r>
          <w:tab/>
        </w:r>
        <w:r>
          <w:fldChar w:fldCharType="begin"/>
          <w:instrText xml:space="preserve">PAGEREF _Toc39 \h</w:instrText>
          <w:fldChar w:fldCharType="separate"/>
          <w:t xml:space="preserve">71</w:t>
          <w:fldChar w:fldCharType="end"/>
        </w:r>
      </w:hyperlink>
      <w:r/>
    </w:p>
    <w:p w14:paraId="314076E6">
      <w:pPr>
        <w:pStyle w:val="1829"/>
        <w:pBdr/>
        <w:tabs>
          <w:tab w:val="right" w:leader="dot" w:pos="9062"/>
        </w:tabs>
        <w:spacing/>
        <w:ind/>
        <w:rPr/>
      </w:pPr>
      <w:hyperlink w:tooltip="#_Toc40" w:anchor="_Toc40" w:history="1">
        <w:r>
          <w:rPr>
            <w:rStyle w:val="1830"/>
          </w:rPr>
        </w:r>
        <w:r>
          <w:rPr>
            <w:rStyle w:val="1830"/>
          </w:rPr>
          <w:t xml:space="preserve">6.1.2 Diagramas de Classes</w:t>
        </w:r>
        <w:r>
          <w:rPr>
            <w:rStyle w:val="1830"/>
          </w:rPr>
        </w:r>
        <w:r>
          <w:tab/>
        </w:r>
        <w:r>
          <w:fldChar w:fldCharType="begin"/>
          <w:instrText xml:space="preserve">PAGEREF _Toc40 \h</w:instrText>
          <w:fldChar w:fldCharType="separate"/>
          <w:t xml:space="preserve">72</w:t>
          <w:fldChar w:fldCharType="end"/>
        </w:r>
      </w:hyperlink>
      <w:r/>
    </w:p>
    <w:p w14:paraId="033B68AF">
      <w:pPr>
        <w:pStyle w:val="1828"/>
        <w:pBdr/>
        <w:tabs>
          <w:tab w:val="right" w:leader="dot" w:pos="9062"/>
        </w:tabs>
        <w:spacing/>
        <w:ind/>
        <w:rPr/>
      </w:pPr>
      <w:hyperlink w:tooltip="#_Toc41" w:anchor="_Toc41" w:history="1">
        <w:r>
          <w:rPr>
            <w:rStyle w:val="1830"/>
          </w:rPr>
        </w:r>
        <w:r>
          <w:rPr>
            <w:rStyle w:val="1830"/>
          </w:rPr>
          <w:t xml:space="preserve">6.2 VISÃO COMPORTAMENTAL</w:t>
        </w:r>
        <w:r>
          <w:rPr>
            <w:rStyle w:val="1830"/>
          </w:rPr>
        </w:r>
        <w:r>
          <w:tab/>
        </w:r>
        <w:r>
          <w:fldChar w:fldCharType="begin"/>
          <w:instrText xml:space="preserve">PAGEREF _Toc41 \h</w:instrText>
          <w:fldChar w:fldCharType="separate"/>
          <w:t xml:space="preserve">72</w:t>
          <w:fldChar w:fldCharType="end"/>
        </w:r>
      </w:hyperlink>
      <w:r/>
    </w:p>
    <w:p w14:paraId="31C0FC07">
      <w:pPr>
        <w:pStyle w:val="1829"/>
        <w:pBdr/>
        <w:tabs>
          <w:tab w:val="right" w:leader="dot" w:pos="9062"/>
        </w:tabs>
        <w:spacing/>
        <w:ind/>
        <w:rPr/>
      </w:pPr>
      <w:hyperlink w:tooltip="#_Toc42" w:anchor="_Toc42" w:history="1">
        <w:r>
          <w:rPr>
            <w:rStyle w:val="1830"/>
          </w:rPr>
        </w:r>
        <w:r>
          <w:rPr>
            <w:rStyle w:val="1830"/>
          </w:rPr>
          <w:t xml:space="preserve">6.2.1 Projeto das Interações entre Objetos</w:t>
        </w:r>
        <w:r>
          <w:rPr>
            <w:rStyle w:val="1830"/>
          </w:rPr>
        </w:r>
        <w:r>
          <w:tab/>
        </w:r>
        <w:r>
          <w:fldChar w:fldCharType="begin"/>
          <w:instrText xml:space="preserve">PAGEREF _Toc42 \h</w:instrText>
          <w:fldChar w:fldCharType="separate"/>
          <w:t xml:space="preserve">73</w:t>
          <w:fldChar w:fldCharType="end"/>
        </w:r>
      </w:hyperlink>
      <w:r/>
    </w:p>
    <w:p w14:paraId="416819E7">
      <w:pPr>
        <w:pStyle w:val="1828"/>
        <w:pBdr/>
        <w:tabs>
          <w:tab w:val="right" w:leader="dot" w:pos="9062"/>
        </w:tabs>
        <w:spacing/>
        <w:ind/>
        <w:rPr/>
      </w:pPr>
      <w:hyperlink w:tooltip="#_Toc43" w:anchor="_Toc43" w:history="1">
        <w:r>
          <w:rPr>
            <w:rStyle w:val="1830"/>
          </w:rPr>
        </w:r>
        <w:r>
          <w:rPr>
            <w:rStyle w:val="1830"/>
          </w:rPr>
          <w:t xml:space="preserve">6.3 VISÃO DOS DADOS</w:t>
        </w:r>
        <w:r>
          <w:rPr>
            <w:rStyle w:val="1830"/>
          </w:rPr>
        </w:r>
        <w:r>
          <w:tab/>
        </w:r>
        <w:r>
          <w:fldChar w:fldCharType="begin"/>
          <w:instrText xml:space="preserve">PAGEREF _Toc43 \h</w:instrText>
          <w:fldChar w:fldCharType="separate"/>
          <w:t xml:space="preserve">73</w:t>
          <w:fldChar w:fldCharType="end"/>
        </w:r>
      </w:hyperlink>
      <w:r/>
    </w:p>
    <w:p w14:paraId="02B510E4">
      <w:pPr>
        <w:pStyle w:val="1829"/>
        <w:pBdr/>
        <w:tabs>
          <w:tab w:val="right" w:leader="dot" w:pos="9062"/>
        </w:tabs>
        <w:spacing/>
        <w:ind/>
        <w:rPr/>
      </w:pPr>
      <w:hyperlink w:tooltip="#_Toc44" w:anchor="_Toc44" w:history="1">
        <w:r>
          <w:rPr>
            <w:rStyle w:val="1830"/>
          </w:rPr>
        </w:r>
        <w:r>
          <w:rPr>
            <w:rStyle w:val="1830"/>
          </w:rPr>
          <w:t xml:space="preserve">6.3.1 Modelo Lógico</w:t>
        </w:r>
        <w:r>
          <w:rPr>
            <w:rStyle w:val="1830"/>
          </w:rPr>
        </w:r>
        <w:r>
          <w:tab/>
        </w:r>
        <w:r>
          <w:fldChar w:fldCharType="begin"/>
          <w:instrText xml:space="preserve">PAGEREF _Toc44 \h</w:instrText>
          <w:fldChar w:fldCharType="separate"/>
          <w:t xml:space="preserve">73</w:t>
          <w:fldChar w:fldCharType="end"/>
        </w:r>
      </w:hyperlink>
      <w:r/>
    </w:p>
    <w:p w14:paraId="2094E0C6">
      <w:pPr>
        <w:pStyle w:val="1829"/>
        <w:pBdr/>
        <w:tabs>
          <w:tab w:val="right" w:leader="dot" w:pos="9062"/>
        </w:tabs>
        <w:spacing/>
        <w:ind/>
        <w:rPr/>
      </w:pPr>
      <w:hyperlink w:tooltip="#_Toc45" w:anchor="_Toc45" w:history="1">
        <w:r>
          <w:rPr>
            <w:rStyle w:val="1830"/>
          </w:rPr>
        </w:r>
        <w:r>
          <w:rPr>
            <w:rStyle w:val="1830"/>
          </w:rPr>
          <w:t xml:space="preserve">6.3.2 Dicionário de Dados do Modelo Lógico</w:t>
        </w:r>
        <w:r>
          <w:rPr>
            <w:rStyle w:val="1830"/>
          </w:rPr>
        </w:r>
        <w:r>
          <w:tab/>
        </w:r>
        <w:r>
          <w:fldChar w:fldCharType="begin"/>
          <w:instrText xml:space="preserve">PAGEREF _Toc45 \h</w:instrText>
          <w:fldChar w:fldCharType="separate"/>
          <w:t xml:space="preserve">74</w:t>
          <w:fldChar w:fldCharType="end"/>
        </w:r>
      </w:hyperlink>
      <w:r/>
    </w:p>
    <w:p w14:paraId="4D2736DE">
      <w:pPr>
        <w:pStyle w:val="1828"/>
        <w:pBdr/>
        <w:tabs>
          <w:tab w:val="right" w:leader="dot" w:pos="9062"/>
        </w:tabs>
        <w:spacing/>
        <w:ind/>
        <w:rPr/>
      </w:pPr>
      <w:hyperlink w:tooltip="#_Toc46" w:anchor="_Toc46" w:history="1">
        <w:r>
          <w:rPr>
            <w:rStyle w:val="1830"/>
          </w:rPr>
        </w:r>
        <w:r>
          <w:rPr>
            <w:rStyle w:val="1830"/>
          </w:rPr>
          <w:t xml:space="preserve">6.4 PROJETO DA INTERAÇÃO HUMANO-COMPUTADOR</w:t>
        </w:r>
        <w:r>
          <w:rPr>
            <w:rStyle w:val="1830"/>
          </w:rPr>
        </w:r>
        <w:r>
          <w:tab/>
        </w:r>
        <w:r>
          <w:fldChar w:fldCharType="begin"/>
          <w:instrText xml:space="preserve">PAGEREF _Toc46 \h</w:instrText>
          <w:fldChar w:fldCharType="separate"/>
          <w:t xml:space="preserve">75</w:t>
          <w:fldChar w:fldCharType="end"/>
        </w:r>
      </w:hyperlink>
      <w:r/>
    </w:p>
    <w:p w14:paraId="4E42E547">
      <w:pPr>
        <w:pStyle w:val="1829"/>
        <w:pBdr/>
        <w:tabs>
          <w:tab w:val="right" w:leader="dot" w:pos="9062"/>
        </w:tabs>
        <w:spacing/>
        <w:ind/>
        <w:rPr/>
      </w:pPr>
      <w:hyperlink w:tooltip="#_Toc47" w:anchor="_Toc47" w:history="1">
        <w:r>
          <w:rPr>
            <w:rStyle w:val="1830"/>
          </w:rPr>
        </w:r>
        <w:r>
          <w:rPr>
            <w:rStyle w:val="1830"/>
          </w:rPr>
          <w:t xml:space="preserve">6.4.1 Perfil de Usuário</w:t>
        </w:r>
        <w:r>
          <w:rPr>
            <w:rStyle w:val="1830"/>
          </w:rPr>
        </w:r>
        <w:r>
          <w:tab/>
        </w:r>
        <w:r>
          <w:fldChar w:fldCharType="begin"/>
          <w:instrText xml:space="preserve">PAGEREF _Toc47 \h</w:instrText>
          <w:fldChar w:fldCharType="separate"/>
          <w:t xml:space="preserve">75</w:t>
          <w:fldChar w:fldCharType="end"/>
        </w:r>
      </w:hyperlink>
      <w:r/>
    </w:p>
    <w:p w14:paraId="755A52EC">
      <w:pPr>
        <w:pStyle w:val="1829"/>
        <w:pBdr/>
        <w:tabs>
          <w:tab w:val="right" w:leader="dot" w:pos="9062"/>
        </w:tabs>
        <w:spacing/>
        <w:ind/>
        <w:rPr/>
      </w:pPr>
      <w:hyperlink w:tooltip="#_Toc48" w:anchor="_Toc48" w:history="1">
        <w:r>
          <w:rPr>
            <w:rStyle w:val="1830"/>
          </w:rPr>
        </w:r>
        <w:r>
          <w:rPr>
            <w:rStyle w:val="1830"/>
          </w:rPr>
          <w:t xml:space="preserve">6.4.2 Projeto da Interface de Usuário</w:t>
        </w:r>
        <w:r>
          <w:rPr>
            <w:rStyle w:val="1830"/>
          </w:rPr>
        </w:r>
        <w:r>
          <w:tab/>
        </w:r>
        <w:r>
          <w:fldChar w:fldCharType="begin"/>
          <w:instrText xml:space="preserve">PAGEREF _Toc48 \h</w:instrText>
          <w:fldChar w:fldCharType="separate"/>
          <w:t xml:space="preserve">78</w:t>
          <w:fldChar w:fldCharType="end"/>
        </w:r>
      </w:hyperlink>
      <w:r/>
    </w:p>
    <w:p w14:paraId="7FC42389">
      <w:pPr>
        <w:pStyle w:val="1829"/>
        <w:pBdr/>
        <w:tabs>
          <w:tab w:val="right" w:leader="dot" w:pos="9062"/>
        </w:tabs>
        <w:spacing/>
        <w:ind/>
        <w:rPr/>
      </w:pPr>
      <w:hyperlink w:tooltip="#_Toc49" w:anchor="_Toc49" w:history="1">
        <w:r>
          <w:rPr>
            <w:rStyle w:val="1830"/>
          </w:rPr>
        </w:r>
        <w:r>
          <w:rPr>
            <w:rStyle w:val="1830"/>
          </w:rPr>
          <w:t xml:space="preserve">6.4.3 Heurísticas de Usabilidade</w:t>
        </w:r>
        <w:r>
          <w:rPr>
            <w:rStyle w:val="1830"/>
          </w:rPr>
        </w:r>
        <w:r>
          <w:tab/>
        </w:r>
        <w:r>
          <w:fldChar w:fldCharType="begin"/>
          <w:instrText xml:space="preserve">PAGEREF _Toc49 \h</w:instrText>
          <w:fldChar w:fldCharType="separate"/>
          <w:t xml:space="preserve">80</w:t>
          <w:fldChar w:fldCharType="end"/>
        </w:r>
      </w:hyperlink>
      <w:r/>
    </w:p>
    <w:p w14:paraId="2ED47448">
      <w:pPr>
        <w:pStyle w:val="1829"/>
        <w:pBdr/>
        <w:tabs>
          <w:tab w:val="right" w:leader="dot" w:pos="9062"/>
        </w:tabs>
        <w:spacing/>
        <w:ind/>
        <w:rPr/>
      </w:pPr>
      <w:hyperlink w:tooltip="#_Toc50" w:anchor="_Toc50" w:history="1">
        <w:r>
          <w:rPr>
            <w:rStyle w:val="1830"/>
          </w:rPr>
        </w:r>
        <w:r>
          <w:rPr>
            <w:rStyle w:val="1830"/>
          </w:rPr>
          <w:t xml:space="preserve">6.4.4 Projeto da Acessibilidade</w:t>
        </w:r>
        <w:r>
          <w:rPr>
            <w:rStyle w:val="1830"/>
          </w:rPr>
        </w:r>
        <w:r>
          <w:tab/>
        </w:r>
        <w:r>
          <w:fldChar w:fldCharType="begin"/>
          <w:instrText xml:space="preserve">PAGEREF _Toc50 \h</w:instrText>
          <w:fldChar w:fldCharType="separate"/>
          <w:t xml:space="preserve">93</w:t>
          <w:fldChar w:fldCharType="end"/>
        </w:r>
      </w:hyperlink>
      <w:r/>
    </w:p>
    <w:p w14:paraId="037220A4">
      <w:pPr>
        <w:pStyle w:val="1828"/>
        <w:pBdr/>
        <w:tabs>
          <w:tab w:val="right" w:leader="dot" w:pos="9062"/>
        </w:tabs>
        <w:spacing/>
        <w:ind/>
        <w:rPr/>
      </w:pPr>
      <w:hyperlink w:tooltip="#_Toc51" w:anchor="_Toc51" w:history="1">
        <w:r>
          <w:rPr>
            <w:rStyle w:val="1830"/>
          </w:rPr>
        </w:r>
        <w:r>
          <w:rPr>
            <w:rStyle w:val="1830"/>
          </w:rPr>
          <w:t xml:space="preserve">6.5 PROJETO DO SISTEMA DISTRIBUÍDO</w:t>
        </w:r>
        <w:r>
          <w:rPr>
            <w:rStyle w:val="1830"/>
          </w:rPr>
        </w:r>
        <w:r>
          <w:tab/>
        </w:r>
        <w:r>
          <w:fldChar w:fldCharType="begin"/>
          <w:instrText xml:space="preserve">PAGEREF _Toc51 \h</w:instrText>
          <w:fldChar w:fldCharType="separate"/>
          <w:t xml:space="preserve">95</w:t>
          <w:fldChar w:fldCharType="end"/>
        </w:r>
      </w:hyperlink>
      <w:r/>
    </w:p>
    <w:p w14:paraId="00669E5B">
      <w:pPr>
        <w:pStyle w:val="1827"/>
        <w:pBdr/>
        <w:tabs>
          <w:tab w:val="right" w:leader="dot" w:pos="9062"/>
        </w:tabs>
        <w:spacing/>
        <w:ind/>
        <w:rPr/>
      </w:pPr>
      <w:hyperlink w:tooltip="#_Toc52" w:anchor="_Toc52" w:history="1">
        <w:r>
          <w:rPr>
            <w:rStyle w:val="1830"/>
          </w:rPr>
        </w:r>
        <w:r>
          <w:rPr>
            <w:rStyle w:val="1830"/>
          </w:rPr>
          <w:t xml:space="preserve">7 IMPLEMENTAÇÃO DO SISTEMA DE SOFTWARE</w:t>
        </w:r>
        <w:r>
          <w:rPr>
            <w:rStyle w:val="1830"/>
          </w:rPr>
        </w:r>
        <w:r>
          <w:tab/>
        </w:r>
        <w:r>
          <w:fldChar w:fldCharType="begin"/>
          <w:instrText xml:space="preserve">PAGEREF _Toc52 \h</w:instrText>
          <w:fldChar w:fldCharType="separate"/>
          <w:t xml:space="preserve">97</w:t>
          <w:fldChar w:fldCharType="end"/>
        </w:r>
      </w:hyperlink>
      <w:r/>
    </w:p>
    <w:p w14:paraId="3979F274">
      <w:pPr>
        <w:pStyle w:val="1828"/>
        <w:pBdr/>
        <w:tabs>
          <w:tab w:val="right" w:leader="dot" w:pos="9062"/>
        </w:tabs>
        <w:spacing/>
        <w:ind/>
        <w:rPr/>
      </w:pPr>
      <w:hyperlink w:tooltip="#_Toc53" w:anchor="_Toc53" w:history="1">
        <w:r>
          <w:rPr>
            <w:rStyle w:val="1830"/>
          </w:rPr>
        </w:r>
        <w:r>
          <w:rPr>
            <w:rStyle w:val="1830"/>
          </w:rPr>
          <w:t xml:space="preserve">7.1 COMPONENTES DO SISTEMA DE SOFTWARE</w:t>
        </w:r>
        <w:r>
          <w:rPr>
            <w:rStyle w:val="1830"/>
          </w:rPr>
        </w:r>
        <w:r>
          <w:tab/>
        </w:r>
        <w:r>
          <w:fldChar w:fldCharType="begin"/>
          <w:instrText xml:space="preserve">PAGEREF _Toc53 \h</w:instrText>
          <w:fldChar w:fldCharType="separate"/>
          <w:t xml:space="preserve">97</w:t>
          <w:fldChar w:fldCharType="end"/>
        </w:r>
      </w:hyperlink>
      <w:r/>
    </w:p>
    <w:p w14:paraId="2845FC22">
      <w:pPr>
        <w:pStyle w:val="1828"/>
        <w:pBdr/>
        <w:tabs>
          <w:tab w:val="right" w:leader="dot" w:pos="9062"/>
        </w:tabs>
        <w:spacing/>
        <w:ind/>
        <w:rPr/>
      </w:pPr>
      <w:hyperlink w:tooltip="#_Toc54" w:anchor="_Toc54" w:history="1">
        <w:r>
          <w:rPr>
            <w:rStyle w:val="1830"/>
          </w:rPr>
        </w:r>
        <w:r>
          <w:rPr>
            <w:rStyle w:val="1830"/>
          </w:rPr>
          <w:t xml:space="preserve">7.2 TECNOLOGIAS DE IMPLEMENTAÇÃO</w:t>
        </w:r>
        <w:r>
          <w:rPr>
            <w:rStyle w:val="1830"/>
          </w:rPr>
        </w:r>
        <w:r>
          <w:tab/>
        </w:r>
        <w:r>
          <w:fldChar w:fldCharType="begin"/>
          <w:instrText xml:space="preserve">PAGEREF _Toc54 \h</w:instrText>
          <w:fldChar w:fldCharType="separate"/>
          <w:t xml:space="preserve">98</w:t>
          <w:fldChar w:fldCharType="end"/>
        </w:r>
      </w:hyperlink>
      <w:r/>
    </w:p>
    <w:p w14:paraId="3B70C054">
      <w:pPr>
        <w:pStyle w:val="1829"/>
        <w:pBdr/>
        <w:tabs>
          <w:tab w:val="right" w:leader="dot" w:pos="9062"/>
        </w:tabs>
        <w:spacing/>
        <w:ind/>
        <w:rPr/>
      </w:pPr>
      <w:hyperlink w:tooltip="#_Toc55" w:anchor="_Toc55" w:history="1">
        <w:r>
          <w:rPr>
            <w:rStyle w:val="1830"/>
          </w:rPr>
        </w:r>
        <w:r>
          <w:rPr>
            <w:rStyle w:val="1830"/>
          </w:rPr>
          <w:t xml:space="preserve">7.2.1 Linguagens de Programação e </w:t>
        </w:r>
        <w:r>
          <w:rPr>
            <w:rStyle w:val="1830"/>
            <w:i/>
          </w:rPr>
          <w:t xml:space="preserve">Frameworks </w:t>
        </w:r>
        <w:r>
          <w:rPr>
            <w:rStyle w:val="1830"/>
          </w:rPr>
          <w:t xml:space="preserve">Adotados</w:t>
        </w:r>
        <w:r>
          <w:rPr>
            <w:rStyle w:val="1830"/>
          </w:rPr>
        </w:r>
        <w:r>
          <w:tab/>
        </w:r>
        <w:r>
          <w:fldChar w:fldCharType="begin"/>
          <w:instrText xml:space="preserve">PAGEREF _Toc55 \h</w:instrText>
          <w:fldChar w:fldCharType="separate"/>
          <w:t xml:space="preserve">98</w:t>
          <w:fldChar w:fldCharType="end"/>
        </w:r>
      </w:hyperlink>
      <w:r/>
    </w:p>
    <w:p w14:paraId="23651F60">
      <w:pPr>
        <w:pStyle w:val="1829"/>
        <w:pBdr/>
        <w:tabs>
          <w:tab w:val="right" w:leader="dot" w:pos="9062"/>
        </w:tabs>
        <w:spacing/>
        <w:ind/>
        <w:rPr/>
      </w:pPr>
      <w:hyperlink w:tooltip="#_Toc56" w:anchor="_Toc56" w:history="1">
        <w:r>
          <w:rPr>
            <w:rStyle w:val="1830"/>
          </w:rPr>
        </w:r>
        <w:r>
          <w:rPr>
            <w:rStyle w:val="1830"/>
          </w:rPr>
          <w:t xml:space="preserve">7.2.2 </w:t>
        </w:r>
        <w:r>
          <w:rPr>
            <w:rStyle w:val="1830"/>
            <w:i/>
          </w:rPr>
          <w:t xml:space="preserve">Design Patterns</w:t>
        </w:r>
        <w:r>
          <w:rPr>
            <w:rStyle w:val="1830"/>
          </w:rPr>
          <w:t xml:space="preserve"> Aplicados</w:t>
        </w:r>
        <w:r>
          <w:rPr>
            <w:rStyle w:val="1830"/>
          </w:rPr>
        </w:r>
        <w:r>
          <w:tab/>
        </w:r>
        <w:r>
          <w:fldChar w:fldCharType="begin"/>
          <w:instrText xml:space="preserve">PAGEREF _Toc56 \h</w:instrText>
          <w:fldChar w:fldCharType="separate"/>
          <w:t xml:space="preserve">99</w:t>
          <w:fldChar w:fldCharType="end"/>
        </w:r>
      </w:hyperlink>
      <w:r/>
    </w:p>
    <w:p w14:paraId="2E2C916C">
      <w:pPr>
        <w:pStyle w:val="1829"/>
        <w:pBdr/>
        <w:tabs>
          <w:tab w:val="right" w:leader="dot" w:pos="9062"/>
        </w:tabs>
        <w:spacing/>
        <w:ind/>
        <w:rPr/>
      </w:pPr>
      <w:hyperlink w:tooltip="#_Toc57" w:anchor="_Toc57" w:history="1">
        <w:r>
          <w:rPr>
            <w:rStyle w:val="1830"/>
          </w:rPr>
        </w:r>
        <w:r>
          <w:rPr>
            <w:rStyle w:val="1830"/>
          </w:rPr>
          <w:t xml:space="preserve">7.2.3 Convenções e Guias para Codificação</w:t>
        </w:r>
        <w:r>
          <w:rPr>
            <w:rStyle w:val="1830"/>
          </w:rPr>
        </w:r>
        <w:r>
          <w:tab/>
        </w:r>
        <w:r>
          <w:fldChar w:fldCharType="begin"/>
          <w:instrText xml:space="preserve">PAGEREF _Toc57 \h</w:instrText>
          <w:fldChar w:fldCharType="separate"/>
          <w:t xml:space="preserve">102</w:t>
          <w:fldChar w:fldCharType="end"/>
        </w:r>
      </w:hyperlink>
      <w:r/>
    </w:p>
    <w:p w14:paraId="41BE5299">
      <w:pPr>
        <w:pStyle w:val="1829"/>
        <w:pBdr/>
        <w:tabs>
          <w:tab w:val="right" w:leader="dot" w:pos="9062"/>
        </w:tabs>
        <w:spacing/>
        <w:ind/>
        <w:rPr/>
      </w:pPr>
      <w:hyperlink w:tooltip="#_Toc58" w:anchor="_Toc58" w:history="1">
        <w:r>
          <w:rPr>
            <w:rStyle w:val="1830"/>
          </w:rPr>
        </w:r>
        <w:r>
          <w:rPr>
            <w:rStyle w:val="1830"/>
          </w:rPr>
          <w:t xml:space="preserve">7.2.4 Estrutura Física do Banco de Dados</w:t>
        </w:r>
        <w:r>
          <w:rPr>
            <w:rStyle w:val="1830"/>
          </w:rPr>
        </w:r>
        <w:r>
          <w:tab/>
        </w:r>
        <w:r>
          <w:fldChar w:fldCharType="begin"/>
          <w:instrText xml:space="preserve">PAGEREF _Toc58 \h</w:instrText>
          <w:fldChar w:fldCharType="separate"/>
          <w:t xml:space="preserve">103</w:t>
          <w:fldChar w:fldCharType="end"/>
        </w:r>
      </w:hyperlink>
      <w:r/>
    </w:p>
    <w:p w14:paraId="7158E53D">
      <w:pPr>
        <w:pStyle w:val="1828"/>
        <w:pBdr/>
        <w:tabs>
          <w:tab w:val="right" w:leader="dot" w:pos="9062"/>
        </w:tabs>
        <w:spacing/>
        <w:ind/>
        <w:rPr/>
      </w:pPr>
      <w:hyperlink w:tooltip="#_Toc59" w:anchor="_Toc59" w:history="1">
        <w:r>
          <w:rPr>
            <w:rStyle w:val="1830"/>
          </w:rPr>
        </w:r>
        <w:r>
          <w:rPr>
            <w:rStyle w:val="1830"/>
          </w:rPr>
          <w:t xml:space="preserve">7.3 ANÁLISE DE COMPLEXIDADE ALGORÍTMICA</w:t>
        </w:r>
        <w:r>
          <w:rPr>
            <w:rStyle w:val="1830"/>
          </w:rPr>
        </w:r>
        <w:r>
          <w:tab/>
        </w:r>
        <w:r>
          <w:fldChar w:fldCharType="begin"/>
          <w:instrText xml:space="preserve">PAGEREF _Toc59 \h</w:instrText>
          <w:fldChar w:fldCharType="separate"/>
          <w:t xml:space="preserve">103</w:t>
          <w:fldChar w:fldCharType="end"/>
        </w:r>
      </w:hyperlink>
      <w:r/>
    </w:p>
    <w:p w14:paraId="6C7EC2B9">
      <w:pPr>
        <w:pStyle w:val="1827"/>
        <w:pBdr/>
        <w:tabs>
          <w:tab w:val="right" w:leader="dot" w:pos="9062"/>
        </w:tabs>
        <w:spacing/>
        <w:ind/>
        <w:rPr/>
      </w:pPr>
      <w:hyperlink w:tooltip="#_Toc60" w:anchor="_Toc60" w:history="1">
        <w:r>
          <w:rPr>
            <w:rStyle w:val="1830"/>
          </w:rPr>
        </w:r>
        <w:r>
          <w:rPr>
            <w:rStyle w:val="1830"/>
          </w:rPr>
          <w:t xml:space="preserve">8 PLANO DE TESTES</w:t>
        </w:r>
        <w:r>
          <w:rPr>
            <w:rStyle w:val="1830"/>
          </w:rPr>
        </w:r>
        <w:r>
          <w:tab/>
        </w:r>
        <w:r>
          <w:fldChar w:fldCharType="begin"/>
          <w:instrText xml:space="preserve">PAGEREF _Toc60 \h</w:instrText>
          <w:fldChar w:fldCharType="separate"/>
          <w:t xml:space="preserve">107</w:t>
          <w:fldChar w:fldCharType="end"/>
        </w:r>
      </w:hyperlink>
      <w:r/>
    </w:p>
    <w:p w14:paraId="10A04E1B">
      <w:pPr>
        <w:pStyle w:val="1828"/>
        <w:pBdr/>
        <w:tabs>
          <w:tab w:val="right" w:leader="dot" w:pos="9062"/>
        </w:tabs>
        <w:spacing/>
        <w:ind/>
        <w:rPr/>
      </w:pPr>
      <w:hyperlink w:tooltip="#_Toc61" w:anchor="_Toc61" w:history="1">
        <w:r>
          <w:rPr>
            <w:rStyle w:val="1830"/>
          </w:rPr>
        </w:r>
        <w:r>
          <w:rPr>
            <w:rStyle w:val="1830"/>
          </w:rPr>
          <w:t xml:space="preserve">8.1 FINALIDADE</w:t>
        </w:r>
        <w:r>
          <w:rPr>
            <w:rStyle w:val="1830"/>
          </w:rPr>
        </w:r>
        <w:r>
          <w:tab/>
        </w:r>
        <w:r>
          <w:fldChar w:fldCharType="begin"/>
          <w:instrText xml:space="preserve">PAGEREF _Toc61 \h</w:instrText>
          <w:fldChar w:fldCharType="separate"/>
          <w:t xml:space="preserve">107</w:t>
          <w:fldChar w:fldCharType="end"/>
        </w:r>
      </w:hyperlink>
      <w:r/>
    </w:p>
    <w:p w14:paraId="66824B34">
      <w:pPr>
        <w:pStyle w:val="1828"/>
        <w:pBdr/>
        <w:tabs>
          <w:tab w:val="right" w:leader="dot" w:pos="9062"/>
        </w:tabs>
        <w:spacing/>
        <w:ind/>
        <w:rPr/>
      </w:pPr>
      <w:hyperlink w:tooltip="#_Toc62" w:anchor="_Toc62" w:history="1">
        <w:r>
          <w:rPr>
            <w:rStyle w:val="1830"/>
          </w:rPr>
        </w:r>
        <w:r>
          <w:rPr>
            <w:rStyle w:val="1830"/>
          </w:rPr>
          <w:t xml:space="preserve">8.2 ESCOPO</w:t>
        </w:r>
        <w:r>
          <w:rPr>
            <w:rStyle w:val="1830"/>
          </w:rPr>
        </w:r>
        <w:r>
          <w:tab/>
        </w:r>
        <w:r>
          <w:fldChar w:fldCharType="begin"/>
          <w:instrText xml:space="preserve">PAGEREF _Toc62 \h</w:instrText>
          <w:fldChar w:fldCharType="separate"/>
          <w:t xml:space="preserve">108</w:t>
          <w:fldChar w:fldCharType="end"/>
        </w:r>
      </w:hyperlink>
      <w:r/>
    </w:p>
    <w:p w14:paraId="5680A041">
      <w:pPr>
        <w:pStyle w:val="1829"/>
        <w:pBdr/>
        <w:tabs>
          <w:tab w:val="right" w:leader="dot" w:pos="9062"/>
        </w:tabs>
        <w:spacing/>
        <w:ind/>
        <w:rPr/>
      </w:pPr>
      <w:hyperlink w:tooltip="#_Toc63" w:anchor="_Toc63" w:history="1">
        <w:r>
          <w:rPr>
            <w:rStyle w:val="1830"/>
          </w:rPr>
        </w:r>
        <w:r>
          <w:rPr>
            <w:rStyle w:val="1830"/>
          </w:rPr>
          <w:t xml:space="preserve">8.2.1 Referências aos Documentos Relevantes</w:t>
        </w:r>
        <w:r>
          <w:rPr>
            <w:rStyle w:val="1830"/>
          </w:rPr>
        </w:r>
        <w:r>
          <w:tab/>
        </w:r>
        <w:r>
          <w:fldChar w:fldCharType="begin"/>
          <w:instrText xml:space="preserve">PAGEREF _Toc63 \h</w:instrText>
          <w:fldChar w:fldCharType="separate"/>
          <w:t xml:space="preserve">108</w:t>
          <w:fldChar w:fldCharType="end"/>
        </w:r>
      </w:hyperlink>
      <w:r/>
    </w:p>
    <w:p w14:paraId="69E150B3">
      <w:pPr>
        <w:pStyle w:val="1829"/>
        <w:pBdr/>
        <w:tabs>
          <w:tab w:val="right" w:leader="dot" w:pos="9062"/>
        </w:tabs>
        <w:spacing/>
        <w:ind/>
        <w:rPr/>
      </w:pPr>
      <w:hyperlink w:tooltip="#_Toc64" w:anchor="_Toc64" w:history="1">
        <w:r>
          <w:rPr>
            <w:rStyle w:val="1830"/>
          </w:rPr>
        </w:r>
        <w:r>
          <w:rPr>
            <w:rStyle w:val="1830"/>
          </w:rPr>
          <w:t xml:space="preserve">8.2.2 Ambiente para a Realização dos Testes</w:t>
        </w:r>
        <w:r>
          <w:rPr>
            <w:rStyle w:val="1830"/>
          </w:rPr>
        </w:r>
        <w:r>
          <w:tab/>
        </w:r>
        <w:r>
          <w:fldChar w:fldCharType="begin"/>
          <w:instrText xml:space="preserve">PAGEREF _Toc64 \h</w:instrText>
          <w:fldChar w:fldCharType="separate"/>
          <w:t xml:space="preserve">109</w:t>
          <w:fldChar w:fldCharType="end"/>
        </w:r>
      </w:hyperlink>
      <w:r/>
    </w:p>
    <w:p w14:paraId="43BFE6F9">
      <w:pPr>
        <w:pStyle w:val="1828"/>
        <w:pBdr/>
        <w:tabs>
          <w:tab w:val="right" w:leader="dot" w:pos="9062"/>
        </w:tabs>
        <w:spacing/>
        <w:ind/>
        <w:rPr/>
      </w:pPr>
      <w:hyperlink w:tooltip="#_Toc65" w:anchor="_Toc65" w:history="1">
        <w:r>
          <w:rPr>
            <w:rStyle w:val="1830"/>
          </w:rPr>
        </w:r>
        <w:r>
          <w:rPr>
            <w:rStyle w:val="1830"/>
          </w:rPr>
          <w:t xml:space="preserve">8.3 ESPECIFICAÇÃO DOS CASOS DE TESTES</w:t>
        </w:r>
        <w:r>
          <w:rPr>
            <w:rStyle w:val="1830"/>
          </w:rPr>
        </w:r>
        <w:r>
          <w:tab/>
        </w:r>
        <w:r>
          <w:fldChar w:fldCharType="begin"/>
          <w:instrText xml:space="preserve">PAGEREF _Toc65 \h</w:instrText>
          <w:fldChar w:fldCharType="separate"/>
          <w:t xml:space="preserve">111</w:t>
          <w:fldChar w:fldCharType="end"/>
        </w:r>
      </w:hyperlink>
      <w:r/>
    </w:p>
    <w:p w14:paraId="7A3CA8A0">
      <w:pPr>
        <w:pStyle w:val="1828"/>
        <w:pBdr/>
        <w:tabs>
          <w:tab w:val="right" w:leader="dot" w:pos="9062"/>
        </w:tabs>
        <w:spacing/>
        <w:ind/>
        <w:rPr/>
      </w:pPr>
      <w:hyperlink w:tooltip="#_Toc66" w:anchor="_Toc66" w:history="1">
        <w:r>
          <w:rPr>
            <w:rStyle w:val="1830"/>
          </w:rPr>
        </w:r>
        <w:r>
          <w:rPr>
            <w:rStyle w:val="1830"/>
          </w:rPr>
          <w:t xml:space="preserve">8.4 RESULTADOS DOS TESTES</w:t>
        </w:r>
        <w:r>
          <w:rPr>
            <w:rStyle w:val="1830"/>
          </w:rPr>
        </w:r>
        <w:r>
          <w:tab/>
        </w:r>
        <w:r>
          <w:fldChar w:fldCharType="begin"/>
          <w:instrText xml:space="preserve">PAGEREF _Toc66 \h</w:instrText>
          <w:fldChar w:fldCharType="separate"/>
          <w:t xml:space="preserve">111</w:t>
          <w:fldChar w:fldCharType="end"/>
        </w:r>
      </w:hyperlink>
      <w:r/>
    </w:p>
    <w:p w14:paraId="0527EC79">
      <w:pPr>
        <w:pStyle w:val="1828"/>
        <w:pBdr/>
        <w:tabs>
          <w:tab w:val="right" w:leader="dot" w:pos="9062"/>
        </w:tabs>
        <w:spacing/>
        <w:ind/>
        <w:rPr/>
      </w:pPr>
      <w:hyperlink w:tooltip="#_Toc67" w:anchor="_Toc67" w:history="1">
        <w:r>
          <w:rPr>
            <w:rStyle w:val="1830"/>
          </w:rPr>
        </w:r>
        <w:r>
          <w:rPr>
            <w:rStyle w:val="1830"/>
          </w:rPr>
          <w:t xml:space="preserve">8.5 TESTES DO SISTEMA NA FAITEC</w:t>
        </w:r>
        <w:r>
          <w:rPr>
            <w:rStyle w:val="1830"/>
          </w:rPr>
          <w:t xml:space="preserve"> </w:t>
        </w:r>
        <w:r>
          <w:rPr>
            <w:rStyle w:val="1830"/>
          </w:rPr>
        </w:r>
        <w:r>
          <w:tab/>
        </w:r>
        <w:r>
          <w:fldChar w:fldCharType="begin"/>
          <w:instrText xml:space="preserve">PAGEREF _Toc67 \h</w:instrText>
          <w:fldChar w:fldCharType="separate"/>
          <w:t xml:space="preserve">113</w:t>
          <w:fldChar w:fldCharType="end"/>
        </w:r>
      </w:hyperlink>
      <w:r/>
    </w:p>
    <w:p w14:paraId="281D2EAE">
      <w:pPr>
        <w:pStyle w:val="1827"/>
        <w:pBdr/>
        <w:tabs>
          <w:tab w:val="right" w:leader="dot" w:pos="9062"/>
        </w:tabs>
        <w:spacing/>
        <w:ind/>
        <w:rPr/>
      </w:pPr>
      <w:hyperlink w:tooltip="#_Toc68" w:anchor="_Toc68" w:history="1">
        <w:r>
          <w:rPr>
            <w:rStyle w:val="1830"/>
          </w:rPr>
        </w:r>
        <w:r>
          <w:rPr>
            <w:rStyle w:val="1830"/>
          </w:rPr>
          <w:t xml:space="preserve">9 PLANO PARA IMPLANTAÇÃO</w:t>
        </w:r>
        <w:r>
          <w:rPr>
            <w:rStyle w:val="1830"/>
          </w:rPr>
        </w:r>
        <w:r>
          <w:tab/>
        </w:r>
        <w:r>
          <w:fldChar w:fldCharType="begin"/>
          <w:instrText xml:space="preserve">PAGEREF _Toc68 \h</w:instrText>
          <w:fldChar w:fldCharType="separate"/>
          <w:t xml:space="preserve">114</w:t>
          <w:fldChar w:fldCharType="end"/>
        </w:r>
      </w:hyperlink>
      <w:r/>
    </w:p>
    <w:p w14:paraId="64F88A93">
      <w:pPr>
        <w:pStyle w:val="1828"/>
        <w:pBdr/>
        <w:tabs>
          <w:tab w:val="right" w:leader="dot" w:pos="9062"/>
        </w:tabs>
        <w:spacing/>
        <w:ind/>
        <w:rPr/>
      </w:pPr>
      <w:hyperlink w:tooltip="#_Toc69" w:anchor="_Toc69" w:history="1">
        <w:r>
          <w:rPr>
            <w:rStyle w:val="1830"/>
          </w:rPr>
        </w:r>
        <w:r>
          <w:rPr>
            <w:rStyle w:val="1830"/>
          </w:rPr>
          <w:t xml:space="preserve">9.1 METODOLOGIA</w:t>
        </w:r>
        <w:r>
          <w:rPr>
            <w:rStyle w:val="1830"/>
          </w:rPr>
        </w:r>
        <w:r>
          <w:tab/>
        </w:r>
        <w:r>
          <w:fldChar w:fldCharType="begin"/>
          <w:instrText xml:space="preserve">PAGEREF _Toc69 \h</w:instrText>
          <w:fldChar w:fldCharType="separate"/>
          <w:t xml:space="preserve">114</w:t>
          <w:fldChar w:fldCharType="end"/>
        </w:r>
      </w:hyperlink>
      <w:r/>
    </w:p>
    <w:p w14:paraId="107B45B9">
      <w:pPr>
        <w:pStyle w:val="1829"/>
        <w:pBdr/>
        <w:tabs>
          <w:tab w:val="right" w:leader="dot" w:pos="9062"/>
        </w:tabs>
        <w:spacing/>
        <w:ind/>
        <w:rPr/>
      </w:pPr>
      <w:hyperlink w:tooltip="#_Toc70" w:anchor="_Toc70" w:history="1">
        <w:r>
          <w:rPr>
            <w:rStyle w:val="1830"/>
          </w:rPr>
        </w:r>
        <w:r>
          <w:rPr>
            <w:rStyle w:val="1830"/>
          </w:rPr>
          <w:t xml:space="preserve">9.1.1 Descrição da Metodologia</w:t>
        </w:r>
        <w:r>
          <w:rPr>
            <w:rStyle w:val="1830"/>
          </w:rPr>
        </w:r>
        <w:r>
          <w:tab/>
        </w:r>
        <w:r>
          <w:fldChar w:fldCharType="begin"/>
          <w:instrText xml:space="preserve">PAGEREF _Toc70 \h</w:instrText>
          <w:fldChar w:fldCharType="separate"/>
          <w:t xml:space="preserve">114</w:t>
          <w:fldChar w:fldCharType="end"/>
        </w:r>
      </w:hyperlink>
      <w:r/>
    </w:p>
    <w:p w14:paraId="79771F1B">
      <w:pPr>
        <w:pStyle w:val="1829"/>
        <w:pBdr/>
        <w:tabs>
          <w:tab w:val="right" w:leader="dot" w:pos="9062"/>
        </w:tabs>
        <w:spacing/>
        <w:ind/>
        <w:rPr/>
      </w:pPr>
      <w:hyperlink w:tooltip="#_Toc71" w:anchor="_Toc71" w:history="1">
        <w:r>
          <w:rPr>
            <w:rStyle w:val="1830"/>
          </w:rPr>
        </w:r>
        <w:r>
          <w:rPr>
            <w:rStyle w:val="1830"/>
          </w:rPr>
          <w:t xml:space="preserve">9.1.2 Matriz de Responsabilidade</w:t>
        </w:r>
        <w:r>
          <w:rPr>
            <w:rStyle w:val="1830"/>
          </w:rPr>
        </w:r>
        <w:r>
          <w:tab/>
        </w:r>
        <w:r>
          <w:fldChar w:fldCharType="begin"/>
          <w:instrText xml:space="preserve">PAGEREF _Toc71 \h</w:instrText>
          <w:fldChar w:fldCharType="separate"/>
          <w:t xml:space="preserve">114</w:t>
          <w:fldChar w:fldCharType="end"/>
        </w:r>
      </w:hyperlink>
      <w:r/>
    </w:p>
    <w:p w14:paraId="0FC2EECD">
      <w:pPr>
        <w:pStyle w:val="1828"/>
        <w:pBdr/>
        <w:tabs>
          <w:tab w:val="right" w:leader="dot" w:pos="9062"/>
        </w:tabs>
        <w:spacing/>
        <w:ind/>
        <w:rPr/>
      </w:pPr>
      <w:hyperlink w:tooltip="#_Toc72" w:anchor="_Toc72" w:history="1">
        <w:r>
          <w:rPr>
            <w:rStyle w:val="1830"/>
          </w:rPr>
        </w:r>
        <w:r>
          <w:rPr>
            <w:rStyle w:val="1830"/>
          </w:rPr>
          <w:t xml:space="preserve">9.2 TREINAMENTO PREVISTO</w:t>
        </w:r>
        <w:r>
          <w:rPr>
            <w:rStyle w:val="1830"/>
          </w:rPr>
        </w:r>
        <w:r>
          <w:tab/>
        </w:r>
        <w:r>
          <w:fldChar w:fldCharType="begin"/>
          <w:instrText xml:space="preserve">PAGEREF _Toc72 \h</w:instrText>
          <w:fldChar w:fldCharType="separate"/>
          <w:t xml:space="preserve">114</w:t>
          <w:fldChar w:fldCharType="end"/>
        </w:r>
      </w:hyperlink>
      <w:r/>
    </w:p>
    <w:p w14:paraId="70321E0D">
      <w:pPr>
        <w:pStyle w:val="1828"/>
        <w:pBdr/>
        <w:tabs>
          <w:tab w:val="right" w:leader="dot" w:pos="9062"/>
        </w:tabs>
        <w:spacing/>
        <w:ind/>
        <w:rPr/>
      </w:pPr>
      <w:hyperlink w:tooltip="#_Toc73" w:anchor="_Toc73" w:history="1">
        <w:r>
          <w:rPr>
            <w:rStyle w:val="1830"/>
          </w:rPr>
        </w:r>
        <w:r>
          <w:rPr>
            <w:rStyle w:val="1830"/>
          </w:rPr>
          <w:t xml:space="preserve">9.3 CRONOGRAMA DE IMPLANTAÇÃO</w:t>
        </w:r>
        <w:r>
          <w:rPr>
            <w:rStyle w:val="1830"/>
          </w:rPr>
        </w:r>
        <w:r>
          <w:tab/>
        </w:r>
        <w:r>
          <w:fldChar w:fldCharType="begin"/>
          <w:instrText xml:space="preserve">PAGEREF _Toc73 \h</w:instrText>
          <w:fldChar w:fldCharType="separate"/>
          <w:t xml:space="preserve">114</w:t>
          <w:fldChar w:fldCharType="end"/>
        </w:r>
      </w:hyperlink>
      <w:r/>
    </w:p>
    <w:p w14:paraId="28CD91AE">
      <w:pPr>
        <w:pStyle w:val="1828"/>
        <w:pBdr/>
        <w:tabs>
          <w:tab w:val="right" w:leader="dot" w:pos="9062"/>
        </w:tabs>
        <w:spacing/>
        <w:ind/>
        <w:rPr/>
      </w:pPr>
      <w:hyperlink w:tooltip="#_Toc74" w:anchor="_Toc74" w:history="1">
        <w:r>
          <w:rPr>
            <w:rStyle w:val="1830"/>
          </w:rPr>
        </w:r>
        <w:r>
          <w:rPr>
            <w:rStyle w:val="1830"/>
          </w:rPr>
          <w:t xml:space="preserve">9.4 RECURSOS DE APOIO À IMPLANTAÇÃO</w:t>
        </w:r>
        <w:r>
          <w:rPr>
            <w:rStyle w:val="1830"/>
          </w:rPr>
        </w:r>
        <w:r>
          <w:tab/>
        </w:r>
        <w:r>
          <w:fldChar w:fldCharType="begin"/>
          <w:instrText xml:space="preserve">PAGEREF _Toc74 \h</w:instrText>
          <w:fldChar w:fldCharType="separate"/>
          <w:t xml:space="preserve">114</w:t>
          <w:fldChar w:fldCharType="end"/>
        </w:r>
      </w:hyperlink>
      <w:r/>
    </w:p>
    <w:p w14:paraId="6BC46666">
      <w:pPr>
        <w:pStyle w:val="1828"/>
        <w:pBdr/>
        <w:tabs>
          <w:tab w:val="right" w:leader="dot" w:pos="9062"/>
        </w:tabs>
        <w:spacing/>
        <w:ind/>
        <w:rPr/>
      </w:pPr>
      <w:hyperlink w:tooltip="#_Toc75" w:anchor="_Toc75" w:history="1">
        <w:r>
          <w:rPr>
            <w:rStyle w:val="1830"/>
          </w:rPr>
        </w:r>
        <w:r>
          <w:rPr>
            <w:rStyle w:val="1830"/>
          </w:rPr>
          <w:t xml:space="preserve">9.5 VISÃO DA IMPLANTAÇÃO</w:t>
        </w:r>
        <w:r>
          <w:rPr>
            <w:rStyle w:val="1830"/>
          </w:rPr>
        </w:r>
        <w:r>
          <w:tab/>
        </w:r>
        <w:r>
          <w:fldChar w:fldCharType="begin"/>
          <w:instrText xml:space="preserve">PAGEREF _Toc75 \h</w:instrText>
          <w:fldChar w:fldCharType="separate"/>
          <w:t xml:space="preserve">114</w:t>
          <w:fldChar w:fldCharType="end"/>
        </w:r>
      </w:hyperlink>
      <w:r/>
    </w:p>
    <w:p w14:paraId="51B61C25">
      <w:pPr>
        <w:pStyle w:val="1827"/>
        <w:pBdr/>
        <w:tabs>
          <w:tab w:val="right" w:leader="dot" w:pos="9062"/>
        </w:tabs>
        <w:spacing/>
        <w:ind/>
        <w:rPr/>
      </w:pPr>
      <w:hyperlink w:tooltip="#_Toc76" w:anchor="_Toc76" w:history="1">
        <w:r>
          <w:rPr>
            <w:rStyle w:val="1830"/>
          </w:rPr>
        </w:r>
        <w:r>
          <w:rPr>
            <w:rStyle w:val="1830"/>
          </w:rPr>
          <w:t xml:space="preserve">10 CONCLUSÃO</w:t>
        </w:r>
        <w:r>
          <w:rPr>
            <w:rStyle w:val="1830"/>
          </w:rPr>
        </w:r>
        <w:r>
          <w:tab/>
        </w:r>
        <w:r>
          <w:fldChar w:fldCharType="begin"/>
          <w:instrText xml:space="preserve">PAGEREF _Toc76 \h</w:instrText>
          <w:fldChar w:fldCharType="separate"/>
          <w:t xml:space="preserve">115</w:t>
          <w:fldChar w:fldCharType="end"/>
        </w:r>
      </w:hyperlink>
      <w:r/>
    </w:p>
    <w:p w14:paraId="601F30B4">
      <w:pPr>
        <w:pStyle w:val="1827"/>
        <w:pBdr/>
        <w:tabs>
          <w:tab w:val="right" w:leader="dot" w:pos="9062"/>
        </w:tabs>
        <w:spacing/>
        <w:ind/>
        <w:rPr/>
      </w:pPr>
      <w:hyperlink w:tooltip="#_Toc77" w:anchor="_Toc77" w:history="1">
        <w:r>
          <w:rPr>
            <w:rStyle w:val="1830"/>
          </w:rPr>
        </w:r>
        <w:r>
          <w:rPr>
            <w:rStyle w:val="1830"/>
          </w:rPr>
          <w:t xml:space="preserve">REFERÊNCIAS</w:t>
        </w:r>
        <w:r>
          <w:rPr>
            <w:rStyle w:val="1830"/>
          </w:rPr>
        </w:r>
        <w:r>
          <w:tab/>
        </w:r>
        <w:r>
          <w:fldChar w:fldCharType="begin"/>
          <w:instrText xml:space="preserve">PAGEREF _Toc77 \h</w:instrText>
          <w:fldChar w:fldCharType="separate"/>
          <w:t xml:space="preserve">118</w:t>
          <w:fldChar w:fldCharType="end"/>
        </w:r>
      </w:hyperlink>
      <w:r/>
    </w:p>
    <w:p w14:paraId="638390A4">
      <w:pPr>
        <w:pStyle w:val="1827"/>
        <w:pBdr/>
        <w:tabs>
          <w:tab w:val="right" w:leader="dot" w:pos="9062"/>
        </w:tabs>
        <w:spacing/>
        <w:ind/>
        <w:rPr/>
      </w:pPr>
      <w:hyperlink w:tooltip="#_Toc78" w:anchor="_Toc78" w:history="1">
        <w:r>
          <w:rPr>
            <w:rStyle w:val="1830"/>
          </w:rPr>
        </w:r>
        <w:r>
          <w:rPr>
            <w:rStyle w:val="1830"/>
          </w:rPr>
          <w:t xml:space="preserve">OBRAS CONSULTADAS</w:t>
        </w:r>
        <w:r>
          <w:rPr>
            <w:rStyle w:val="1830"/>
          </w:rPr>
          <w:t xml:space="preserve"> </w:t>
        </w:r>
        <w:r>
          <w:rPr>
            <w:rStyle w:val="1830"/>
          </w:rPr>
        </w:r>
        <w:r>
          <w:tab/>
        </w:r>
        <w:r>
          <w:fldChar w:fldCharType="begin"/>
          <w:instrText xml:space="preserve">PAGEREF _Toc78 \h</w:instrText>
          <w:fldChar w:fldCharType="separate"/>
          <w:t xml:space="preserve">121</w:t>
          <w:fldChar w:fldCharType="end"/>
        </w:r>
      </w:hyperlink>
      <w:r/>
    </w:p>
    <w:p w14:paraId="3CC8997E">
      <w:pPr>
        <w:pStyle w:val="1827"/>
        <w:pBdr/>
        <w:tabs>
          <w:tab w:val="right" w:leader="dot" w:pos="9062"/>
        </w:tabs>
        <w:spacing/>
        <w:ind/>
        <w:rPr/>
      </w:pPr>
      <w:hyperlink w:tooltip="#_Toc79" w:anchor="_Toc79" w:history="1">
        <w:r>
          <w:rPr>
            <w:rStyle w:val="1830"/>
          </w:rPr>
        </w:r>
        <w:r>
          <w:rPr>
            <w:rStyle w:val="1830"/>
          </w:rPr>
          <w:t xml:space="preserve">APÊNDICE A – GESTÃO DO PROJETO</w:t>
        </w:r>
        <w:r>
          <w:rPr>
            <w:rStyle w:val="1830"/>
          </w:rPr>
        </w:r>
        <w:r>
          <w:tab/>
        </w:r>
        <w:r>
          <w:fldChar w:fldCharType="begin"/>
          <w:instrText xml:space="preserve">PAGEREF _Toc79 \h</w:instrText>
          <w:fldChar w:fldCharType="separate"/>
          <w:t xml:space="preserve">122</w:t>
          <w:fldChar w:fldCharType="end"/>
        </w:r>
      </w:hyperlink>
      <w:r/>
    </w:p>
    <w:p w14:paraId="4BF43D29">
      <w:pPr>
        <w:pStyle w:val="1827"/>
        <w:pBdr/>
        <w:tabs>
          <w:tab w:val="right" w:leader="dot" w:pos="9062"/>
        </w:tabs>
        <w:spacing/>
        <w:ind/>
        <w:rPr/>
      </w:pPr>
      <w:hyperlink w:tooltip="#_Toc80" w:anchor="_Toc80" w:history="1">
        <w:r>
          <w:rPr>
            <w:rStyle w:val="1830"/>
          </w:rPr>
        </w:r>
        <w:r>
          <w:rPr>
            <w:rStyle w:val="1830"/>
          </w:rPr>
          <w:t xml:space="preserve">APÊNDICE B – RELATÓRIO DE DESEMPENHO</w:t>
        </w:r>
        <w:r>
          <w:rPr>
            <w:rStyle w:val="1830"/>
          </w:rPr>
        </w:r>
        <w:r>
          <w:tab/>
        </w:r>
        <w:r>
          <w:fldChar w:fldCharType="begin"/>
          <w:instrText xml:space="preserve">PAGEREF _Toc80 \h</w:instrText>
          <w:fldChar w:fldCharType="separate"/>
          <w:t xml:space="preserve">123</w:t>
          <w:fldChar w:fldCharType="end"/>
        </w:r>
      </w:hyperlink>
      <w:r/>
    </w:p>
    <w:p w14:paraId="44550566">
      <w:pPr>
        <w:pStyle w:val="1827"/>
        <w:pBdr/>
        <w:tabs>
          <w:tab w:val="right" w:leader="dot" w:pos="9062"/>
        </w:tabs>
        <w:spacing/>
        <w:ind/>
        <w:rPr/>
      </w:pPr>
      <w:hyperlink w:tooltip="#_Toc81" w:anchor="_Toc81" w:history="1">
        <w:r>
          <w:rPr>
            <w:rStyle w:val="1830"/>
          </w:rPr>
        </w:r>
        <w:r>
          <w:rPr>
            <w:rStyle w:val="1830"/>
          </w:rPr>
          <w:t xml:space="preserve">APÊNDICE C – VISÃO FUNCIONAL</w:t>
        </w:r>
        <w:r>
          <w:rPr>
            <w:rStyle w:val="1830"/>
          </w:rPr>
        </w:r>
        <w:r>
          <w:tab/>
        </w:r>
        <w:r>
          <w:fldChar w:fldCharType="begin"/>
          <w:instrText xml:space="preserve">PAGEREF _Toc81 \h</w:instrText>
          <w:fldChar w:fldCharType="separate"/>
          <w:t xml:space="preserve">124</w:t>
          <w:fldChar w:fldCharType="end"/>
        </w:r>
      </w:hyperlink>
      <w:r/>
    </w:p>
    <w:p w14:paraId="3867F56F">
      <w:pPr>
        <w:pStyle w:val="1827"/>
        <w:pBdr/>
        <w:tabs>
          <w:tab w:val="right" w:leader="dot" w:pos="9062"/>
        </w:tabs>
        <w:spacing/>
        <w:ind/>
        <w:rPr/>
      </w:pPr>
      <w:hyperlink w:tooltip="#_Toc82" w:anchor="_Toc82" w:history="1">
        <w:r>
          <w:rPr>
            <w:rStyle w:val="1830"/>
          </w:rPr>
        </w:r>
        <w:r>
          <w:rPr>
            <w:rStyle w:val="1830"/>
          </w:rPr>
          <w:t xml:space="preserve">APÊNDICE D – VISÃO DOS DADOS</w:t>
        </w:r>
        <w:r>
          <w:rPr>
            <w:rStyle w:val="1830"/>
          </w:rPr>
        </w:r>
        <w:r>
          <w:tab/>
        </w:r>
        <w:r>
          <w:fldChar w:fldCharType="begin"/>
          <w:instrText xml:space="preserve">PAGEREF _Toc82 \h</w:instrText>
          <w:fldChar w:fldCharType="separate"/>
          <w:t xml:space="preserve">125</w:t>
          <w:fldChar w:fldCharType="end"/>
        </w:r>
      </w:hyperlink>
      <w:r/>
    </w:p>
    <w:p w14:paraId="5FDCAF47">
      <w:pPr>
        <w:pStyle w:val="1827"/>
        <w:pBdr/>
        <w:tabs>
          <w:tab w:val="right" w:leader="dot" w:pos="9062"/>
        </w:tabs>
        <w:spacing/>
        <w:ind/>
        <w:rPr/>
      </w:pPr>
      <w:hyperlink w:tooltip="#_Toc83" w:anchor="_Toc83" w:history="1">
        <w:r>
          <w:rPr>
            <w:rStyle w:val="1830"/>
          </w:rPr>
        </w:r>
        <w:r>
          <w:rPr>
            <w:rStyle w:val="1830"/>
          </w:rPr>
          <w:t xml:space="preserve">APÊNDICE E – MODELO INICIAL DA INTERFACE DE USUÁRIO</w:t>
        </w:r>
        <w:r>
          <w:rPr>
            <w:rStyle w:val="1830"/>
          </w:rPr>
        </w:r>
        <w:r>
          <w:tab/>
        </w:r>
        <w:r>
          <w:fldChar w:fldCharType="begin"/>
          <w:instrText xml:space="preserve">PAGEREF _Toc83 \h</w:instrText>
          <w:fldChar w:fldCharType="separate"/>
          <w:t xml:space="preserve">126</w:t>
          <w:fldChar w:fldCharType="end"/>
        </w:r>
      </w:hyperlink>
      <w:r/>
    </w:p>
    <w:p w14:paraId="6CB72716">
      <w:pPr>
        <w:pStyle w:val="1827"/>
        <w:pBdr/>
        <w:tabs>
          <w:tab w:val="right" w:leader="dot" w:pos="9062"/>
        </w:tabs>
        <w:spacing/>
        <w:ind/>
        <w:rPr/>
      </w:pPr>
      <w:hyperlink w:tooltip="#_Toc84" w:anchor="_Toc84" w:history="1">
        <w:r>
          <w:rPr>
            <w:rStyle w:val="1830"/>
          </w:rPr>
        </w:r>
        <w:r>
          <w:rPr>
            <w:rStyle w:val="1830"/>
          </w:rPr>
          <w:t xml:space="preserve">APÊNDICE F – VISÕES ESTRUTURAL E COMPORTAMENTAL</w:t>
        </w:r>
        <w:r>
          <w:rPr>
            <w:rStyle w:val="1830"/>
          </w:rPr>
        </w:r>
        <w:r>
          <w:tab/>
        </w:r>
        <w:r>
          <w:fldChar w:fldCharType="begin"/>
          <w:instrText xml:space="preserve">PAGEREF _Toc84 \h</w:instrText>
          <w:fldChar w:fldCharType="separate"/>
          <w:t xml:space="preserve">127</w:t>
          <w:fldChar w:fldCharType="end"/>
        </w:r>
      </w:hyperlink>
      <w:r/>
    </w:p>
    <w:p w14:paraId="1F4EED58">
      <w:pPr>
        <w:pStyle w:val="1827"/>
        <w:pBdr/>
        <w:tabs>
          <w:tab w:val="right" w:leader="dot" w:pos="9062"/>
        </w:tabs>
        <w:spacing/>
        <w:ind/>
        <w:rPr/>
      </w:pPr>
      <w:hyperlink w:tooltip="#_Toc85" w:anchor="_Toc85" w:history="1">
        <w:r>
          <w:rPr>
            <w:rStyle w:val="1830"/>
          </w:rPr>
        </w:r>
        <w:r>
          <w:rPr>
            <w:rStyle w:val="1830"/>
          </w:rPr>
          <w:t xml:space="preserve">APÊNDICE G – ENTREVISTAS COM USUÁRIOS</w:t>
        </w:r>
        <w:r>
          <w:rPr>
            <w:rStyle w:val="1830"/>
          </w:rPr>
        </w:r>
        <w:r>
          <w:tab/>
        </w:r>
        <w:r>
          <w:fldChar w:fldCharType="begin"/>
          <w:instrText xml:space="preserve">PAGEREF _Toc85 \h</w:instrText>
          <w:fldChar w:fldCharType="separate"/>
          <w:t xml:space="preserve">128</w:t>
          <w:fldChar w:fldCharType="end"/>
        </w:r>
      </w:hyperlink>
      <w:r/>
    </w:p>
    <w:p w14:paraId="6A733933">
      <w:pPr>
        <w:pStyle w:val="1827"/>
        <w:pBdr/>
        <w:tabs>
          <w:tab w:val="right" w:leader="dot" w:pos="9062"/>
        </w:tabs>
        <w:spacing/>
        <w:ind/>
        <w:rPr/>
      </w:pPr>
      <w:hyperlink w:tooltip="#_Toc86" w:anchor="_Toc86" w:history="1">
        <w:r>
          <w:rPr>
            <w:rStyle w:val="1830"/>
          </w:rPr>
        </w:r>
        <w:r>
          <w:rPr>
            <w:rStyle w:val="1830"/>
          </w:rPr>
          <w:t xml:space="preserve">APÊNDICE H – MODELO DE NEGÓCIO</w:t>
        </w:r>
        <w:r>
          <w:rPr>
            <w:rStyle w:val="1830"/>
          </w:rPr>
        </w:r>
        <w:r>
          <w:tab/>
        </w:r>
        <w:r>
          <w:fldChar w:fldCharType="begin"/>
          <w:instrText xml:space="preserve">PAGEREF _Toc86 \h</w:instrText>
          <w:fldChar w:fldCharType="separate"/>
          <w:t xml:space="preserve">129</w:t>
          <w:fldChar w:fldCharType="end"/>
        </w:r>
      </w:hyperlink>
      <w:r/>
    </w:p>
    <w:p w14:paraId="778D4C05">
      <w:pPr>
        <w:pStyle w:val="1827"/>
        <w:pBdr/>
        <w:tabs>
          <w:tab w:val="right" w:leader="dot" w:pos="9062"/>
        </w:tabs>
        <w:spacing/>
        <w:ind/>
        <w:rPr/>
      </w:pPr>
      <w:hyperlink w:tooltip="#_Toc87" w:anchor="_Toc87" w:history="1">
        <w:r>
          <w:rPr>
            <w:rStyle w:val="1830"/>
          </w:rPr>
        </w:r>
        <w:r>
          <w:rPr>
            <w:rStyle w:val="1830"/>
          </w:rPr>
          <w:t xml:space="preserve">APÊNDICE I – PROJETO DO SISTEMA DISTRIBUÍDO</w:t>
        </w:r>
        <w:r>
          <w:rPr>
            <w:rStyle w:val="1830"/>
          </w:rPr>
        </w:r>
        <w:r>
          <w:tab/>
        </w:r>
        <w:r>
          <w:fldChar w:fldCharType="begin"/>
          <w:instrText xml:space="preserve">PAGEREF _Toc87 \h</w:instrText>
          <w:fldChar w:fldCharType="separate"/>
          <w:t xml:space="preserve">130</w:t>
          <w:fldChar w:fldCharType="end"/>
        </w:r>
      </w:hyperlink>
      <w:r/>
    </w:p>
    <w:p w14:paraId="10BC0F1A">
      <w:pPr>
        <w:pStyle w:val="1827"/>
        <w:pBdr/>
        <w:tabs>
          <w:tab w:val="right" w:leader="dot" w:pos="9062"/>
        </w:tabs>
        <w:spacing/>
        <w:ind/>
        <w:rPr/>
      </w:pPr>
      <w:hyperlink w:tooltip="#_Toc88" w:anchor="_Toc88" w:history="1">
        <w:r>
          <w:rPr>
            <w:rStyle w:val="1830"/>
          </w:rPr>
        </w:r>
        <w:r>
          <w:rPr>
            <w:rStyle w:val="1830"/>
          </w:rPr>
          <w:t xml:space="preserve">APÊNDICE J – CASOS DE TESTES</w:t>
        </w:r>
        <w:r>
          <w:rPr>
            <w:rStyle w:val="1830"/>
          </w:rPr>
        </w:r>
        <w:r>
          <w:tab/>
        </w:r>
        <w:r>
          <w:fldChar w:fldCharType="begin"/>
          <w:instrText xml:space="preserve">PAGEREF _Toc88 \h</w:instrText>
          <w:fldChar w:fldCharType="separate"/>
          <w:t xml:space="preserve">131</w:t>
          <w:fldChar w:fldCharType="end"/>
        </w:r>
      </w:hyperlink>
      <w:r/>
    </w:p>
    <w:p w14:paraId="3B4007B8">
      <w:pPr>
        <w:pStyle w:val="1827"/>
        <w:pBdr/>
        <w:tabs>
          <w:tab w:val="right" w:leader="dot" w:pos="9062"/>
        </w:tabs>
        <w:spacing/>
        <w:ind/>
        <w:rPr/>
      </w:pPr>
      <w:hyperlink w:tooltip="#_Toc89" w:anchor="_Toc89" w:history="1">
        <w:r>
          <w:rPr>
            <w:rStyle w:val="1830"/>
          </w:rPr>
        </w:r>
        <w:r>
          <w:rPr>
            <w:rStyle w:val="1830"/>
          </w:rPr>
          <w:t xml:space="preserve">APÊNDICE K – RECURSOS DE APOIO À IMPLANTAÇÃO</w:t>
        </w:r>
        <w:r>
          <w:rPr>
            <w:rStyle w:val="1830"/>
          </w:rPr>
        </w:r>
        <w:r>
          <w:tab/>
        </w:r>
        <w:r>
          <w:fldChar w:fldCharType="begin"/>
          <w:instrText xml:space="preserve">PAGEREF _Toc89 \h</w:instrText>
          <w:fldChar w:fldCharType="separate"/>
          <w:t xml:space="preserve">132</w:t>
          <w:fldChar w:fldCharType="end"/>
        </w:r>
      </w:hyperlink>
      <w:r/>
    </w:p>
    <w:p w14:paraId="40F6C2D6">
      <w:pPr>
        <w:pStyle w:val="1827"/>
        <w:pBdr/>
        <w:tabs>
          <w:tab w:val="right" w:leader="dot" w:pos="9062"/>
        </w:tabs>
        <w:spacing/>
        <w:ind/>
        <w:rPr/>
      </w:pPr>
      <w:hyperlink w:tooltip="#_Toc90" w:anchor="_Toc90" w:history="1">
        <w:r>
          <w:rPr>
            <w:rStyle w:val="1830"/>
          </w:rPr>
        </w:r>
        <w:r>
          <w:rPr>
            <w:rStyle w:val="1830"/>
          </w:rPr>
          <w:t xml:space="preserve">APÊNDICE L – ATIVIDADES DE EXTENSÃO À COMUNIDADE</w:t>
        </w:r>
        <w:r>
          <w:rPr>
            <w:rStyle w:val="1830"/>
          </w:rPr>
        </w:r>
        <w:r>
          <w:tab/>
        </w:r>
        <w:r>
          <w:fldChar w:fldCharType="begin"/>
          <w:instrText xml:space="preserve">PAGEREF _Toc90 \h</w:instrText>
          <w:fldChar w:fldCharType="separate"/>
          <w:t xml:space="preserve">133</w:t>
          <w:fldChar w:fldCharType="end"/>
        </w:r>
      </w:hyperlink>
      <w:r/>
    </w:p>
    <w:p w14:paraId="6D46292D">
      <w:pPr>
        <w:pStyle w:val="1827"/>
        <w:pBdr/>
        <w:tabs>
          <w:tab w:val="right" w:leader="dot" w:pos="9062"/>
        </w:tabs>
        <w:spacing/>
        <w:ind/>
        <w:rPr/>
      </w:pPr>
      <w:hyperlink w:tooltip="#_Toc91" w:anchor="_Toc91" w:history="1">
        <w:r>
          <w:rPr>
            <w:rStyle w:val="1830"/>
          </w:rPr>
        </w:r>
        <w:r>
          <w:rPr>
            <w:rStyle w:val="1830"/>
          </w:rPr>
          <w:t xml:space="preserve">APÊNDICE M – CÁLCULO DA REGIÃO DE BUSCA DO AGRUPAMENTO DE OCORRÊNCIAS</w:t>
        </w:r>
        <w:r>
          <w:rPr>
            <w:rStyle w:val="1830"/>
          </w:rPr>
        </w:r>
        <w:r>
          <w:tab/>
        </w:r>
        <w:r>
          <w:fldChar w:fldCharType="begin"/>
          <w:instrText xml:space="preserve">PAGEREF _Toc91 \h</w:instrText>
          <w:fldChar w:fldCharType="separate"/>
          <w:t xml:space="preserve">134</w:t>
          <w:fldChar w:fldCharType="end"/>
        </w:r>
      </w:hyperlink>
      <w:r/>
    </w:p>
    <w:p w14:paraId="2E1D3007">
      <w:pPr>
        <w:pStyle w:val="1832"/>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pPr>
        <w:pStyle w:val="1637"/>
        <w:pageBreakBefore w:val="true"/>
        <w:pBdr/>
        <w:spacing/>
        <w:ind/>
        <w:rPr/>
      </w:pPr>
      <w:r/>
      <w:bookmarkStart w:id="91" w:name="_Toc1"/>
      <w:r>
        <w:t xml:space="preserve">1 INTRODUÇÃO</w:t>
      </w:r>
      <w:r/>
      <w:bookmarkEnd w:id="91"/>
      <w:r/>
      <w:r/>
    </w:p>
    <w:p>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pPr>
        <w:pBdr/>
        <w:spacing/>
        <w:ind/>
        <w:rPr/>
      </w:pPr>
      <w:r>
        <w:t xml:space="preserve">Diante dessa conjuntura, este documento apresenta as etapas de desenvolvimento de um projeto de sist</w:t>
      </w:r>
      <w:r>
        <w:t xml:space="preserve">ema de informação, nomeado “Fala, Cidade!”,  para relato de ocorrência de problema na infraestrutura, saneamento ou conservação de espaços públicos pelo cidadão à administração pública, com o intuito de agilizar as condutas necessárias para sua resolução. </w:t>
      </w:r>
      <w:r/>
    </w:p>
    <w:p>
      <w:pPr>
        <w:pBdr/>
        <w:spacing/>
        <w:ind/>
        <w:rPr/>
      </w:pPr>
      <w:r>
        <w:t xml:space="preserve">Os componentes automatizados deste sistema de informação permitirão que os usuár</w:t>
      </w:r>
      <w:r>
        <w:t xml:space="preserve">ios reportem ocorrências (evento, incidente, falha) ligadas à infraestrutura e zeladoria urbana — como buracos em vias públicas, iluminação precária e focos de resíduos irregulares — viabilizando a classificação do grau de severidade para priorizar o atend</w:t>
      </w:r>
      <w:r>
        <w:t xml:space="preserve">imento pela administração pública municipal. A integração do sistema com ferramentas de georeferenciamento assegurará a precisão espacial dessa ocorrência, conferindo maior assertividade às intervenções das autoridades competentes. Ademais, visando resguar</w:t>
      </w:r>
      <w:r>
        <w:t xml:space="preserve">dar a privacidade do cidadão, o sistema oferecerá recursos de anonimato, sigilo e proteção à privacidade dos dados. A segurança no tratamento dos dados do usuário é preservada conforme o determinado pela Lei Geral de Proteção de Dados (LGPD) (Brasil, 2018)</w:t>
      </w:r>
      <w:r/>
    </w:p>
    <w:p>
      <w:pPr>
        <w:pBdr/>
        <w:spacing/>
        <w:ind/>
        <w:rPr/>
      </w:pPr>
      <w:r>
        <w:t xml:space="preserve">Cabe ressaltar, que no</w:t>
      </w:r>
      <w:r>
        <w:t xml:space="preserve"> ano de 2025, este sistema foi idealizado pelos autores e iniciado como projeto de integração disciplinar dos 5º e 6º Períodos de Sistemas de Informação. Neste ano de 2026, trata-se de uma evolução significativa proposta como projeto de conclusão de curso.</w:t>
      </w:r>
      <w:r/>
    </w:p>
    <w:p>
      <w:pPr>
        <w:pBdr/>
        <w:spacing/>
        <w:ind/>
        <w:rPr/>
      </w:pPr>
      <w:r>
        <w:t xml:space="preserve">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codificação e testes de software orientados a objetos. Os materiais utilizados consistem de tecnologias de software e hardware e provedores de serviços em Nuvem. </w:t>
      </w:r>
      <w:r/>
    </w:p>
    <w:p>
      <w:pPr>
        <w:pBdr/>
        <w:spacing/>
        <w:ind/>
        <w:rPr/>
      </w:pPr>
      <w:r>
        <w:t xml:space="preserve">Quanto à estrutura deste documento, além desta introdução, o texto está dividido em outros nove capítulos. O segundo capítulo apresenta a revisão bibliográfica que embasa teórica e tecnologicamente este projeto. O ter</w:t>
      </w:r>
      <w:r>
        <w:t xml:space="preserve">ceiro capítulo define os objetivos do projeto, a formulação do problema e sua justificativa. Sequencialmente, o quarto capítulo detalha os métodos gerenciais, incluindo o modelo de ciclo de vida e os recursos necessários. O quinto capítulo foca na especifi</w:t>
      </w:r>
      <w:r>
        <w:t xml:space="preserve">cação e análise de requisitos, abordando as regras de negócio e os modelos conceituais. O sexto capítulo elucida a arquitetura e projeto do sistema de software, descrevendo as visões estrutural, comportamental e de dados, além da interação humano-computado</w:t>
      </w:r>
      <w:r>
        <w:t xml:space="preserve">r. O sétimo capítulo detalha a implementação do sistema de software, com os componentes desenvolvidos, as tecnologias e os padrões de projeto adotados e a análise de complexidade algorítmica. O oitavo capítulo apresenta um dos planos de testes realizados j</w:t>
      </w:r>
      <w:r>
        <w:t xml:space="preserve">unto aos resultados obtidos pelos testes e sua demonstração pública. No nono capítulo consta o plano para a implantação do sistema. Por fim, encontra-se o capítulo de conclusão com os resultados alcançados, as referências utilizadas e a lista de apêndices.</w:t>
      </w:r>
      <w:r/>
    </w:p>
    <w:p>
      <w:pPr>
        <w:pBdr/>
        <w:spacing/>
        <w:ind/>
        <w:rPr/>
      </w:pPr>
      <w:r/>
      <w:r/>
    </w:p>
    <w:p>
      <w:pPr>
        <w:pBdr/>
        <w:spacing/>
        <w:ind/>
        <w:rPr/>
      </w:pPr>
      <w:r/>
      <w:r/>
    </w:p>
    <w:p>
      <w:pPr>
        <w:pBdr/>
        <w:spacing w:after="0" w:line="240" w:lineRule="auto"/>
        <w:ind/>
        <w:jc w:val="left"/>
        <w:rPr/>
      </w:pPr>
      <w:r>
        <w:br w:type="page" w:clear="all"/>
      </w:r>
      <w:r/>
    </w:p>
    <w:p>
      <w:pPr>
        <w:pStyle w:val="1637"/>
        <w:pBdr/>
        <w:spacing/>
        <w:ind/>
        <w:rPr/>
      </w:pPr>
      <w:r/>
      <w:bookmarkStart w:id="92" w:name="_Toc2"/>
      <w:r>
        <w:t xml:space="preserve">2 REVISÃO BIBLIOGRÁFICA</w:t>
      </w:r>
      <w:r/>
      <w:bookmarkEnd w:id="92"/>
      <w:r/>
      <w:r/>
    </w:p>
    <w:p>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aplicadas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pPr>
        <w:pBdr/>
        <w:spacing/>
        <w:ind/>
        <w:rPr/>
      </w:pPr>
      <w:r/>
      <w:r/>
    </w:p>
    <w:p>
      <w:pPr>
        <w:pStyle w:val="1638"/>
        <w:pBdr/>
        <w:spacing/>
        <w:ind/>
        <w:rPr/>
      </w:pPr>
      <w:r/>
      <w:bookmarkStart w:id="93" w:name="_Toc3"/>
      <w:r>
        <w:t xml:space="preserve">2.1 CIDADES INTELIGENTES E RESILIENTES</w:t>
      </w:r>
      <w:r>
        <w:t xml:space="preserve"> </w:t>
      </w:r>
      <w:r/>
      <w:bookmarkEnd w:id="93"/>
      <w:r/>
      <w:r/>
    </w:p>
    <w:p>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cidad</w:t>
      </w:r>
      <w:r>
        <w:t xml:space="preserve">e digital fundamenta-se na integração entre infraestrutura de rede, serviços eletrônicos e governança, permitindo que a gestão pública municipal automatize processos e ofereça canais de interação que reduzam a burocracia e aumentem a transparência pública.</w:t>
      </w:r>
      <w:r/>
    </w:p>
    <w:p>
      <w:pPr>
        <w:pBdr>
          <w:top w:val="none" w:color="000000" w:sz="4" w:space="0"/>
          <w:left w:val="none" w:color="000000" w:sz="4" w:space="0"/>
          <w:bottom w:val="none" w:color="000000" w:sz="4" w:space="0"/>
          <w:right w:val="none" w:color="000000" w:sz="4" w:space="0"/>
        </w:pBdr>
        <w:spacing/>
        <w:ind/>
        <w:rPr/>
      </w:pPr>
      <w:r/>
      <w:r/>
    </w:p>
    <w:p>
      <w:pPr>
        <w:pStyle w:val="1639"/>
        <w:pBdr/>
        <w:spacing/>
        <w:ind/>
        <w:rPr/>
      </w:pPr>
      <w:r/>
      <w:bookmarkStart w:id="94" w:name="_Toc4"/>
      <w:r>
        <w:t xml:space="preserve">2.1.1 Fundamentos de Cidade Resiliente</w:t>
      </w:r>
      <w:r/>
      <w:bookmarkEnd w:id="94"/>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Pr>
          <w:color w:val="000000"/>
        </w:rPr>
        <w:t xml:space="preserve">No </w:t>
      </w:r>
      <w:r>
        <w:rPr>
          <w:color w:val="000000"/>
        </w:rPr>
        <w:t xml:space="preserve">contexto do projeto "Fala, Cidade!", a resiliência urbana incorpora a otimização do fluxo de zeladoria, evitando o colapso dos canais de atendimento por redundância de dados e permitindo uma resposta ágil para as ocorrências na infraestrutura do município.</w:t>
      </w:r>
      <w:r/>
    </w:p>
    <w:p>
      <w:pPr>
        <w:pStyle w:val="1639"/>
        <w:pBdr/>
        <w:spacing/>
        <w:ind/>
        <w:rPr/>
      </w:pPr>
      <w:r/>
      <w:r/>
    </w:p>
    <w:p>
      <w:pPr>
        <w:pStyle w:val="1639"/>
        <w:pBdr/>
        <w:spacing/>
        <w:ind/>
        <w:rPr/>
      </w:pPr>
      <w:r/>
      <w:bookmarkStart w:id="95" w:name="_Toc5"/>
      <w:r>
        <w:t xml:space="preserve">2.1.2 Zeladoria Pública e Gestão de Serviços</w:t>
      </w:r>
      <w:r/>
      <w:bookmarkEnd w:id="95"/>
      <w:r/>
      <w:r/>
    </w:p>
    <w:p>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w:t>
      </w:r>
      <w:r>
        <w:t xml:space="preserve">e manutenção básica necessários para garantir a funcionalidade e o bem-estar no espaço urbano. Isso inclui serviços como pavimentação, iluminação pública, limpeza e drenagem pluvial. Segundo Bernardi e Brudeki (2013), a eficiência na zeladoria depende da c</w:t>
      </w:r>
      <w:r>
        <w:t xml:space="preserve">apacidade do município em identificar demandas e responder as ocorrências relatadas. O monitoramento constante e a manutenção preventiva são pilares essenciais para evitar o agravamento de problemas estruturais que reduzam a qualidade de vida da população.</w:t>
      </w:r>
      <w:r/>
    </w:p>
    <w:p>
      <w:pPr>
        <w:pBdr>
          <w:top w:val="none" w:color="000000" w:sz="4" w:space="0"/>
          <w:left w:val="none" w:color="000000" w:sz="4" w:space="0"/>
          <w:bottom w:val="none" w:color="000000" w:sz="4" w:space="0"/>
          <w:right w:val="none" w:color="000000" w:sz="4" w:space="0"/>
        </w:pBdr>
        <w:spacing/>
        <w:ind/>
        <w:rPr/>
      </w:pPr>
      <w:r/>
      <w:r/>
    </w:p>
    <w:p>
      <w:pPr>
        <w:pStyle w:val="1639"/>
        <w:pBdr/>
        <w:spacing/>
        <w:ind/>
        <w:rPr/>
      </w:pPr>
      <w:r/>
      <w:bookmarkStart w:id="96" w:name="_Toc6"/>
      <w:r>
        <w:t xml:space="preserve">2.1.3 Participação Cidadã por meio de Sistemas de Informação Automatizados</w:t>
      </w:r>
      <w:r/>
      <w:bookmarkEnd w:id="96"/>
      <w:r/>
      <w:r/>
    </w:p>
    <w:p>
      <w:pPr>
        <w:pBdr/>
        <w:spacing/>
        <w:ind/>
        <w:rPr/>
      </w:pPr>
      <w:r>
        <w:t xml:space="preserve">Outro conceito fundamental para este projeto é o de participação cidadã por meio de sistemas de informação digital. Conforme Oliveira (2020), plataformas digitais ampliam as possibilid</w:t>
      </w:r>
      <w:r>
        <w:t xml:space="preserve">ades de interação entre a população, entidades representativas e o governo, permitindo que os cidadãos contribuam ativamente com informações relevantes para a gestão pública, como denúncias de irregularidades, sugestões e avaliações dos serviços prestados.</w:t>
      </w:r>
      <w:r/>
    </w:p>
    <w:p>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r/>
    </w:p>
    <w:p>
      <w:pPr>
        <w:pBdr/>
        <w:spacing/>
        <w:ind/>
        <w:rPr/>
      </w:pPr>
      <w:r>
        <w:t xml:space="preserve">Outro aspecto relevante é a segurança da informação, especialmente em sistemas que lidam com dados pessoais e sensíveis. A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pPr>
        <w:pBdr/>
        <w:spacing/>
        <w:ind/>
        <w:rPr/>
      </w:pPr>
      <w:r>
        <w:t xml:space="preserve">A seguir são apresentados trabalhos relacionados ao presente projeto.</w:t>
      </w:r>
      <w:r/>
    </w:p>
    <w:p>
      <w:pPr>
        <w:pBdr/>
        <w:spacing/>
        <w:ind/>
        <w:rPr/>
      </w:pPr>
      <w:r/>
      <w:r/>
    </w:p>
    <w:p>
      <w:pPr>
        <w:pStyle w:val="1638"/>
        <w:pBdr/>
        <w:spacing/>
        <w:ind/>
        <w:rPr/>
      </w:pPr>
      <w:r/>
      <w:bookmarkStart w:id="97" w:name="_Toc7"/>
      <w:r>
        <w:rPr>
          <w:caps w:val="0"/>
        </w:rPr>
        <w:t xml:space="preserve">2.2 TRABALHOS RELACIONADOS</w:t>
      </w:r>
      <w:r/>
      <w:bookmarkEnd w:id="97"/>
      <w:r/>
      <w:r/>
    </w:p>
    <w:p>
      <w:pPr>
        <w:pBdr/>
        <w:spacing/>
        <w:ind/>
        <w:rPr/>
      </w:pPr>
      <w:r>
        <w:t xml:space="preserve">Diversas iniciativas já</w:t>
      </w:r>
      <w:r>
        <w:t xml:space="preserve"> foram desenvolvidas com o objetivo de aproximar a população dos órgãos públicos por meio das TICs. Entre elas, destaca-se a plataforma Colab, um aplicativo brasileiro que permite aos cidadãos reportar problemas urbanos, como buracos em vias públicas, ilum</w:t>
      </w:r>
      <w:r>
        <w:t xml:space="preserve">inação defeituosa e descarte irregular de lixo. Segundo Pires (2019), o Colab contribui para aumentar a transparência na gestão pública e incentivar a participação popular, funcionando como um canal direto entre a população e as prefeituras dos municípios.</w:t>
      </w:r>
      <w:r/>
    </w:p>
    <w:p>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pPr>
        <w:pBdr/>
        <w:spacing/>
        <w:ind/>
        <w:rPr>
          <w:highlight w:val="yellow"/>
        </w:rPr>
      </w:pPr>
      <w:r>
        <w:t xml:space="preserve">As Figuras 1 e 2 mostram algumas das interfaces de usuário da plataforma Colab.</w:t>
      </w:r>
      <w:r>
        <w:rPr>
          <w:highlight w:val="yellow"/>
        </w:rPr>
      </w:r>
      <w:r>
        <w:rPr>
          <w:highlight w:val="yellow"/>
        </w:rPr>
      </w:r>
    </w:p>
    <w:p>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w:t>
        <w:fldChar w:fldCharType="end"/>
        <w:t xml:space="preserve"> – Interface de consulta do aplicativo Colab</w:t>
      </w:r>
      <w:r/>
    </w:p>
    <w:p>
      <w:pPr>
        <w:pBdr/>
        <w:spacing/>
        <w:ind/>
        <w:jc w:val="left"/>
        <w:rPr>
          <w:sz w:val="20"/>
          <w:szCs w:val="18"/>
        </w:rPr>
      </w:pPr>
      <w:r>
        <w:rPr>
          <w:sz w:val="20"/>
          <w:szCs w:val="18"/>
        </w:rPr>
        <w:t xml:space="preserve">Fonte: Colab (2026).</w:t>
      </w:r>
      <w:r>
        <w:rPr>
          <w:sz w:val="20"/>
          <w:szCs w:val="18"/>
        </w:rPr>
      </w:r>
      <w:r>
        <w:rPr>
          <w:sz w:val="20"/>
          <w:szCs w:val="18"/>
        </w:rPr>
      </w:r>
    </w:p>
    <w:p>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2</w:t>
        <w:fldChar w:fldCharType="end"/>
        <w:t xml:space="preserve"> - Interface de</w:t>
      </w:r>
      <w:r>
        <w:rPr>
          <w:i/>
        </w:rPr>
        <w:t xml:space="preserve"> feed</w:t>
      </w:r>
      <w:r>
        <w:t xml:space="preserve"> do aplicativo Colab</w:t>
      </w:r>
      <w:r/>
    </w:p>
    <w:p>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r>
        <w:rPr>
          <w:sz w:val="20"/>
          <w:szCs w:val="18"/>
        </w:rPr>
      </w:r>
    </w:p>
    <w:p>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encaminhará a </w:t>
      </w:r>
      <w:r>
        <w:rPr>
          <w:color w:val="000000"/>
        </w:rPr>
        <w:t xml:space="preserve">demanda diretamente para a Ouvidoria da cidade selecionada, onde o ouvidor ou o gestor da pasta específica avaliará a solicitação e o responsável aprovará (ou não) o protocolo, enviando a resposta oficial ao usuário por meio do mesmo portal (E-Ouve, 2026).</w:t>
      </w:r>
      <w:r/>
    </w:p>
    <w:p>
      <w:pPr>
        <w:pBdr/>
        <w:spacing/>
        <w:ind/>
        <w:rPr/>
      </w:pPr>
      <w:r>
        <w:t xml:space="preserve">As Figuras 3 e 4 mostram partes da interface de usuário do sistema e-Ouve.</w:t>
      </w:r>
      <w:r/>
    </w:p>
    <w:p>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3</w:t>
        <w:fldChar w:fldCharType="end"/>
        <w:t xml:space="preserve"> - Seleção da unidade da federação na plataforma e-Ouve</w:t>
      </w:r>
      <w:r>
        <w:t xml:space="preserve"> </w:t>
      </w:r>
      <w:r/>
    </w:p>
    <w:p>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4</w:t>
        <w:fldChar w:fldCharType="end"/>
        <w:t xml:space="preserve"> - Seleção de serviços na plataforma e-Ouve</w:t>
      </w:r>
      <w:r/>
    </w:p>
    <w:p>
      <w:pPr>
        <w:pBdr/>
        <w:spacing/>
        <w:ind/>
        <w:jc w:val="left"/>
        <w:rPr>
          <w:sz w:val="20"/>
          <w:szCs w:val="18"/>
        </w:rPr>
      </w:pPr>
      <w:r>
        <w:rPr>
          <w:sz w:val="20"/>
          <w:szCs w:val="18"/>
        </w:rPr>
        <w:t xml:space="preserve">Fonte: e-Ouve (2026).</w:t>
      </w:r>
      <w:r>
        <w:rPr>
          <w:sz w:val="20"/>
          <w:szCs w:val="18"/>
        </w:rPr>
      </w:r>
      <w:r>
        <w:rPr>
          <w:sz w:val="20"/>
          <w:szCs w:val="18"/>
        </w:rPr>
      </w:r>
    </w:p>
    <w:p>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pPr>
        <w:pBdr/>
        <w:spacing/>
        <w:ind/>
        <w:rPr/>
      </w:pPr>
      <w:r>
        <w:t xml:space="preserve">Ao analisar esses trabalhos com o projeto “Fala, Cidade!”, observa-se que este projeto busca integrar funcionalidades já ex</w:t>
      </w:r>
      <w:r>
        <w:t xml:space="preserve">istentes em diferentes sistemas, como registro de ocorrências, acompanhamento do andamento do protocolo e interação com o usuário, adicionando melhorias como classificação por prioridade, integração com mapas e suporte a ocorrências relatadas anonimamente.</w:t>
      </w:r>
      <w:r/>
    </w:p>
    <w:p>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pPr>
        <w:pStyle w:val="1637"/>
        <w:pageBreakBefore w:val="true"/>
        <w:pBdr/>
        <w:spacing/>
        <w:ind/>
        <w:rPr/>
      </w:pPr>
      <w:r/>
      <w:bookmarkStart w:id="98" w:name="_Toc8"/>
      <w:r>
        <w:t xml:space="preserve">3 OBJETIVO DO PROJETO</w:t>
      </w:r>
      <w:r/>
      <w:bookmarkEnd w:id="98"/>
      <w:r/>
      <w:r/>
    </w:p>
    <w:p>
      <w:pPr>
        <w:pBdr/>
        <w:spacing/>
        <w:ind/>
        <w:rPr/>
      </w:pPr>
      <w:r>
        <w:t xml:space="preserve">Este capítulo apresenta os objetivos do projeto, abordando sua finalidade, justificativa de realização, público de interesse </w:t>
      </w:r>
      <w:r>
        <w:t xml:space="preserve">e níveis de tomada de decisão abrangidos pelo sistema de informação. Traz também uma associação deste trabalho aos objetivos de desenvolvimento sustentável propostos pela Organização das Nações Unidas (ONU) e um modelo de negócio idealizado para o sistema.</w:t>
      </w:r>
      <w:r/>
    </w:p>
    <w:p>
      <w:pPr>
        <w:pBdr/>
        <w:spacing/>
        <w:ind/>
        <w:rPr/>
      </w:pPr>
      <w:r/>
      <w:r/>
    </w:p>
    <w:p>
      <w:pPr>
        <w:pStyle w:val="1638"/>
        <w:pBdr/>
        <w:spacing/>
        <w:ind/>
        <w:rPr/>
      </w:pPr>
      <w:r/>
      <w:bookmarkStart w:id="99" w:name="_Toc9"/>
      <w:r>
        <w:t xml:space="preserve">3.1 FORMULAÇÃO DO PROBLEMA</w:t>
      </w:r>
      <w:r/>
      <w:bookmarkEnd w:id="99"/>
      <w:r/>
      <w:r/>
    </w:p>
    <w:p>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pPr>
        <w:pBdr/>
        <w:spacing/>
        <w:ind/>
        <w:rPr/>
      </w:pPr>
      <w:r>
        <w:t xml:space="preserve">Neste prisma, um sistema </w:t>
      </w:r>
      <w:r>
        <w:t xml:space="preserve">de informação de relatos de ocorrências e notificações pode ajudar a aproximar o cidadão da administração pública, por meio de um canal que viabiliza o registro, a categorização e a priorização de ocorrências de maneira sistemática e inteligível. Após a su</w:t>
      </w:r>
      <w:r>
        <w:t xml:space="preserve">bmissão do relato pelo cidadão, o sistema poderá processar e encaminhar automaticamente os dados ao departamento competente, facultando à administração pública o monitoramento em tempo real do volume, da localização e da tipologia das demandas registradas.</w:t>
      </w:r>
      <w:r/>
    </w:p>
    <w:p>
      <w:pPr>
        <w:pBdr/>
        <w:spacing/>
        <w:ind/>
        <w:rPr/>
      </w:pPr>
      <w:r>
        <w:t xml:space="preserve">Complementarmente, os usuários poderão acompanhar o trâmite de su</w:t>
      </w:r>
      <w:r>
        <w:t xml:space="preserve">as solicitações mediante um protocolo unificado, observando os estágios de atendimento que compreendam o recebimento, a triagem, o processamento e a efetiva resolução. A gestão pública poderá acompanhar um painel administrativo que permitirá a supervisão a</w:t>
      </w:r>
      <w:r>
        <w:t xml:space="preserve">nalítica das ocorrências com filtros por cronologia, categoria, localidade e níveis de criticidade. Essa governança estruturada pode fomentar a transparência pública e subsidiar a tomada de decisão estratégica e o planejamento urbano baseado em evidências.</w:t>
      </w:r>
      <w:r/>
    </w:p>
    <w:p>
      <w:pPr>
        <w:pBdr/>
        <w:spacing/>
        <w:ind/>
        <w:rPr/>
      </w:pPr>
      <w:r/>
      <w:r/>
    </w:p>
    <w:p>
      <w:pPr>
        <w:pStyle w:val="1638"/>
        <w:pBdr/>
        <w:spacing/>
        <w:ind/>
        <w:rPr/>
      </w:pPr>
      <w:r/>
      <w:bookmarkStart w:id="100" w:name="_Toc10"/>
      <w:r>
        <w:t xml:space="preserve">3.2 OBJETIVOS</w:t>
      </w:r>
      <w:r>
        <w:t xml:space="preserve"> </w:t>
      </w:r>
      <w:r/>
      <w:bookmarkEnd w:id="100"/>
      <w:r/>
      <w:r/>
    </w:p>
    <w:p>
      <w:pPr>
        <w:pBdr/>
        <w:spacing/>
        <w:ind/>
        <w:rPr/>
      </w:pPr>
      <w:r>
        <w:t xml:space="preserve">O objetivo principal deste projeto de final de curso é o desenvolvimento de um sistema de informa</w:t>
      </w:r>
      <w:r>
        <w:t xml:space="preserve">ção para relato de ocorrência que afetam a infraestrutura, saneamento, conservação de espaços públicos ou zeladoria pública, a ser realizado pelo cidadão e direcionado à administração pública, com o intuito de agilizar as condutas necessárias de resolução.</w:t>
      </w:r>
      <w:r/>
    </w:p>
    <w:p>
      <w:pPr>
        <w:pBdr/>
        <w:spacing/>
        <w:ind/>
        <w:rPr/>
      </w:pPr>
      <w:r>
        <w:t xml:space="preserve">São objetivos específicos:</w:t>
      </w:r>
      <w:r/>
    </w:p>
    <w:p>
      <w:pPr>
        <w:pStyle w:val="1847"/>
        <w:numPr>
          <w:ilvl w:val="0"/>
          <w:numId w:val="31"/>
        </w:numPr>
        <w:pBdr/>
        <w:spacing/>
        <w:ind/>
        <w:rPr/>
      </w:pPr>
      <w:r>
        <w:t xml:space="preserve">realizar a revisão bibliográfica para fundamentação deste trabalho;</w:t>
      </w:r>
      <w:r/>
    </w:p>
    <w:p>
      <w:pPr>
        <w:pStyle w:val="1847"/>
        <w:numPr>
          <w:ilvl w:val="0"/>
          <w:numId w:val="31"/>
        </w:numPr>
        <w:pBdr/>
        <w:spacing/>
        <w:ind/>
        <w:rPr/>
      </w:pPr>
      <w:r>
        <w:t xml:space="preserve">desenvolver componentes do sistema que permitam a categorização de prioridades e o registro de ocorrências pelo cidadão;</w:t>
      </w:r>
      <w:r/>
    </w:p>
    <w:p>
      <w:pPr>
        <w:pStyle w:val="1847"/>
        <w:numPr>
          <w:ilvl w:val="0"/>
          <w:numId w:val="31"/>
        </w:numPr>
        <w:pBdr/>
        <w:spacing/>
        <w:ind/>
        <w:rPr/>
      </w:pPr>
      <w:r>
        <w:t xml:space="preserve">integrar aos serviços de </w:t>
      </w:r>
      <w:r>
        <w:rPr>
          <w:color w:val="000000"/>
        </w:rPr>
        <w:t xml:space="preserve">georreferenciamento</w:t>
      </w:r>
      <w:r>
        <w:t xml:space="preserve"> para a determinação precisa do local da ocorrência, facultando ao usuário a anexação de registros fotográficos para subsidiar a análise dos responsáveis;</w:t>
      </w:r>
      <w:r/>
    </w:p>
    <w:p>
      <w:pPr>
        <w:pStyle w:val="1847"/>
        <w:numPr>
          <w:ilvl w:val="0"/>
          <w:numId w:val="31"/>
        </w:numPr>
        <w:pBdr/>
        <w:spacing/>
        <w:ind/>
        <w:rPr/>
      </w:pPr>
      <w:r>
        <w:t xml:space="preserve">assegurar a prerrogativa do anonimato quando a natureza da ocorrência assim for desejada;</w:t>
      </w:r>
      <w:r/>
    </w:p>
    <w:p>
      <w:pPr>
        <w:pStyle w:val="1847"/>
        <w:numPr>
          <w:ilvl w:val="0"/>
          <w:numId w:val="31"/>
        </w:numPr>
        <w:pBdr/>
        <w:spacing/>
        <w:ind/>
        <w:rPr/>
      </w:pPr>
      <w:r>
        <w:t xml:space="preserve">estabelecer mecanismos de avaliação contínua do sistema a fim de melhor atender às necessidades das partes interessadas.</w:t>
      </w:r>
      <w:r/>
    </w:p>
    <w:p>
      <w:pPr>
        <w:pStyle w:val="1847"/>
        <w:pBdr/>
        <w:spacing/>
        <w:ind/>
        <w:rPr/>
      </w:pPr>
      <w:r/>
      <w:r/>
    </w:p>
    <w:p>
      <w:pPr>
        <w:pStyle w:val="1638"/>
        <w:pBdr/>
        <w:spacing/>
        <w:ind/>
        <w:rPr/>
      </w:pPr>
      <w:r/>
      <w:bookmarkStart w:id="101" w:name="_Toc11"/>
      <w:r>
        <w:t xml:space="preserve">3.3 JUSTIFICATIVA</w:t>
      </w:r>
      <w:r>
        <w:t xml:space="preserve"> </w:t>
      </w:r>
      <w:r/>
      <w:bookmarkEnd w:id="101"/>
      <w:r/>
      <w:r/>
    </w:p>
    <w:p>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Style w:val="1638"/>
        <w:pBdr/>
        <w:spacing/>
        <w:ind/>
        <w:rPr/>
      </w:pPr>
      <w:r/>
      <w:bookmarkStart w:id="102" w:name="_Toc12"/>
      <w:r>
        <w:t xml:space="preserve">3.4 NÍVEIS DE DECISÃO E GRUPOS FUNCIONAIS ATENDIDOS</w:t>
      </w:r>
      <w:r/>
      <w:bookmarkEnd w:id="102"/>
      <w:r/>
      <w:r/>
    </w:p>
    <w:p>
      <w:pPr>
        <w:pBdr/>
        <w:spacing/>
        <w:ind/>
        <w:rPr/>
      </w:pPr>
      <w:r>
        <w:t xml:space="preserve">O projeto destina-se à Administração Pública Municipal e suas respectivas secretarias. No ambiente externo, o sistema atenderá aos cidadãos, conselhos comunitários e organizações da sociedade civil. </w:t>
      </w:r>
      <w:r/>
    </w:p>
    <w:p>
      <w:pPr>
        <w:pBdr/>
        <w:spacing/>
        <w:ind/>
        <w:rPr/>
      </w:pPr>
      <w:r>
        <w:t xml:space="preserve">Em nível </w:t>
      </w:r>
      <w:r>
        <w:t xml:space="preserve">operacional, as informações serão oferecidas e atualizadas pelos funcionários públicos de campo e técnicos das secretarias, responsáveis pela execução direta dos reparos, triagem inicial e alteração do status imediato de cada protocolo aberto pelo cidadão.</w:t>
      </w:r>
      <w:r/>
    </w:p>
    <w:p>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pPr>
        <w:pBdr/>
        <w:spacing/>
        <w:ind/>
        <w:rPr/>
      </w:pPr>
      <w:r>
        <w:t xml:space="preserve">Em nível estratégico, prefeitos e secretários municipais utilizarão relatórios gerenciais analíticos e mapas georreferenciados para identificar áreas críticas e definir políticas públicas baseadas em dados reais de demandas comunitárias. </w:t>
      </w:r>
      <w:r/>
    </w:p>
    <w:p>
      <w:pPr>
        <w:pBdr/>
        <w:spacing/>
        <w:ind/>
        <w:rPr/>
      </w:pPr>
      <w:r>
        <w:t xml:space="preserve">Para o cidadão, o sistema oferecerá transparência informacional imediata, permiti</w:t>
      </w:r>
      <w:r>
        <w:t xml:space="preserve">ndo o acesso ao histórico real de trâmite do seu protocolo, alertas de manutenção na sua região e dados consolidados sobre o índice de resolução de problemas na sua localidade, permitindo-lhe ser um colaborador ativo para a infraestrutura urbana eficiente.</w:t>
      </w:r>
      <w:r/>
    </w:p>
    <w:p>
      <w:pPr>
        <w:pBdr/>
        <w:spacing/>
        <w:ind/>
        <w:rPr/>
      </w:pPr>
      <w:r/>
      <w:r/>
    </w:p>
    <w:p>
      <w:pPr>
        <w:pStyle w:val="1638"/>
        <w:pBdr/>
        <w:spacing/>
        <w:ind/>
        <w:rPr/>
      </w:pPr>
      <w:r/>
      <w:bookmarkStart w:id="103" w:name="_Toc13"/>
      <w:r>
        <w:t xml:space="preserve">3.5 ADERÊNCIA AOS OBJETIVOS DO DESENVOLVIMENTO SUSTENTÁVEL (ODS)</w:t>
      </w:r>
      <w:r/>
      <w:bookmarkEnd w:id="103"/>
      <w:r/>
      <w:r/>
    </w:p>
    <w:p>
      <w:pPr>
        <w:pBdr/>
        <w:spacing/>
        <w:ind/>
        <w:rPr/>
      </w:pPr>
      <w:r>
        <w:t xml:space="preserve">Os ODS integram a Agenda 2030 pa</w:t>
      </w:r>
      <w:r>
        <w:t xml:space="preserve">ra o Desenvolvimento Sustentável, adotada pelos Estados-membros da Organização das Nações Unidas, no ano de 2015, e reúnem 17 objetivos desdobrados em 169 metas destinadas a orientar políticas públicas e iniciativas privadas até o ano de 2030 (ONU, 2015). </w:t>
      </w:r>
      <w:r/>
    </w:p>
    <w:p>
      <w:pPr>
        <w:pBdr/>
        <w:spacing/>
        <w:ind/>
        <w:rPr/>
      </w:pPr>
      <w:r>
        <w:t xml:space="preserve">O sistema de informação “Fala, Cidade!” apresenta aderência principalmente a dois desses objetivos: o ODS 11 – Cidades e Comunidades Sustentáveis e o ODS 16 – Paz, Justiça e Instituições Eficazes., conforme descrito a seguir:</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o fortalecimento da capacidade para o planejamento e a gestão participativos, integrados e sustentáveis dos assentam</w:t>
      </w:r>
      <w:r>
        <w:t xml:space="preserve">entos humanos. O sistema contribui para essa meta ao propor converter o relato disperso e informal de problemas urbanos em um repositório estruturado e georreferenciado de demandas. Já a Meta 11.7 estabelece o objetivo de proporcionar o acesso universal a </w:t>
      </w:r>
      <w:r>
        <w:t xml:space="preserve">espaços públicos seguros, inclusivos, acessíveis e verdes. As categorias de ocorrência previstas no sistema — entre elas problemas em praças e parques, iluminação pública deficiente, sinalização ou semáforo com defeito e descarte irregular de resíduos — at</w:t>
      </w:r>
      <w:r>
        <w:t xml:space="preserve">uam justamente sobre as condições de segurança e conservação desses espaços. A redução do intervalo entre a identificação do problema pelo cidadão e o conhecimento da demanda pelo órgão competente é o mecanismo pelo qual o projeto colaborará com essa meta.</w:t>
      </w:r>
      <w:r/>
    </w:p>
    <w:p>
      <w:pPr>
        <w:pBdr/>
        <w:spacing/>
        <w:ind/>
        <w:rPr/>
      </w:pPr>
      <w:r>
        <w:t xml:space="preserve">Complementarmente, a Meta 11.b, que trata do aumento d</w:t>
      </w:r>
      <w:r>
        <w:t xml:space="preserve">o número de cidades que adotam políticas integradas para a resiliência a desastres, encontra correspondência na priorização por categoria que classificará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desenvolvimento de instituições eficazes, responsáveis e transparentes em todos os níveis. O sistema contribuirá com essa meta por meio do protocolo único e imutável gerado a cada registro de ocorrência e do histórico de trâmites qu</w:t>
      </w:r>
      <w:r>
        <w:t xml:space="preserve">e registrará qual usuário alterou o status da ocorrência, em que data e horário e sob qual justificativa.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respo</w:t>
      </w:r>
      <w:r>
        <w:t xml:space="preserve">nsiva, inclusiva, participativa e representativa em todos os níveis, é contemplada pelo próprio sistema de informação: o registro de ocorrências será aberto a qualquer cidadão, inclusive de forma anônima, removendo o receio de exposição como barreira à par</w:t>
      </w:r>
      <w:r>
        <w:t xml:space="preserve">ticipação. A garantia de anonimato, aliada ao código de rastreamento que preserva o direito de acompanhamento sem identificar o autor, ampliará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w:t>
      </w:r>
      <w:r>
        <w:t xml:space="preserve">icação das ocorrências no mapa georreferenciado, que permitirá a qualquer pessoa — inclusive sem autenticação — visualizar as demandas registradas no município e seus respectivos estados de atendimento, com a devida supressão dos dados pessoais do usuário.</w:t>
      </w:r>
      <w:r/>
    </w:p>
    <w:p>
      <w:pPr>
        <w:pBdr/>
        <w:spacing/>
        <w:ind/>
        <w:rPr/>
      </w:pPr>
      <w:r>
        <w:t xml:space="preserve">Cabe registrar que a aderência aqui descrita é de natureza instrumental: o sistema, uma vez implantado pela administração pública, não realizará por si a in</w:t>
      </w:r>
      <w:r>
        <w:t xml:space="preserve">tervenção urbana, mas será capaz de reduzir a assimetria de informação que poderá retardar essa intervenção. A efetiva contribuição para as metas depende da apropriação da ferramenta pela administração municipal e da sua capacidade operacional de resposta.</w:t>
      </w:r>
      <w:r/>
    </w:p>
    <w:p>
      <w:pPr>
        <w:pBdr/>
        <w:spacing/>
        <w:ind/>
        <w:rPr/>
      </w:pPr>
      <w:r/>
      <w:r/>
    </w:p>
    <w:p>
      <w:pPr>
        <w:pStyle w:val="1638"/>
        <w:pBdr/>
        <w:spacing/>
        <w:ind/>
        <w:rPr/>
      </w:pPr>
      <w:r/>
      <w:bookmarkStart w:id="104" w:name="_Toc14"/>
      <w:r>
        <w:t xml:space="preserve">3.6 MODELO DE NEGÓCIO PROPOSTO</w:t>
      </w:r>
      <w:r/>
      <w:bookmarkEnd w:id="104"/>
      <w:r/>
      <w:r/>
    </w:p>
    <w:p>
      <w:pPr>
        <w:pBdr/>
        <w:spacing/>
        <w:ind/>
        <w:rPr/>
      </w:pPr>
      <w:r>
        <w:t xml:space="preserve">O modelo de negócio do projeto foi elaborado por meio do </w:t>
      </w:r>
      <w:r>
        <w:rPr>
          <w:i/>
        </w:rPr>
        <w:t xml:space="preserve">Business Model Canvas</w:t>
      </w:r>
      <w:r>
        <w:t xml:space="preserve">, ferramenta proposta por Osterwalder e Pigneur (2011) que organiza a lógica de criação, entrega e captura de valor de uma iniciativa em nove blocos inter-relacionados. </w:t>
      </w:r>
      <w:r/>
    </w:p>
    <w:p>
      <w:pPr>
        <w:pBdr/>
        <w:spacing/>
        <w:ind/>
        <w:rPr/>
      </w:pPr>
      <w:r>
        <w:t xml:space="preserve">O modelo disponível via a plataforma do Serviço Brasileiro de Apoio às Micro e Pequenas Empresas (Sebrae, 2026) e o quadro completo encontram-se no Apêndice H. </w:t>
      </w:r>
      <w:r/>
    </w:p>
    <w:p>
      <w:pPr>
        <w:pBdr/>
        <w:spacing/>
        <w:ind/>
        <w:rPr/>
      </w:pPr>
      <w:r/>
      <w:r/>
    </w:p>
    <w:p>
      <w:pPr>
        <w:pBdr/>
        <w:spacing/>
        <w:ind/>
        <w:rPr/>
      </w:pPr>
      <w:r/>
      <w:r/>
    </w:p>
    <w:p>
      <w:pPr>
        <w:pBdr/>
        <w:spacing w:after="0" w:line="240" w:lineRule="auto"/>
        <w:ind/>
        <w:jc w:val="left"/>
        <w:rPr/>
      </w:pPr>
      <w:r>
        <w:br w:type="page" w:clear="all"/>
      </w:r>
      <w:r/>
    </w:p>
    <w:p>
      <w:pPr>
        <w:pStyle w:val="1637"/>
        <w:pBdr/>
        <w:spacing/>
        <w:ind/>
        <w:rPr/>
      </w:pPr>
      <w:r/>
      <w:bookmarkStart w:id="105" w:name="_Toc15"/>
      <w:r>
        <w:t xml:space="preserve">4 MÉTODOS GERENCIAIS</w:t>
      </w:r>
      <w:r/>
      <w:bookmarkEnd w:id="105"/>
      <w:r/>
      <w:r/>
    </w:p>
    <w:p>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deste projeto.</w:t>
      </w:r>
      <w:r/>
    </w:p>
    <w:p>
      <w:pPr>
        <w:pBdr/>
        <w:spacing/>
        <w:ind/>
        <w:rPr/>
      </w:pPr>
      <w:r/>
      <w:r/>
    </w:p>
    <w:p>
      <w:pPr>
        <w:pStyle w:val="1638"/>
        <w:pBdr/>
        <w:spacing/>
        <w:ind/>
        <w:rPr/>
      </w:pPr>
      <w:r/>
      <w:bookmarkStart w:id="106" w:name="_Toc16"/>
      <w:r>
        <w:t xml:space="preserve">4.1 GERENCIAMENTO DO PROJETO</w:t>
      </w:r>
      <w:r/>
      <w:bookmarkEnd w:id="106"/>
      <w:r/>
      <w:r/>
    </w:p>
    <w:p>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dos requisitos é centralizada no </w:t>
      </w:r>
      <w:r>
        <w:rPr>
          <w:i/>
          <w:color w:val="000000"/>
        </w:rPr>
        <w:t xml:space="preserve">Product Backlog</w:t>
      </w:r>
      <w:r>
        <w:rPr>
          <w:color w:val="000000"/>
        </w:rPr>
        <w:t xml:space="preserve">, que contém a lista priorizada dos requisitos do sistema. As atividades de desenvolvimento são segmentadas em ciclos curtos denominados </w:t>
      </w:r>
      <w:r>
        <w:rPr>
          <w:i/>
          <w:color w:val="000000"/>
        </w:rPr>
        <w:t xml:space="preserve">Sprints</w:t>
      </w:r>
      <w:r>
        <w:rPr>
          <w:color w:val="000000"/>
        </w:rPr>
        <w:t xml:space="preserve">, com duração definida de acordo com</w:t>
      </w:r>
      <w:r>
        <w:rPr>
          <w:color w:val="000000"/>
        </w:rPr>
        <w:t xml:space="preserve"> a complexidade das funcionalidades planejadas. O processo compreende eventos com etapas de planejamento, execução, revisão e retrospectiva, permitindo a identificação precoce de falhas e a implementação de melhorias contínuas (Schwaber; Sutherland, 2020).</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eventos Scrum são conduzidos da seguinte forma: a sincronização diária (</w:t>
      </w:r>
      <w:r>
        <w:rPr>
          <w:i/>
          <w:color w:val="000000"/>
        </w:rPr>
        <w:t xml:space="preserve">Daily Scrum</w:t>
      </w:r>
      <w:r>
        <w:rPr>
          <w:color w:val="000000"/>
        </w:rPr>
        <w:t xml:space="preserve">) ocorre de maneira assíncrona, por meio de mensagens no grupo do WhatsApp da equipe, onde cada membro compartilha o que foi realizado, o que será feito e eventuais impedimentos. O </w:t>
      </w:r>
      <w:r>
        <w:rPr>
          <w:i/>
          <w:color w:val="000000"/>
        </w:rPr>
        <w:t xml:space="preserve">Sprint Planning</w:t>
      </w:r>
      <w:r>
        <w:rPr>
          <w:color w:val="000000"/>
        </w:rPr>
        <w:t xml:space="preserve"> é realizado presencialmente no início de cada ciclo, com a seleção e estimativa das histórias de usuário priorizadas no </w:t>
      </w:r>
      <w:r>
        <w:rPr>
          <w:i/>
          <w:color w:val="000000"/>
        </w:rPr>
        <w:t xml:space="preserve">Product Backlog</w:t>
      </w:r>
      <w:r>
        <w:rPr>
          <w:color w:val="000000"/>
        </w:rPr>
        <w:t xml:space="preserve">. A </w:t>
      </w:r>
      <w:r>
        <w:rPr>
          <w:i/>
          <w:color w:val="000000"/>
        </w:rPr>
        <w:t xml:space="preserve">Sprint Review</w:t>
      </w:r>
      <w:r>
        <w:rPr>
          <w:color w:val="000000"/>
        </w:rPr>
        <w:t xml:space="preserve"> acontece ao final de cada </w:t>
      </w:r>
      <w:r>
        <w:rPr>
          <w:i/>
          <w:color w:val="000000"/>
        </w:rPr>
        <w:t xml:space="preserve">sprint</w:t>
      </w:r>
      <w:r>
        <w:rPr>
          <w:color w:val="000000"/>
        </w:rPr>
        <w:t xml:space="preserve">, com a demonstração das funcionalidades concluídas à orientadora do projeto, possibilitando validações e adaptações. Por fim, a </w:t>
      </w:r>
      <w:r>
        <w:rPr>
          <w:i/>
          <w:color w:val="000000"/>
        </w:rPr>
        <w:t xml:space="preserve">Sprint Retrospective</w:t>
      </w:r>
      <w:r>
        <w:rPr>
          <w:color w:val="000000"/>
        </w:rPr>
        <w:t xml:space="preserve"> ocorre imediatamente após a </w:t>
      </w:r>
      <w:r>
        <w:rPr>
          <w:i/>
          <w:color w:val="000000"/>
        </w:rPr>
        <w:t xml:space="preserve">Review</w:t>
      </w:r>
      <w:r>
        <w:rPr>
          <w:color w:val="000000"/>
        </w:rPr>
        <w:t xml:space="preserve">, com foco na identificação de melhorias no processo de trabalho da equipe para o próximo ciclo.  </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Pr>
          <w:color w:val="000000"/>
        </w:rPr>
        <w:t xml:space="preserve">O projeto conta ainda com artefatos formais de gerenciamento elaborados durante as disciplinas de Gestão de Projetos. O Termo de Abertura do Projeto (TAP) formaliza a autorização do projeto e o </w:t>
      </w:r>
      <w:r>
        <w:rPr>
          <w:i/>
          <w:color w:val="000000"/>
        </w:rPr>
        <w:t xml:space="preserve">Business Case</w:t>
      </w:r>
      <w:r>
        <w:rPr>
          <w:color w:val="000000"/>
        </w:rPr>
        <w:t xml:space="preserve"> fundamenta a viabilidade da iniciativa, apresentando o problema central — a ausência de um canal digital eficient</w:t>
      </w:r>
      <w:r>
        <w:rPr>
          <w:color w:val="000000"/>
        </w:rPr>
        <w:t xml:space="preserve">e de comunicação entre cidadãos e prefeitura — e comparando alternativas (atendimento presencial, uso de redes sociais e plataforma digital), justificando a escolha por um sistema de informação automatizado e digital como proposta de solução mais escalável</w:t>
      </w:r>
      <w:r>
        <w:rPr>
          <w:color w:val="000000"/>
        </w:rPr>
        <w:t xml:space="preserve"> e eficaz. A Estrutura Analítica do Projeto (EAP) é uma decomposição hierárquica de todas as entregas do projeto, enquanto o caminho crítico identifica as atividades sequenciais determinantes para o prazo final de conclusão previsto para novembro de 2026. </w:t>
      </w:r>
      <w:r>
        <w:t xml:space="preserve">Os artefatos de gerenciamento são complementados com a planilha de controle de riscos </w:t>
      </w:r>
      <w:r>
        <w:t xml:space="preserve">que registra, para cada risco identificado, a sua descrição, a categoria, a probabilidade de ocorrência, o impacto sobre o projeto, o grau de exposição resultante do produto entre ambos, a estratégia de resposta adotada e o responsável pelo monitoramento. </w:t>
      </w:r>
      <w:r/>
    </w:p>
    <w:p>
      <w:pPr>
        <w:pBdr/>
        <w:spacing/>
        <w:ind/>
        <w:rPr/>
      </w:pPr>
      <w:r>
        <w:t xml:space="preserve">Os artefatos de gerenciamento reunidos no Apêndice A compreendem, portanto: o TAP, o </w:t>
      </w:r>
      <w:r>
        <w:rPr>
          <w:i/>
        </w:rPr>
        <w:t xml:space="preserve">Business Case</w:t>
      </w:r>
      <w:r>
        <w:t xml:space="preserve">, o </w:t>
      </w:r>
      <w:r>
        <w:rPr>
          <w:i/>
        </w:rPr>
        <w:t xml:space="preserve">Product Backlog</w:t>
      </w:r>
      <w:r>
        <w:t xml:space="preserve">, a EAP, o cronograma com o caminho crítico e a planilha de controle de riscos.</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planilha de controle de riscos foi revisada após a apresentação do sistema na Faitec, com a inclusão dos riscos decorrentes dos pontos de melhoria apontados pelo público, descritos na Seção 8.5.</w:t>
      </w:r>
      <w:r>
        <w:rPr>
          <w:color w:val="000000"/>
        </w:rPr>
      </w:r>
      <w:r>
        <w:rPr>
          <w:color w:val="000000"/>
        </w:rPr>
      </w:r>
    </w:p>
    <w:p>
      <w:pPr>
        <w:pStyle w:val="1638"/>
        <w:pBdr/>
        <w:spacing/>
        <w:ind/>
        <w:rPr/>
      </w:pPr>
      <w:r/>
      <w:bookmarkStart w:id="107" w:name="_Toc17"/>
      <w:r>
        <w:t xml:space="preserve">4.2 MODELO DE CICLO DE VIDA</w:t>
      </w:r>
      <w:r>
        <w:t xml:space="preserve"> </w:t>
      </w:r>
      <w:r/>
      <w:bookmarkEnd w:id="107"/>
      <w:r/>
      <w:r/>
    </w:p>
    <w:p>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si</w:t>
      </w:r>
      <w:r>
        <w:t xml:space="preserve">stema em partes menores, denominadas incrementos, que são entregues progressivamente. Segundo Pressman e Maxim (2021), o modelo Incremental reduz riscos no desenvolvimento de software, pois possibilitam validações constantes e entregas parciais funcionais.</w:t>
      </w:r>
      <w:r/>
    </w:p>
    <w:p>
      <w:pPr>
        <w:pBdr>
          <w:top w:val="none" w:color="000000" w:sz="4" w:space="0"/>
          <w:left w:val="none" w:color="000000" w:sz="4" w:space="0"/>
          <w:bottom w:val="none" w:color="000000" w:sz="4" w:space="0"/>
          <w:right w:val="none" w:color="000000" w:sz="4" w:space="0"/>
        </w:pBdr>
        <w:spacing/>
        <w:ind/>
        <w:rPr/>
      </w:pPr>
      <w:r>
        <w:t xml:space="preserve">Dessa forma, o sistema pode evoluir gradualmente com base no </w:t>
      </w:r>
      <w:r>
        <w:rPr>
          <w:i/>
        </w:rPr>
        <w:t xml:space="preserve">feedback</w:t>
      </w:r>
      <w:r>
        <w:t xml:space="preserve"> dos usuários e nas necessidades identificadas ao longo do </w:t>
      </w:r>
      <w:r>
        <w:t xml:space="preserve">desenvolvimento.  Neste projeto, as funcionalidades principais, como o cadastro de usuários, o registro de notificações de ocorrências e o painel administrativo, são implementadas em etapas, permitindo um melhor controle de qualidade sobre o produto final.</w:t>
      </w:r>
      <w:r/>
    </w:p>
    <w:p>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w:t>
      </w:r>
      <w:r>
        <w:t xml:space="preserve">rme defendido por Sommerville (2018), este é um processo crítico que define os serviços requeridos e as restrições de operação, servindo, na visão de Pressman e Maxim (2021), como uma ponte estratégica entre a concepção do software e o seu projeto técnico.</w:t>
      </w:r>
      <w:r/>
    </w:p>
    <w:p>
      <w:pPr>
        <w:pBdr/>
        <w:spacing/>
        <w:ind/>
        <w:rPr/>
      </w:pPr>
      <w:r/>
      <w:r/>
    </w:p>
    <w:p>
      <w:pPr>
        <w:pStyle w:val="1638"/>
        <w:pBdr/>
        <w:spacing/>
        <w:ind/>
        <w:rPr/>
      </w:pPr>
      <w:r/>
      <w:bookmarkStart w:id="108" w:name="_Toc18"/>
      <w:r>
        <w:t xml:space="preserve">4.3 RECURSOS NECESSÁRIOS</w:t>
      </w:r>
      <w:r/>
      <w:bookmarkEnd w:id="108"/>
      <w:r/>
      <w:r/>
    </w:p>
    <w:p>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sistemas de software são relacionados a seguir.</w:t>
      </w:r>
      <w:r/>
    </w:p>
    <w:p>
      <w:pPr>
        <w:pBdr>
          <w:top w:val="none" w:color="000000" w:sz="4" w:space="0"/>
          <w:left w:val="none" w:color="000000" w:sz="4" w:space="0"/>
          <w:bottom w:val="none" w:color="000000" w:sz="4" w:space="0"/>
          <w:right w:val="none" w:color="000000" w:sz="4" w:space="0"/>
        </w:pBdr>
        <w:spacing/>
        <w:ind/>
        <w:rPr/>
      </w:pPr>
      <w:r/>
      <w:r/>
    </w:p>
    <w:p>
      <w:pPr>
        <w:pStyle w:val="1639"/>
        <w:pBdr/>
        <w:spacing/>
        <w:ind/>
        <w:rPr/>
      </w:pPr>
      <w:r/>
      <w:bookmarkStart w:id="109" w:name="_Toc19"/>
      <w:r>
        <w:t xml:space="preserve">4.3.1 Recursos Humanos</w:t>
      </w:r>
      <w:r/>
      <w:bookmarkEnd w:id="109"/>
      <w:r/>
      <w:r/>
    </w:p>
    <w:p>
      <w:pPr>
        <w:pBdr>
          <w:top w:val="none" w:color="000000" w:sz="4" w:space="0"/>
          <w:left w:val="none" w:color="000000" w:sz="4" w:space="0"/>
          <w:bottom w:val="none" w:color="000000" w:sz="4" w:space="0"/>
          <w:right w:val="none" w:color="000000" w:sz="4" w:space="0"/>
        </w:pBdr>
        <w:spacing/>
        <w:ind/>
        <w:rPr/>
      </w:pPr>
      <w:r>
        <w:t xml:space="preserve">O time Scrum é composto por graduandos do curso de Sistemas de Informação, com responsabilidades distribuídas conforme as competências e habilidades mais acentuadas.</w:t>
      </w:r>
      <w:r/>
    </w:p>
    <w:p>
      <w:pPr>
        <w:pBdr>
          <w:top w:val="none" w:color="000000" w:sz="4" w:space="0"/>
          <w:left w:val="none" w:color="000000" w:sz="4" w:space="0"/>
          <w:bottom w:val="none" w:color="000000" w:sz="4" w:space="0"/>
          <w:right w:val="none" w:color="000000" w:sz="4" w:space="0"/>
        </w:pBdr>
        <w:spacing/>
        <w:ind/>
        <w:rPr/>
      </w:pPr>
      <w:r>
        <w:t xml:space="preserve">a) Time Scrum:</w:t>
      </w:r>
      <w:r/>
    </w:p>
    <w:p>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w:t>
      </w:r>
      <w:r>
        <w:t xml:space="preserve"> administração do banco de dados e testes.</w:t>
      </w:r>
      <w:r/>
    </w:p>
    <w:p>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suporte à gestão do banco de dados do sistema e testes.</w:t>
      </w:r>
      <w:r/>
    </w:p>
    <w:p>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gerenciamento do banco de dados e testes.</w:t>
      </w:r>
      <w:r/>
    </w:p>
    <w:p>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pPr>
        <w:pBdr>
          <w:top w:val="none" w:color="000000" w:sz="4" w:space="0"/>
          <w:left w:val="none" w:color="000000" w:sz="4" w:space="0"/>
          <w:bottom w:val="none" w:color="000000" w:sz="4" w:space="0"/>
          <w:right w:val="none" w:color="000000" w:sz="4" w:space="0"/>
        </w:pBdr>
        <w:tabs>
          <w:tab w:val="left" w:leader="none" w:pos="2751"/>
        </w:tabs>
        <w:spacing/>
        <w:ind/>
        <w:rPr>
          <w:szCs w:val="24"/>
        </w:rPr>
      </w:pPr>
      <w:r>
        <w:rPr>
          <w:szCs w:val="24"/>
          <w:highlight w:val="white"/>
        </w:rPr>
        <w:t xml:space="preserve">c) </w:t>
      </w:r>
      <w:r>
        <w:rPr>
          <w:i/>
          <w:iCs/>
          <w:szCs w:val="24"/>
          <w:highlight w:val="white"/>
        </w:rPr>
        <w:t xml:space="preserve">Product Owner</w:t>
      </w:r>
      <w:r>
        <w:rPr>
          <w:i/>
          <w:iCs/>
          <w:szCs w:val="24"/>
        </w:rPr>
        <w:t xml:space="preserve">:</w:t>
      </w:r>
      <w:r>
        <w:rPr>
          <w:szCs w:val="24"/>
        </w:rPr>
        <w:t xml:space="preserve"> profa. Eunice Gomes de Siqueira (orientadora);</w:t>
      </w:r>
      <w:r>
        <w:rPr>
          <w:szCs w:val="24"/>
        </w:rPr>
      </w:r>
      <w:r>
        <w:rPr>
          <w:szCs w:val="24"/>
        </w:rPr>
      </w:r>
    </w:p>
    <w:p>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rPr>
        <w:t xml:space="preserve">d) Apoiadores: profa. Isabela Vasconcelos de Carvalho Motta e prof. Fábio Gavião Avelino de Méllo. </w:t>
      </w:r>
      <w:r>
        <w:rPr>
          <w:szCs w:val="24"/>
          <w:highlight w:val="white"/>
        </w:rPr>
      </w:r>
      <w:r>
        <w:rPr>
          <w:szCs w:val="24"/>
          <w:highlight w:val="white"/>
        </w:rPr>
      </w:r>
    </w:p>
    <w:p>
      <w:pPr>
        <w:pStyle w:val="1639"/>
        <w:pBdr/>
        <w:spacing/>
        <w:ind/>
        <w:rPr/>
      </w:pPr>
      <w:r/>
      <w:bookmarkStart w:id="110" w:name="_Toc20"/>
      <w:r>
        <w:t xml:space="preserve">4.3.2 Recursos de Hardware</w:t>
      </w:r>
      <w:r/>
      <w:bookmarkEnd w:id="110"/>
      <w:r/>
      <w:r/>
    </w:p>
    <w:p>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 conforme destaque a seguir:</w:t>
      </w:r>
      <w:r/>
    </w:p>
    <w:p>
      <w:pPr>
        <w:pBdr>
          <w:top w:val="none" w:color="000000" w:sz="4" w:space="0"/>
          <w:left w:val="none" w:color="000000" w:sz="4" w:space="0"/>
          <w:bottom w:val="none" w:color="000000" w:sz="4" w:space="0"/>
          <w:right w:val="none" w:color="000000" w:sz="4" w:space="0"/>
        </w:pBdr>
        <w:spacing/>
        <w:ind/>
        <w:rPr/>
      </w:pPr>
      <w:r>
        <w:t xml:space="preserve">a) 3 estações de trabalho com processador Intel Core i3 (3.90 GHz), 8 GB de RAM e 256 GB de memória de armazenamento;</w:t>
      </w:r>
      <w:r/>
    </w:p>
    <w:p>
      <w:pPr>
        <w:pBdr>
          <w:top w:val="none" w:color="000000" w:sz="4" w:space="0"/>
          <w:left w:val="none" w:color="000000" w:sz="4" w:space="0"/>
          <w:bottom w:val="none" w:color="000000" w:sz="4" w:space="0"/>
          <w:right w:val="none" w:color="000000" w:sz="4" w:space="0"/>
        </w:pBdr>
        <w:spacing/>
        <w:ind/>
        <w:rPr/>
      </w:pPr>
      <w:r>
        <w:t xml:space="preserve">b) 3 periféricos de entrada e saída (teclado, mouse e monitor de vídeo);</w:t>
      </w:r>
      <w:r/>
    </w:p>
    <w:p>
      <w:pPr>
        <w:pBdr>
          <w:top w:val="none" w:color="000000" w:sz="4" w:space="0"/>
          <w:left w:val="none" w:color="000000" w:sz="4" w:space="0"/>
          <w:bottom w:val="none" w:color="000000" w:sz="4" w:space="0"/>
          <w:right w:val="none" w:color="000000" w:sz="4" w:space="0"/>
        </w:pBdr>
        <w:spacing/>
        <w:ind/>
        <w:rPr/>
      </w:pPr>
      <w:r>
        <w:t xml:space="preserve">c) 3 dispositivos móveis com sistema operacional Android 13 para validação da interface responsiva e recursos de um </w:t>
      </w:r>
      <w:r>
        <w:rPr>
          <w:i/>
        </w:rPr>
        <w:t xml:space="preserve">Progressive Web App </w:t>
      </w:r>
      <w:r>
        <w:t xml:space="preserve">(PWA).</w:t>
      </w:r>
      <w:r/>
    </w:p>
    <w:p>
      <w:pPr>
        <w:pBdr/>
        <w:spacing/>
        <w:ind/>
        <w:jc w:val="left"/>
        <w:rPr/>
      </w:pPr>
      <w:r/>
      <w:r/>
    </w:p>
    <w:p>
      <w:pPr>
        <w:pStyle w:val="1639"/>
        <w:pBdr/>
        <w:spacing/>
        <w:ind/>
        <w:rPr/>
      </w:pPr>
      <w:r/>
      <w:bookmarkStart w:id="111" w:name="_Toc21"/>
      <w:r>
        <w:t xml:space="preserve">4.3.3 Recursos de Software</w:t>
      </w:r>
      <w:r/>
      <w:bookmarkEnd w:id="111"/>
      <w:r/>
      <w:r/>
    </w:p>
    <w:p>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 dBeaver, na versão 26.0.1. </w:t>
      </w:r>
      <w:r/>
    </w:p>
    <w:p>
      <w:pPr>
        <w:pBdr>
          <w:top w:val="none" w:color="000000" w:sz="4" w:space="0"/>
          <w:left w:val="none" w:color="000000" w:sz="4" w:space="0"/>
          <w:bottom w:val="none" w:color="000000" w:sz="4" w:space="0"/>
          <w:right w:val="none" w:color="000000" w:sz="4" w:space="0"/>
        </w:pBdr>
        <w:spacing/>
        <w:ind/>
        <w:rPr/>
      </w:pPr>
      <w:r>
        <w:t xml:space="preserve">O Node.js, na versão 24.17.0 (LTS), atua como ambiente de execução para as ferramentas de automação, gerenciamento de dependências e construção dos artefatos do </w:t>
      </w:r>
      <w:r>
        <w:rPr>
          <w:i/>
        </w:rPr>
        <w:t xml:space="preserve">front-end</w:t>
      </w:r>
      <w:r>
        <w:t xml:space="preserve">. </w:t>
      </w:r>
      <w:r/>
    </w:p>
    <w:p>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compreendem o uso de Java, versão 21, integrada ao Spring Boot 3 para o desenvolvimento da API RESTful do </w:t>
      </w:r>
      <w:r>
        <w:rPr>
          <w:i/>
        </w:rPr>
        <w:t xml:space="preserve">back-end</w:t>
      </w:r>
      <w:r>
        <w:t xml:space="preserve">, e o Angular, versão 19, para a codificação das páginas responsivas baseadas em PWA. </w:t>
      </w:r>
      <w:r/>
    </w:p>
    <w:p>
      <w:pPr>
        <w:pBdr>
          <w:top w:val="none" w:color="000000" w:sz="4" w:space="0"/>
          <w:left w:val="none" w:color="000000" w:sz="4" w:space="0"/>
          <w:bottom w:val="none" w:color="000000" w:sz="4" w:space="0"/>
          <w:right w:val="none" w:color="000000" w:sz="4" w:space="0"/>
        </w:pBdr>
        <w:spacing/>
        <w:ind/>
        <w:rPr/>
      </w:pPr>
      <w:r>
        <w:t xml:space="preserve">A camada de persistência de dados é estruturada sobre o Sistema Gerenciador de Banco de Dados (SGBD) relacional PostgreSQL, na versão 18.0, sendo o utilitário pgAdmin 4 a ferramenta adotada para a administração das tabelas e consultas georreferenciadas.</w:t>
      </w:r>
      <w:r/>
    </w:p>
    <w:p>
      <w:pPr>
        <w:pBdr>
          <w:top w:val="none" w:color="000000" w:sz="4" w:space="0"/>
          <w:left w:val="none" w:color="000000" w:sz="4" w:space="0"/>
          <w:bottom w:val="none" w:color="000000" w:sz="4" w:space="0"/>
          <w:right w:val="none" w:color="000000" w:sz="4" w:space="0"/>
        </w:pBdr>
        <w:spacing/>
        <w:ind/>
        <w:rPr/>
      </w:pPr>
      <w:r>
        <w:t xml:space="preserve">A mod</w:t>
      </w:r>
      <w:r>
        <w:t xml:space="preserve">elagem conceitual e lógica do banco de dados são realizadas por meio do software Ideas Modeler, em sua versão acadêmica. Para as funcionalidades de geoprocessamento utilizam-se os serviços externos de mapas do OpenStreetMap e de geocodificação do Nominatim</w:t>
      </w:r>
      <w:r>
        <w:rPr>
          <w:highlight w:val="white"/>
        </w:rPr>
        <w:t xml:space="preserve">, com versões limitadas para testes. </w:t>
      </w:r>
      <w:r/>
    </w:p>
    <w:p>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w:t>
      </w:r>
      <w:r>
        <w:t xml:space="preserve">automação de rotinas de testes unitários, utilizam-se os modelos de linguagem de grande escala (LLM) OpenAI GPT-4 e Gemini Pro.  A utilização dessas ferramentas de inteligência artificial obedece a uma política de privacidade e revisão humana rigorosa: nen</w:t>
      </w:r>
      <w:r>
        <w:t xml:space="preserve">hum dado pessoal de usuários, código sensível de produção ou informação confidencial do projeto é compartilhado com os modelos de linguagem externos. As interações com as ferramentas de IA limitam-se a consultas de refatoração com trechos de código anonimi</w:t>
      </w:r>
      <w:r>
        <w:t xml:space="preserve">zados e geração de testes unitários sintéticos. Toda sugestão gerada por IA é obrigatoriamente revisada e validada por um membro da equipe antes de ser incorporada ao código-fonte ou à documentação, em conformidade com os princípios da LGPD (Brasil, 2018).</w:t>
      </w:r>
      <w:r/>
    </w:p>
    <w:p>
      <w:pPr>
        <w:pBdr>
          <w:top w:val="none" w:color="000000" w:sz="4" w:space="0"/>
          <w:left w:val="none" w:color="000000" w:sz="4" w:space="0"/>
          <w:bottom w:val="none" w:color="000000" w:sz="4" w:space="0"/>
          <w:right w:val="none" w:color="000000" w:sz="4" w:space="0"/>
        </w:pBdr>
        <w:spacing/>
        <w:ind/>
        <w:rPr/>
      </w:pPr>
      <w:r>
        <w:t xml:space="preserve">A verificação do sistema de software apoia-se em um conjunto próprio de ferramentas. Os testes unitários e os testes de unidades aninhadas são escritos com o JUnit 5 (Jupiter), na versão distribuída c</w:t>
      </w:r>
      <w:r>
        <w:t xml:space="preserve">om o Spring Boot 3.5.0; a simulação das dependências de cada unidade sob teste é feita com o Mockito, e as asserções empregam a biblioteca AssertJ. Os testes da camada de apresentação da interface de programação de aplicações utilizam o MockMvc, do módulo </w:t>
      </w:r>
      <w:r>
        <w:rPr>
          <w:i/>
        </w:rPr>
        <w:t xml:space="preserve">spring-boot-starter-test</w:t>
      </w:r>
      <w:r>
        <w:t xml:space="preserve">. A execução da bateria e a apuração dos resultados ficam a cargo do Apache Maven, na versão 3.9.9, por meio do plugin </w:t>
      </w:r>
      <w:r>
        <w:rPr>
          <w:i/>
        </w:rPr>
        <w:t xml:space="preserve">Maven Surefire</w:t>
      </w:r>
      <w:r>
        <w:t xml:space="preserve">, que produz os relatórios de execução reunidos no Apêndice J.</w:t>
      </w:r>
      <w:r/>
    </w:p>
    <w:p>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código-fonte do </w:t>
      </w:r>
      <w:r>
        <w:rPr>
          <w:i/>
        </w:rPr>
        <w:t xml:space="preserve">back-end</w:t>
      </w:r>
      <w:r>
        <w:t xml:space="preserve">; o npm, que cumpre a mesma função para a PWA do </w:t>
      </w:r>
      <w:r>
        <w:rPr>
          <w:i/>
        </w:rPr>
        <w:t xml:space="preserve">front-end</w:t>
      </w:r>
      <w:r>
        <w:t xml:space="preserve">;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Diretrizes para elaboração de trabalhos acadêmicos da FAI (Pereira, 2025) é feito com o Microsoft Word 2019 (versão proprietária).</w:t>
      </w:r>
      <w:r/>
    </w:p>
    <w:p>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Amazon Web Services (AWS), plataforma de compu</w:t>
      </w:r>
      <w:r>
        <w:t xml:space="preserve">tação em Nuvem que oferecerá escalabilidade, alta disponibilidade e segurança gerenciada. Os serviços previstos incluem o Amazon EC2 para hospedagem das instâncias do servidor de aplicação, o Amazon RDS para o gerenciamento do banco de dados PostgreSQL com</w:t>
      </w:r>
      <w:r>
        <w:rPr>
          <w:i/>
        </w:rPr>
        <w:t xml:space="preserve"> backups</w:t>
      </w:r>
      <w:r>
        <w:t xml:space="preserve"> aut</w:t>
      </w:r>
      <w:r>
        <w:t xml:space="preserve">omáticos, o Amazon S3 para armazenamento de imagens e arquivos anexos às ocorrências, e o AWS IAM para controle de identidade e acessos. A infraestrutura AWS também proverá certificados SSL/TLS via AWS Certificate Manager e proteção contra ataques via AWS </w:t>
      </w:r>
      <w:r>
        <w:rPr>
          <w:i/>
        </w:rPr>
        <w:t xml:space="preserve">Shield</w:t>
      </w:r>
      <w:r>
        <w:t xml:space="preserve">, garantindo a conformidade com os requisitos de segurança definidos pela especificação do projeto.</w:t>
      </w:r>
      <w:r/>
    </w:p>
    <w:p>
      <w:pPr>
        <w:pBdr>
          <w:top w:val="none" w:color="000000" w:sz="4" w:space="0"/>
          <w:left w:val="none" w:color="000000" w:sz="4" w:space="0"/>
          <w:bottom w:val="none" w:color="000000" w:sz="4" w:space="0"/>
          <w:right w:val="none" w:color="000000" w:sz="4" w:space="0"/>
        </w:pBdr>
        <w:spacing/>
        <w:ind/>
        <w:rPr/>
      </w:pPr>
      <w:r>
        <w:t xml:space="preserve">Independentemente da infraestrutura prevista para a produção, o sistema já consome, em sua versão atual, serviços de terceiros hospedados e</w:t>
      </w:r>
      <w:r>
        <w:t xml:space="preserve">m Nuvem: o Cloudinary, plataforma de armazenamento e de transformação de imagens, utilizado no plano gratuito para guardar as fotografias anexadas às ocorrências e aplicar o desfoque automático dos rostos de pessoas e dos textos, como as placas de veículos</w:t>
      </w:r>
      <w:r>
        <w:t xml:space="preserve"> (RF20 e RNF14); os serviços cartográficos OpenStreetMap e Nominatim (RNF10); o servidor de correio eletrônico do Gmail, para as mensagens transacionais; e o aplicativo SMS Gateway for Android, para os códigos de verificação em duas etapas por SMS (RNF12).</w:t>
      </w:r>
      <w:r/>
    </w:p>
    <w:p>
      <w:pPr>
        <w:pStyle w:val="1639"/>
        <w:pBdr/>
        <w:spacing/>
        <w:ind/>
        <w:rPr/>
      </w:pPr>
      <w:r/>
      <w:bookmarkStart w:id="112" w:name="_Toc22"/>
      <w:r>
        <w:t xml:space="preserve">4.3.4 Outros Recursos</w:t>
      </w:r>
      <w:r/>
      <w:bookmarkEnd w:id="112"/>
      <w:r/>
      <w:r/>
    </w:p>
    <w:p>
      <w:pPr>
        <w:pBdr>
          <w:top w:val="none" w:color="000000" w:sz="4" w:space="0"/>
          <w:left w:val="none" w:color="000000" w:sz="4" w:space="0"/>
          <w:bottom w:val="none" w:color="000000" w:sz="4" w:space="0"/>
          <w:right w:val="none" w:color="000000" w:sz="4" w:space="0"/>
        </w:pBdr>
        <w:spacing/>
        <w:ind/>
        <w:rPr/>
      </w:pPr>
      <w:r>
        <w:t xml:space="preserve">Para a etapa de conclusão e divulgação, são necessários recursos financeiros destinados à confecção de materiais de exposição (</w:t>
      </w:r>
      <w:r>
        <w:rPr>
          <w:i/>
        </w:rPr>
        <w:t xml:space="preserve">banners </w:t>
      </w:r>
      <w:r>
        <w:t xml:space="preserve">e </w:t>
      </w:r>
      <w:r>
        <w:rPr>
          <w:i/>
        </w:rPr>
        <w:t xml:space="preserve">stands</w:t>
      </w:r>
      <w:r>
        <w:t xml:space="preserve">) para expos</w:t>
      </w:r>
      <w:r>
        <w:t xml:space="preserve">ições na Feira de Tecnologia e Empreendedorismo da FAI (Faitec), além da infraestrutura de rede necessária para a hospedagem e testes de integração do sistema de software e atividades de extensão deste projeto para a comunidade externa (vide Apêndice L).  </w:t>
      </w:r>
      <w:r/>
    </w:p>
    <w:p>
      <w:pPr>
        <w:pBdr>
          <w:top w:val="none" w:color="000000" w:sz="4" w:space="0"/>
          <w:left w:val="none" w:color="000000" w:sz="4" w:space="0"/>
          <w:bottom w:val="none" w:color="000000" w:sz="4" w:space="0"/>
          <w:right w:val="none" w:color="000000" w:sz="4" w:space="0"/>
        </w:pBdr>
        <w:spacing/>
        <w:ind/>
        <w:rPr/>
      </w:pPr>
      <w:r/>
      <w:r/>
    </w:p>
    <w:p>
      <w:pPr>
        <w:pStyle w:val="1638"/>
        <w:pBdr/>
        <w:spacing/>
        <w:ind/>
        <w:rPr/>
      </w:pPr>
      <w:r/>
      <w:bookmarkStart w:id="113" w:name="_Toc23"/>
      <w:r>
        <w:t xml:space="preserve">4.4 RELATÓRIO DE DESEMPENHO</w:t>
      </w:r>
      <w:r>
        <w:t xml:space="preserve"> </w:t>
      </w:r>
      <w:r/>
      <w:bookmarkEnd w:id="113"/>
      <w:r/>
      <w:r/>
    </w:p>
    <w:p>
      <w:pPr>
        <w:pBdr/>
        <w:spacing/>
        <w:ind/>
        <w:rPr/>
      </w:pPr>
      <w:r>
        <w:t xml:space="preserve">Durante a Fase 1 do projeto, foram realizadas as etapas iniciais de planejamento, levantamento de requisitos e estruturação da solução proposta.</w:t>
      </w:r>
      <w:r/>
    </w:p>
    <w:p>
      <w:pPr>
        <w:pBdr/>
        <w:spacing/>
        <w:ind/>
        <w:rPr/>
      </w:pPr>
      <w:r>
        <w:t xml:space="preserve">Entre as principais atividades desenvolvidas, destacam-se:</w:t>
      </w:r>
      <w:r/>
    </w:p>
    <w:p>
      <w:pPr>
        <w:pStyle w:val="1847"/>
        <w:numPr>
          <w:ilvl w:val="0"/>
          <w:numId w:val="22"/>
        </w:numPr>
        <w:pBdr/>
        <w:spacing/>
        <w:ind/>
        <w:jc w:val="left"/>
        <w:rPr/>
      </w:pPr>
      <w:r>
        <w:t xml:space="preserve">definição do problema e dos objetivos do projeto;</w:t>
      </w:r>
      <w:r/>
    </w:p>
    <w:p>
      <w:pPr>
        <w:pStyle w:val="1847"/>
        <w:numPr>
          <w:ilvl w:val="0"/>
          <w:numId w:val="22"/>
        </w:numPr>
        <w:pBdr/>
        <w:spacing/>
        <w:ind/>
        <w:jc w:val="left"/>
        <w:rPr/>
      </w:pPr>
      <w:r>
        <w:t xml:space="preserve">levantamento e análise dos requisitos funcionais e não funcionais;</w:t>
      </w:r>
      <w:r/>
    </w:p>
    <w:p>
      <w:pPr>
        <w:pStyle w:val="1847"/>
        <w:numPr>
          <w:ilvl w:val="0"/>
          <w:numId w:val="22"/>
        </w:numPr>
        <w:pBdr/>
        <w:spacing/>
        <w:ind/>
        <w:jc w:val="left"/>
        <w:rPr/>
      </w:pPr>
      <w:r>
        <w:t xml:space="preserve">elaboração da arquitetura do sistema;</w:t>
      </w:r>
      <w:r/>
    </w:p>
    <w:p>
      <w:pPr>
        <w:pStyle w:val="1847"/>
        <w:numPr>
          <w:ilvl w:val="0"/>
          <w:numId w:val="22"/>
        </w:numPr>
        <w:pBdr/>
        <w:spacing/>
        <w:ind/>
        <w:jc w:val="left"/>
        <w:rPr/>
      </w:pPr>
      <w:r>
        <w:t xml:space="preserve">desenvolvimento inicial do código dos componentes de </w:t>
      </w:r>
      <w:r>
        <w:rPr>
          <w:i/>
        </w:rPr>
        <w:t xml:space="preserve">back-end</w:t>
      </w:r>
      <w:r>
        <w:t xml:space="preserve"> e </w:t>
      </w:r>
      <w:r>
        <w:rPr>
          <w:i/>
        </w:rPr>
        <w:t xml:space="preserve">front-end</w:t>
      </w:r>
      <w:r>
        <w:t xml:space="preserve">;</w:t>
      </w:r>
      <w:r/>
    </w:p>
    <w:p>
      <w:pPr>
        <w:pStyle w:val="1847"/>
        <w:numPr>
          <w:ilvl w:val="0"/>
          <w:numId w:val="22"/>
        </w:numPr>
        <w:pBdr/>
        <w:spacing/>
        <w:ind/>
        <w:jc w:val="left"/>
        <w:rPr/>
      </w:pPr>
      <w:r>
        <w:t xml:space="preserve">elaboração da documentação técnica do projeto.</w:t>
      </w:r>
      <w:r/>
    </w:p>
    <w:p>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r/>
    </w:p>
    <w:p>
      <w:pPr>
        <w:pBdr/>
        <w:spacing/>
        <w:ind/>
        <w:rPr/>
      </w:pPr>
      <w:r>
        <w:t xml:space="preserve">De forma geral, a Fase 1 permitiu estabelecer uma base sólida para o desenvolvimento do sistema, garantindo organização, clareza nos objetivos e viabilidade técnica da solução proposta.</w:t>
      </w:r>
      <w:r/>
    </w:p>
    <w:p>
      <w:pPr>
        <w:pBdr/>
        <w:spacing/>
        <w:ind/>
        <w:rPr/>
      </w:pPr>
      <w:r>
        <w:t xml:space="preserve">Na Fase 2, o progresso da equipe manteve-se alinhado ao cronograma planejado para o ano de 2026, com foco no alcance dos itens de entrega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w:t>
      </w:r>
      <w:r>
        <w:rPr>
          <w:i/>
        </w:rPr>
        <w:t xml:space="preserve">back-end</w:t>
      </w:r>
      <w:r>
        <w:t xml:space="preserve"> e</w:t>
      </w:r>
      <w:r>
        <w:rPr>
          <w:i/>
        </w:rPr>
        <w:t xml:space="preserve"> front-end </w:t>
      </w:r>
      <w:r>
        <w:t xml:space="preserve">do sistema de software</w:t>
      </w:r>
      <w:r>
        <w:rPr>
          <w:i/>
        </w:rPr>
        <w:t xml:space="preserve">,</w:t>
      </w:r>
      <w:r>
        <w:t xml:space="preserve"> na elaboração da bateria de testes automatizados da camada de serviços e na complementação dos a</w:t>
      </w:r>
      <w:r>
        <w:t xml:space="preserve">rtefatos de projeto da interação humano-computador e de sistema distribuído. O ritmo de entrega manteve-se aderente ao cronograma, tendo sido concluída a implementação de todos os requisitos funcionais especificados no Capítulo 5, com a ressalva do RF18, c</w:t>
      </w:r>
      <w:r>
        <w:t xml:space="preserve">uja implementação encontra-se parcial e será completada na Fase 4. Foram executados 232 casos de teste automatizados sem ocorrência de falhas, conforme detalhado no Capítulo 8. Ademais, o projeto foi apresentado na Faitec, entre os dias 30/09 e 02/10/2026.</w:t>
      </w:r>
      <w:r/>
    </w:p>
    <w:p>
      <w:pPr>
        <w:pBdr/>
        <w:spacing/>
        <w:ind/>
        <w:rPr/>
      </w:pPr>
      <w:r>
        <w:t xml:space="preserve">A principal dificuldade enfrentada nesta fase decorreu da decisão arquitetural de utilizar o acesso a dados por meio de </w:t>
      </w:r>
      <w:r>
        <w:rPr>
          <w:i/>
        </w:rPr>
        <w:t xml:space="preserve">Java Database Connectivity </w:t>
      </w:r>
      <w:r>
        <w:t xml:space="preserve">(JDBC), sem o auxílio de um mapeador objeto-relacional, o que transferiu para a equipe a respo</w:t>
      </w:r>
      <w:r>
        <w:t xml:space="preserve">nsabilidade integral pela escrita e pela manutenção das instruções de consulta e pelo mapeamento dos resultados. Essa opção elevou o esforço de codificação da camada de persistência, mas trouxe como contrapartida o controle explícito sobre as consultas geo</w:t>
      </w:r>
      <w:r>
        <w:t xml:space="preserve">rreferenciadas e sobre o uso dos índices, aspecto discutido na Seção 7.3. Uma segunda dificuldade relevante foi a integração assíncrona com o serviço externo de processamento de mídias, que exigiu a adoção de um mecanismo de consulta periódica do estado do</w:t>
      </w:r>
      <w:r>
        <w:t xml:space="preserve"> envio para não bloquear a interface do usuário durante o carregamento das fotografias. Por fim, a avaliação do desempenho da equipe na Fase 3 é considerada satisfatória, com cumprimento dos prazos e das metas de codificação estabelecidas no planejamento. </w:t>
      </w:r>
      <w:r/>
    </w:p>
    <w:p>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pPr>
        <w:pBdr/>
        <w:spacing/>
        <w:ind/>
        <w:rPr/>
      </w:pPr>
      <w:r/>
      <w:r/>
    </w:p>
    <w:p>
      <w:pPr>
        <w:pStyle w:val="1638"/>
        <w:pBdr/>
        <w:spacing/>
        <w:ind/>
        <w:rPr/>
      </w:pPr>
      <w:r/>
      <w:bookmarkStart w:id="114" w:name="_Toc24"/>
      <w:r>
        <w:t xml:space="preserve">4.5 GERENCIAMENTO DE CONFIGURAÇÃO</w:t>
      </w:r>
      <w:r/>
      <w:bookmarkEnd w:id="114"/>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
    </w:p>
    <w:p>
      <w:pPr>
        <w:pStyle w:val="1639"/>
        <w:pBdr/>
        <w:tabs>
          <w:tab w:val="left" w:leader="none" w:pos="3301"/>
        </w:tabs>
        <w:spacing/>
        <w:ind/>
        <w:rPr/>
      </w:pPr>
      <w:r/>
      <w:bookmarkStart w:id="115" w:name="_Toc25"/>
      <w:r>
        <w:t xml:space="preserve">4.5.1 Papéis e Responsabilidades</w:t>
      </w:r>
      <w:r>
        <w:tab/>
      </w:r>
      <w:r/>
      <w:bookmarkEnd w:id="115"/>
      <w:r/>
      <w:r/>
    </w:p>
    <w:p>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pelo time Scrum, a fim de assegurar uma melhor gestão de configuração.</w:t>
      </w:r>
      <w:r/>
    </w:p>
    <w:p>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diretrizes acadêmicas da FAI na elaboração do projeto.</w:t>
      </w:r>
      <w:r/>
    </w:p>
    <w:p>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pPr>
        <w:pBdr>
          <w:top w:val="none" w:color="000000" w:sz="4" w:space="0"/>
          <w:left w:val="none" w:color="000000" w:sz="4" w:space="0"/>
          <w:bottom w:val="none" w:color="000000" w:sz="4" w:space="0"/>
          <w:right w:val="none" w:color="000000" w:sz="4" w:space="0"/>
        </w:pBdr>
        <w:spacing/>
        <w:ind/>
        <w:rPr/>
      </w:pPr>
      <w:r/>
      <w:r/>
    </w:p>
    <w:p>
      <w:pPr>
        <w:pStyle w:val="1639"/>
        <w:pBdr/>
        <w:tabs>
          <w:tab w:val="left" w:leader="none" w:pos="3301"/>
        </w:tabs>
        <w:spacing/>
        <w:ind/>
        <w:rPr/>
      </w:pPr>
      <w:r/>
      <w:bookmarkStart w:id="116" w:name="_Toc26"/>
      <w:r>
        <w:t xml:space="preserve">4.5.2 Identificação e Versionamento de Artefatos</w:t>
      </w:r>
      <w:r/>
      <w:bookmarkEnd w:id="116"/>
      <w:r/>
      <w:r/>
    </w:p>
    <w:p>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pPr>
        <w:pBdr>
          <w:top w:val="none" w:color="000000" w:sz="4" w:space="0"/>
          <w:left w:val="none" w:color="000000" w:sz="4" w:space="0"/>
          <w:bottom w:val="none" w:color="000000" w:sz="4" w:space="0"/>
          <w:right w:val="none" w:color="000000" w:sz="4" w:space="0"/>
        </w:pBdr>
        <w:spacing/>
        <w:ind/>
        <w:rPr/>
      </w:pPr>
      <w:r>
        <w:t xml:space="preserve">Além do padrão de nomenclatu</w:t>
      </w:r>
      <w:r>
        <w:t xml:space="preserve">ra do relatório técnico, os demais artefatos do projeto seguem a convenção FalaCidade_[Artefato]_v[N], em que [Artefato] é um nome descritivo grafado em CamelCase, sem espaços, sem acentuação e sem caracteres especiais, e [N] é o número da versão, incremen</w:t>
      </w:r>
      <w:r>
        <w:t xml:space="preserve">tado a cada entrega — a exemplo de FalaCidade_DER_v3.drawio, FalaCidade_DicionarioDados_v3.xlsx e FalaCidade_PlanilhaGestaoRiscos_v1.xlsx. A pasta do apêndice identifica o contexto do artefato, razão pela qual o nome não o repete. Os diagramas exportados d</w:t>
      </w:r>
      <w:r>
        <w:t xml:space="preserve">o arquivo único da ferramenta Ideas Modeler recebem o prefixo do tipo de diagrama, como em FalaCidade_DiagramaCasosDeUso_ModuloAutenticacao.png. Os relatórios de desempenho conservam a nomenclatura prescrita pelo modelo de documento da instituição (FAI_SI_</w:t>
      </w:r>
      <w:r>
        <w:t xml:space="preserve">PFC_Fase[N]_RelatoriodeDesempenho). Os scripts do modelo físico do banco de dados adotam a forma FalaCidade_[DDL|DML]_[Finalidade].sql. As pastas do repositório de código-fonte são nomeadas em letras minúsculas, sem espaços, com hífen como separador; e as </w:t>
      </w:r>
      <w:r>
        <w:rPr>
          <w:i/>
        </w:rPr>
        <w:t xml:space="preserve">branches</w:t>
      </w:r>
      <w:r>
        <w:t xml:space="preserve"> Git seguem os padrões feature/[descricao], fix/[descricao] e docs/[descricao].</w:t>
      </w:r>
      <w:r/>
    </w:p>
    <w:p>
      <w:pPr>
        <w:pBdr>
          <w:top w:val="none" w:color="000000" w:sz="4" w:space="0"/>
          <w:left w:val="none" w:color="000000" w:sz="4" w:space="0"/>
          <w:bottom w:val="none" w:color="000000" w:sz="4" w:space="0"/>
          <w:right w:val="none" w:color="000000" w:sz="4" w:space="0"/>
        </w:pBdr>
        <w:spacing/>
        <w:ind/>
        <w:rPr/>
      </w:pPr>
      <w:r/>
      <w:r/>
    </w:p>
    <w:p>
      <w:pPr>
        <w:pStyle w:val="1639"/>
        <w:pBdr/>
        <w:tabs>
          <w:tab w:val="left" w:leader="none" w:pos="3301"/>
        </w:tabs>
        <w:spacing/>
        <w:ind/>
        <w:rPr/>
      </w:pPr>
      <w:r/>
      <w:bookmarkStart w:id="117" w:name="_Toc27"/>
      <w:r>
        <w:t xml:space="preserve">4.5.3 Organização do Repositório e Ferramentas</w:t>
      </w:r>
      <w:r/>
      <w:bookmarkEnd w:id="117"/>
      <w:r/>
      <w:r/>
    </w:p>
    <w:p>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w:t>
      </w:r>
      <w:r>
        <w:rPr>
          <w:i/>
        </w:rPr>
        <w:t xml:space="preserve">Portable Document Format</w:t>
      </w:r>
      <w:r>
        <w:t xml:space="preserve"> (PDF).</w:t>
      </w:r>
      <w:r/>
    </w:p>
    <w:p>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codificação, o repositório passou a abrigar também o código-fonte do sistema de software, organizado no diretório “codificacao” e subdividido pelos componentes de </w:t>
      </w:r>
      <w:r>
        <w:rPr>
          <w:i/>
        </w:rPr>
        <w:t xml:space="preserve">back-end</w:t>
      </w:r>
      <w:r>
        <w:t xml:space="preserve"> e </w:t>
      </w:r>
      <w:r>
        <w:rPr>
          <w:i/>
        </w:rPr>
        <w:t xml:space="preserve">front-end</w:t>
      </w:r>
      <w:r>
        <w:t xml:space="preserve">. A esse diretório aplica-se um arquivo de exclusões que impede o versionamento de artefatos gerados automaticamente pelas ferramentas de construção — os diretórios </w:t>
      </w:r>
      <w:r>
        <w:rPr>
          <w:i/>
        </w:rPr>
        <w:t xml:space="preserve">target</w:t>
      </w:r>
      <w:r>
        <w:t xml:space="preserve"> e </w:t>
      </w:r>
      <w:r>
        <w:rPr>
          <w:i/>
        </w:rPr>
        <w:t xml:space="preserve">node_modules</w:t>
      </w:r>
      <w:r>
        <w:t xml:space="preserve">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automatizada, com rastreabilidade integral de autoria e de data para cada alteração.</w:t>
      </w:r>
      <w:r/>
    </w:p>
    <w:p>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5</w:t>
        <w:fldChar w:fldCharType="end"/>
        <w:t xml:space="preserve"> - Estrutura do repositório remoto no GitHub</w:t>
      </w:r>
      <w:r/>
    </w:p>
    <w:p>
      <w:pPr>
        <w:pBdr/>
        <w:spacing/>
        <w:ind/>
        <w:rPr/>
      </w:pPr>
      <w:r>
        <w:t xml:space="preserve">A seguir, este documento traz a especificação de requisitos para o sistema de software do “Fala, Cidade!”.</w:t>
      </w:r>
      <w:r/>
    </w:p>
    <w:p>
      <w:pPr>
        <w:pBdr/>
        <w:spacing w:after="0" w:line="240" w:lineRule="auto"/>
        <w:ind/>
        <w:jc w:val="left"/>
        <w:rPr/>
      </w:pPr>
      <w:r>
        <w:br w:type="page" w:clear="all"/>
      </w:r>
      <w:r/>
    </w:p>
    <w:p>
      <w:pPr>
        <w:pStyle w:val="1637"/>
        <w:pBdr/>
        <w:spacing/>
        <w:ind/>
        <w:rPr/>
      </w:pPr>
      <w:r/>
      <w:bookmarkStart w:id="118" w:name="_Toc28"/>
      <w:r>
        <w:t xml:space="preserve">5 ESPECIFICAÇÃO E ANÁLISE DOS REQUISITOS</w:t>
      </w:r>
      <w:r/>
      <w:bookmarkEnd w:id="118"/>
      <w:r/>
      <w:r/>
    </w:p>
    <w:p>
      <w:pPr>
        <w:pBdr/>
        <w:spacing/>
        <w:ind/>
        <w:rPr/>
      </w:pPr>
      <w:r>
        <w:t xml:space="preserve">Este capítulo apresenta a definição e a</w:t>
      </w:r>
      <w:r>
        <w:t xml:space="preserve">nálise dos requisitos do sistema de software do “Fala, Cidade!”, incluindo os requisitos funcionais, não funcionais, regras de negócio e a análise dos requisitos, com o objetivo de garantir clareza, consistência e viabilidade no desenvolvimento do projeto.</w:t>
      </w:r>
      <w:r/>
    </w:p>
    <w:p>
      <w:pPr>
        <w:pBdr/>
        <w:spacing/>
        <w:ind/>
        <w:rPr/>
      </w:pPr>
      <w:r/>
      <w:r/>
    </w:p>
    <w:p>
      <w:pPr>
        <w:pStyle w:val="1638"/>
        <w:pBdr/>
        <w:spacing/>
        <w:ind/>
        <w:rPr/>
      </w:pPr>
      <w:r/>
      <w:bookmarkStart w:id="119" w:name="_Toc29"/>
      <w:r>
        <w:t xml:space="preserve">5.1 REQUISITOS DO SISTEMA DE SOFTWARE</w:t>
      </w:r>
      <w:r/>
      <w:bookmarkEnd w:id="119"/>
      <w:r/>
      <w:r/>
    </w:p>
    <w:p>
      <w:pPr>
        <w:pBdr/>
        <w:spacing/>
        <w:ind/>
        <w:rPr/>
      </w:pPr>
      <w:r>
        <w:t xml:space="preserve">Esta seção apresenta os requisitos de sistema e descreve suas características e restrições. Os requisitos estão organizados em funcionais, não funcionais e regras d</w:t>
      </w:r>
      <w:r>
        <w:t xml:space="preserve">e negócio, servindo como base para o desenvolvimento do sistema e garantindo que a solução atenda às necessidades dos usuários. Cada requisito é classificado segundo a sua prioridade de atendimento: essencial, importante ou desejável. Conforme preconiza o </w:t>
      </w:r>
      <w:r>
        <w:rPr>
          <w:i/>
        </w:rPr>
        <w:t xml:space="preserve">framework </w:t>
      </w:r>
      <w:r>
        <w:t xml:space="preserve">Scrum esses requisitos compõem o </w:t>
      </w:r>
      <w:r>
        <w:rPr>
          <w:i/>
        </w:rPr>
        <w:t xml:space="preserve">backlog </w:t>
      </w:r>
      <w:r>
        <w:t xml:space="preserve">do produto e são adaptáveis às necessidades das partes interessadas.</w:t>
      </w:r>
      <w:r/>
    </w:p>
    <w:p>
      <w:pPr>
        <w:pBdr/>
        <w:spacing/>
        <w:ind/>
        <w:rPr/>
      </w:pPr>
      <w:r/>
      <w:r/>
    </w:p>
    <w:p>
      <w:pPr>
        <w:pStyle w:val="1639"/>
        <w:pBdr/>
        <w:spacing/>
        <w:ind/>
        <w:rPr/>
      </w:pPr>
      <w:r/>
      <w:bookmarkStart w:id="120" w:name="_Toc30"/>
      <w:r>
        <w:t xml:space="preserve">5.1.1 Requisitos Funcionais</w:t>
      </w:r>
      <w:r/>
      <w:bookmarkEnd w:id="120"/>
      <w:r/>
      <w:r/>
    </w:p>
    <w:p>
      <w:pPr>
        <w:pBdr/>
        <w:spacing/>
        <w:ind/>
        <w:rPr/>
      </w:pPr>
      <w:r>
        <w:t xml:space="preserve">RF01 – Cadastro de usuário</w:t>
      </w:r>
      <w:r/>
    </w:p>
    <w:p>
      <w:pPr>
        <w:pBdr/>
        <w:spacing/>
        <w:ind/>
        <w:rPr/>
      </w:pPr>
      <w:r>
        <w:t xml:space="preserve">Descrição: o sistema deverá permitir que o usuário com perfil de cidadão realize seu</w:t>
      </w:r>
      <w:r>
        <w:t xml:space="preserve"> cadastro informando nome, e-mail, senha, data de nascimento e o município de residência. O cadastro registrará ainda o número do telefone, de preenchimento facultativo, e a unidade federativa (UF) do município de residência. O preenchimento será assistido</w:t>
      </w:r>
      <w:r>
        <w:t xml:space="preserve"> com as siglas das UFs apresentadas em lista de sugestão e os municípios serão selecionados após a escolha da UF, a partir da relação de localidades do Instituto Brasileiro de Geografia e Estatística, o que evita grafias divergentes para o mesmo município.</w:t>
      </w:r>
      <w:r/>
    </w:p>
    <w:p>
      <w:pPr>
        <w:pBdr/>
        <w:spacing/>
        <w:ind/>
        <w:rPr/>
      </w:pPr>
      <w:r>
        <w:t xml:space="preserve">O cadastro deverá ser conduzido em seis etapas sucessivas, cada uma dedicada a uma única pergunta — o nome; o e-mail; a data de nascimento e o telefone; a unidade federativa e o município; a senha e a sua confir</w:t>
      </w:r>
      <w:r>
        <w:t xml:space="preserve">mação; e o aceite dos termos de uso e da política de privacidade (RF02), com a opção de ativar a verificação em duas etapas por e-mail —, acompanhadas de barra de progresso com a indicação “Etapa X de 6”. Cada etapa será avaliada antes do avanço, e o usuár</w:t>
      </w:r>
      <w:r>
        <w:t xml:space="preserve">io poderá retornar às anteriores sem perda dos dados já informados. A data de nascimento será informada no formato comum ao brasileiro (dd/mm/aaaa), com máscara de digitação, e somente será aceita quando corresponder à uma data existente no calendário, não</w:t>
      </w:r>
      <w:r>
        <w:t xml:space="preserve"> futura e não anterior a 1900. O número do telefone, quando informado, deverá ser único para o sistema (RN01); e havendo e-mail ou telefone já cadastrado em outra conta, o sistema deverá retornar à etapa do campo repetido e apresentar um aviso junto a ele.</w:t>
      </w:r>
      <w:r/>
    </w:p>
    <w:p>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pPr>
        <w:pBdr/>
        <w:spacing/>
        <w:ind/>
        <w:rPr/>
      </w:pPr>
      <w:r>
        <w:t xml:space="preserve">Prioridade: essencial.</w:t>
      </w:r>
      <w:r/>
    </w:p>
    <w:p>
      <w:pPr>
        <w:pBdr/>
        <w:spacing/>
        <w:ind/>
        <w:rPr/>
      </w:pPr>
      <w:r>
        <w:t xml:space="preserve">RF02 – Aceite dos termos de uso e políticas de privacidade</w:t>
      </w:r>
      <w:r/>
    </w:p>
    <w:p>
      <w:pPr>
        <w:pBdr/>
        <w:spacing/>
        <w:ind/>
        <w:rPr/>
      </w:pPr>
      <w:r>
        <w:t xml:space="preserve">Descrição: o sistema deverá solicitar que o usuário confirme a leitura e o aceite aos termos de uso e à política de privacidade (em conformidade com a LGPD) antes de concluir o cadastro.</w:t>
      </w:r>
      <w:r/>
    </w:p>
    <w:p>
      <w:pPr>
        <w:pBdr/>
        <w:spacing/>
        <w:ind/>
        <w:rPr/>
      </w:pPr>
      <w:r>
        <w:t xml:space="preserve">Prioridade: essencial.</w:t>
      </w:r>
      <w:r/>
    </w:p>
    <w:p>
      <w:pPr>
        <w:pBdr/>
        <w:spacing/>
        <w:ind/>
        <w:rPr/>
      </w:pPr>
      <w:r>
        <w:t xml:space="preserve">RF03 – Autenticação de usuário</w:t>
      </w:r>
      <w:r/>
    </w:p>
    <w:p>
      <w:pPr>
        <w:pBdr/>
        <w:spacing/>
        <w:ind/>
        <w:rPr/>
      </w:pPr>
      <w:r>
        <w:t xml:space="preserve">Descrição: o sistema deverá permitir o acesso seguro de um usuário mediante validação de e-mail e senha, conforme exigência para o cadastro.</w:t>
      </w:r>
      <w:r/>
    </w:p>
    <w:p>
      <w:pPr>
        <w:pBdr/>
        <w:spacing/>
        <w:ind/>
        <w:rPr/>
      </w:pPr>
      <w:r>
        <w:t xml:space="preserve">Prioridade: essencial.</w:t>
      </w:r>
      <w:r/>
    </w:p>
    <w:p>
      <w:pPr>
        <w:pBdr/>
        <w:spacing/>
        <w:ind/>
        <w:rPr/>
      </w:pPr>
      <w:r>
        <w:t xml:space="preserve">RF04 – Atualização de dados cadastrais</w:t>
      </w:r>
      <w:r/>
    </w:p>
    <w:p>
      <w:pPr>
        <w:pBdr/>
        <w:spacing/>
        <w:ind/>
        <w:rPr/>
      </w:pPr>
      <w:r>
        <w:t xml:space="preserve">Descrição: o sistema deverá permitir que o usuário já autenticado consiga alterar seus dados de perfil e configurar suas opções de privacidade.</w:t>
      </w:r>
      <w:r/>
    </w:p>
    <w:p>
      <w:pPr>
        <w:pBdr/>
        <w:spacing/>
        <w:ind/>
        <w:rPr/>
      </w:pPr>
      <w:r>
        <w:t xml:space="preserve">Prioridade: essencial.</w:t>
      </w:r>
      <w:r/>
    </w:p>
    <w:p>
      <w:pPr>
        <w:pBdr/>
        <w:spacing/>
        <w:ind/>
        <w:rPr/>
      </w:pPr>
      <w:r>
        <w:t xml:space="preserve">RF05 – Recuperação de senha da conta de usuário</w:t>
      </w:r>
      <w:r/>
    </w:p>
    <w:p>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pPr>
        <w:pBdr/>
        <w:spacing/>
        <w:ind/>
        <w:rPr/>
      </w:pPr>
      <w:r>
        <w:t xml:space="preserve">Prioridade: essencial.</w:t>
      </w:r>
      <w:r/>
    </w:p>
    <w:p>
      <w:pPr>
        <w:pBdr/>
        <w:spacing/>
        <w:ind/>
        <w:rPr/>
      </w:pPr>
      <w:r>
        <w:t xml:space="preserve">RF06 – Exclusão definitiva de conta de usuário</w:t>
      </w:r>
      <w:r/>
    </w:p>
    <w:p>
      <w:pPr>
        <w:pBdr/>
        <w:spacing/>
        <w:ind/>
        <w:rPr/>
      </w:pPr>
      <w:r>
        <w:t xml:space="preserve">Descrição: o sistema deverá disponibilizar ao usuário a opção de encerrar sua conta, realizando a exclusão definitiva e anonimização de seus dados pessoais em conformidade com a LGPD. Caso o usuário possua autentica</w:t>
      </w:r>
      <w:r>
        <w:t xml:space="preserve">ção multifator (MFA) ativa, o sistema exigirá a confirmação por meio de um código válido antes de efetivar a exclusão, obtido por qualquer dos métodos ativos na conta — aplicativo autenticador, e-mail ou mensagem SMS enviada ao telefone celular confirmado.</w:t>
      </w:r>
      <w:r/>
    </w:p>
    <w:p>
      <w:pPr>
        <w:pBdr/>
        <w:spacing/>
        <w:ind/>
        <w:rPr/>
      </w:pPr>
      <w:r>
        <w:t xml:space="preserve">Prioridade: essencial.</w:t>
      </w:r>
      <w:r/>
    </w:p>
    <w:p>
      <w:pPr>
        <w:pBdr/>
        <w:spacing/>
        <w:ind/>
        <w:rPr/>
      </w:pPr>
      <w:r>
        <w:t xml:space="preserve">RF07 – Registro de ocorrência identificada</w:t>
      </w:r>
      <w:r/>
    </w:p>
    <w:p>
      <w:pPr>
        <w:pBdr/>
        <w:spacing/>
        <w:ind/>
        <w:rPr/>
      </w:pPr>
      <w:r>
        <w:t xml:space="preserve">Descrição: o sistema deverá permitir que um usuário aute</w:t>
      </w:r>
      <w:r>
        <w:t xml:space="preserve">nticado registre uma ocorrência contendo: título, descrição detalhada, categoria, nível de prioridade, foto(s) anexa(s), endereço e localização precisa. O sistema gerará automaticamente a data de registro, data de atualização e um número de protocolo único</w:t>
      </w:r>
      <w:r>
        <w:t xml:space="preserve"> para acompanhamento. O sistema permitirá anexar até 3 (três) fotos por ocorrência e enviará um e-mail de confirmação ao autor com o número de protocolo gerado. O sistema deve limitar o registro de até 5 (cinco) ocorrências identificadas por usuário por di</w:t>
      </w:r>
      <w:r>
        <w:t xml:space="preserve">a.  O número de protocolo segue o formato FC-AA-XXXXX, em que FC identifica o sistema “Fala, Cidade!”, AA corresponde aos dois últimos algarismos do ano do registro e XXXXX é uma sequência de cinco caracteres sorteados por gerador criptograficamente seguro</w:t>
      </w:r>
      <w:r>
        <w:t xml:space="preserve"> de um alfabeto de 32 símbolos — as letras maiúsculas e os algarismos, excluídos os visualmente ambíguos I, O, 0 e 1 —, por exemplo, FC-26-7K3QM; a unicidade é verificada no banco de dados antes da gravação, com novo sorteio em caso de coincidência (RN02).</w:t>
      </w:r>
      <w:r/>
    </w:p>
    <w:p>
      <w:pPr>
        <w:pBdr/>
        <w:spacing/>
        <w:ind/>
        <w:rPr/>
      </w:pPr>
      <w:r>
        <w:t xml:space="preserve">Prioridade: essencial.</w:t>
      </w:r>
      <w:r/>
    </w:p>
    <w:p>
      <w:pPr>
        <w:pBdr/>
        <w:spacing/>
        <w:ind/>
        <w:rPr/>
      </w:pPr>
      <w:r>
        <w:t xml:space="preserve">RF08 – Registro de ocorrência anônima</w:t>
      </w:r>
      <w:r/>
    </w:p>
    <w:p>
      <w:pPr>
        <w:pBdr/>
        <w:spacing/>
        <w:ind/>
        <w:rPr/>
      </w:pPr>
      <w:r>
        <w:t xml:space="preserve">Descrição: o sistema deverá permitir o envio de ocorrência sem autenticação. Será solicitado apenas os dados da ocorrência (título, descrição, endereço e foto(s)), sem coletar dados identificáveis do usuário que deseja informar a ocorrência.</w:t>
      </w:r>
      <w:r/>
    </w:p>
    <w:p>
      <w:pPr>
        <w:pBdr/>
        <w:spacing/>
        <w:ind/>
        <w:rPr>
          <w:color w:val="00b050"/>
        </w:rPr>
      </w:pPr>
      <w:r>
        <w:t xml:space="preserve">O sistema limitará o envio a 3 (três) ocorrências anônimas por dispositivo por dia, identificadas por um endereço IP, a fim de evitar o envio massivo e garantir a qualidade dos registros. </w:t>
      </w:r>
      <w:r>
        <w:rPr>
          <w:color w:val="00b050"/>
        </w:rPr>
        <w:t xml:space="preserve">O sistema apresentará um aviso sobre os termos de uso e da política de privacidade e solicitará a confirmação para o registro em modo anônimo.</w:t>
      </w:r>
      <w:r>
        <w:rPr>
          <w:color w:val="00b050"/>
        </w:rPr>
      </w:r>
      <w:r>
        <w:rPr>
          <w:color w:val="00b050"/>
        </w:rPr>
      </w:r>
    </w:p>
    <w:p w14:paraId="569AF6B5" w14:textId="77777777">
      <w:pPr>
        <w:pBdr/>
        <w:spacing/>
        <w:ind/>
        <w:rPr/>
      </w:pPr>
      <w:r>
        <w:t xml:space="preserve">Para acessar o sistema sem autenticação, como visitante, será obrigatória a escolha do município: ao optar pela entrada anônima, o fundo da tela é desfocado e é aberta a caixa de diálogo “Qual é o seu município?”, na qual o visitant</w:t>
      </w:r>
      <w:r>
        <w:t xml:space="preserve">e informa a unidade federativa e o município, a partir da relação de localidades do Instituto Brasileiro de Geografia e Estatística, ou aciona a opção “Usar minha localização”, que tenta identificar o município pela localização do aparelho por até cinco se</w:t>
      </w:r>
      <w:r>
        <w:t xml:space="preserve">gundos. Sem município escolhido, o visitante não acessa nenhuma tela do sistema: a guarda de rotas o devolve à tela de autenticação, com a caixa de diálogo aberta. O mapa e as listagens do visitante abrem no município escolhido, e a troca de município é fe</w:t>
      </w:r>
      <w:r>
        <w:t xml:space="preserve">ita pelo botão “Alterar”, exibido na barra superior ao lado do nome do município em uso, e não pelos filtros das telas, que para o visitante não apresentam o seletor de município (RF24). O município escolhido é descartado quando o visitante sai do sistema.</w:t>
      </w:r>
      <w:r/>
    </w:p>
    <w:p>
      <w:pPr>
        <w:pBdr/>
        <w:spacing/>
        <w:ind/>
        <w:rPr/>
      </w:pPr>
      <w:r>
        <w:t xml:space="preserve">Prioridade: essencial.</w:t>
      </w:r>
      <w:r/>
    </w:p>
    <w:p>
      <w:pPr>
        <w:pBdr>
          <w:top w:val="none" w:color="000000" w:sz="4" w:space="0"/>
          <w:left w:val="none" w:color="000000" w:sz="4" w:space="0"/>
          <w:bottom w:val="none" w:color="000000" w:sz="4" w:space="0"/>
          <w:right w:val="none" w:color="000000" w:sz="4" w:space="0"/>
        </w:pBdr>
        <w:spacing/>
        <w:ind/>
        <w:rPr/>
      </w:pPr>
      <w:r>
        <w:t xml:space="preserve">RF09 – Geolocalização</w:t>
      </w:r>
      <w:r/>
    </w:p>
    <w:p>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w:t>
      </w:r>
      <w:r>
        <w:t xml:space="preserve">a capturar a localização atual via API de geolocalização. Caso o usuário negue ou o recurso esteja indisponível, o sistema deverá exigir o preenchimento manual do endereço completo (logradouro, número, bairro e município). A autorização de uso da localizaç</w:t>
      </w:r>
      <w:r>
        <w:t xml:space="preserve">ão é solicitada pelo próprio navegador na abertura da página de autenticação — e, para quem já está autenticado, na abertura na página inicial, enquanto não houver município escolhido —, no computador ou no dispositivo móvel, com a finalidade de definir o </w:t>
      </w:r>
      <w:r>
        <w:t xml:space="preserve">município exibido nas páginas de consulta: concedida a autorização, as páginas abriram no município em que o usuário se encontrar; recusada, ou indisponível o recurso — aparelho sem receptor de sinal ou provedor de localização bloqueado por extensão do nav</w:t>
      </w:r>
      <w:r>
        <w:t xml:space="preserve">egador —, serão exibidas as ocorrências de todos os municípios, sem prejuízo de qualquer outra função do sistema. Para o visitante, contudo, a recusa ou a indisponibilidade da localização não dispensa a escolha do município, obrigatória nos termos do RF08.</w:t>
      </w:r>
      <w:r/>
    </w:p>
    <w:p>
      <w:pPr>
        <w:pBdr/>
        <w:spacing/>
        <w:ind/>
        <w:rPr/>
      </w:pPr>
      <w:r>
        <w:t xml:space="preserve">Prioridade: essencial.</w:t>
      </w:r>
      <w:r/>
    </w:p>
    <w:p>
      <w:pPr>
        <w:pBdr/>
        <w:spacing/>
        <w:ind/>
        <w:rPr/>
      </w:pPr>
      <w:r>
        <w:t xml:space="preserve">RF10 – Classificação e priorização</w:t>
      </w:r>
      <w:r/>
    </w:p>
    <w:p>
      <w:pPr>
        <w:pBdr/>
        <w:spacing/>
        <w:ind/>
        <w:rPr/>
      </w:pPr>
      <w:r>
        <w:t xml:space="preserve">Descrição: o sistema deverá permitir que o usuário classifique a ocorrência em categorias de zeladoria urbana (por exemplo, iluminação pública ou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pPr>
        <w:pBdr/>
        <w:spacing/>
        <w:ind/>
        <w:rPr/>
      </w:pPr>
      <w:r>
        <w:t xml:space="preserve">Prioridade: importante.</w:t>
      </w:r>
      <w:r/>
    </w:p>
    <w:p>
      <w:pPr>
        <w:pBdr/>
        <w:spacing/>
        <w:ind/>
        <w:rPr/>
      </w:pPr>
      <w:r>
        <w:t xml:space="preserve">RF11 – Acompanhamento de protocolo </w:t>
      </w:r>
      <w:r/>
    </w:p>
    <w:p>
      <w:pPr>
        <w:pBdr/>
        <w:spacing/>
        <w:ind/>
        <w:rPr/>
      </w:pPr>
      <w:r>
        <w:t xml:space="preserve">Descrição: o sistema deverá permitir a consulta do status da ocorrência (“Pendente”, “Em Andamento”, “Concluída”, “Indeferida” ou “Finalizada”, com apresentação da respectiva justificativa quando aplicável) mediante a inserção d</w:t>
      </w:r>
      <w:r>
        <w:t xml:space="preserve">o número de protocolo gerado no RF07 ou RF08. O status “Finalizada” identifica a ocorrência excluída pelo Super Administrador (RF25), é definitivo e somente é visível a esse perfil; para os demais perfis e para os visitantes, a consulta pelo protocolo ou p</w:t>
      </w:r>
      <w:r>
        <w:t xml:space="preserve">elo código de acompanhamento anônimo informará que a ocorrência não foi encontrada. O sistema também permitirá que usuários não autenticados (visitantes) visualizem as ocorrências registradas; o apoio a uma ocorrência (RF27), contudo, exigirá autenticação.</w:t>
      </w:r>
      <w:r/>
    </w:p>
    <w:p w14:paraId="569AF6B5" w14:textId="77777777">
      <w:pPr>
        <w:pBdr/>
        <w:spacing/>
        <w:ind/>
        <w:rPr/>
      </w:pPr>
      <w:r>
        <w:t xml:space="preserve">O número de protocolo é aco</w:t>
      </w:r>
      <w:r>
        <w:t xml:space="preserve">mpanhado, em todas as telas em que é exibido — o detalhe da ocorrência, os cartões da listagem e da tela inicial, as estatísticas, o grupo de ocorrências agrupadas e a caixa de diálogo de exclusão —, de botão que o copia para a área de transferência; o mes</w:t>
      </w:r>
      <w:r>
        <w:t xml:space="preserve">mo recurso é oferecido para o código de acompanhamento da ocorrência anônima, cuja advertência “Este código não será exibido novamente.” é apresentada em destaque, em negrito e em tamanho maior. Os campos de código são preenchidos automaticamente a partir </w:t>
      </w:r>
      <w:r>
        <w:t xml:space="preserve">da área de transferência quando o conteúdo copiado tem o formato esperado: o código de verificação em duas etapas, de seis dígitos, na tela de autenticação e em “Meu Perfil”, qualquer que seja o método; o código de acompanhamento da ocorrência anônima, de </w:t>
      </w:r>
      <w:r>
        <w:t xml:space="preserve">oito caracteres; e o código de recuperação de senha, de oito caracteres. Os campos de código de seis dígitos são declarados como código de uso único (autocomplete="one-time-code"), de modo que o teclado do celular sugira o código recebido por mensagem SMS.</w:t>
      </w:r>
      <w:r/>
    </w:p>
    <w:p>
      <w:pPr>
        <w:pBdr/>
        <w:spacing/>
        <w:ind/>
        <w:rPr/>
      </w:pPr>
      <w:r>
        <w:t xml:space="preserve">Prioridade: essencial.</w:t>
      </w:r>
      <w:r/>
    </w:p>
    <w:p>
      <w:pPr>
        <w:pBdr/>
        <w:spacing/>
        <w:ind/>
        <w:rPr/>
      </w:pPr>
      <w:r>
        <w:t xml:space="preserve">RF12 – Painel administrativo para atualização</w:t>
      </w:r>
      <w:r/>
    </w:p>
    <w:p>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w:t>
      </w:r>
      <w:r>
        <w:t xml:space="preserve">tar o encadeamento de ocorrências similares: quando o algoritmo de detecção de duplicidade (RF16) identificar ocorrências com localização geográfica a até 70 metros, medidos em linha reta,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pPr>
        <w:pBdr/>
        <w:spacing/>
        <w:ind/>
        <w:rPr/>
      </w:pPr>
      <w:r>
        <w:t xml:space="preserve">O acesso aos dados pessoais sensíveis da ocorrência — como nome comp</w:t>
      </w:r>
      <w:r>
        <w:t xml:space="preserve">leto, e-mail e demais dados de identificação do denunciante — é restrito. No painel administrativo, esses dados serão exibidos apenas para perfis Funcionário e Administrador. O próprio cidadão que registrar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pPr>
        <w:pBdr/>
        <w:spacing/>
        <w:ind/>
        <w:rPr>
          <w:color w:val="ff0000"/>
        </w:rPr>
      </w:pPr>
      <w:r>
        <w:t xml:space="preserve">Prioridade: essencial.</w:t>
      </w:r>
      <w:r>
        <w:rPr>
          <w:color w:val="ff0000"/>
        </w:rPr>
      </w:r>
      <w:r>
        <w:rPr>
          <w:color w:val="ff0000"/>
        </w:rPr>
      </w:r>
    </w:p>
    <w:p>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r/>
    </w:p>
    <w:p>
      <w:pPr>
        <w:pBdr/>
        <w:spacing/>
        <w:ind/>
        <w:rPr/>
      </w:pPr>
      <w:r>
        <w:t xml:space="preserve">O sistema distinguirá quatro perfis identificados, conforme a seguir:</w:t>
      </w:r>
      <w:r/>
    </w:p>
    <w:p>
      <w:pPr>
        <w:pStyle w:val="1847"/>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pPr>
        <w:pStyle w:val="1847"/>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pPr>
        <w:pStyle w:val="1847"/>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pPr>
        <w:pStyle w:val="1847"/>
        <w:numPr>
          <w:ilvl w:val="0"/>
          <w:numId w:val="42"/>
        </w:numPr>
        <w:pBdr/>
        <w:spacing/>
        <w:ind/>
        <w:rPr>
          <w:b/>
          <w:bCs/>
          <w:color w:val="000000"/>
          <w:szCs w:val="24"/>
        </w:rPr>
      </w:pPr>
      <w:r>
        <w:t xml:space="preserve">Super Administrador: perfil sem vinculação a município, com acesso a todos os municípios atendidos. É quem cria as contas de administra</w:t>
      </w:r>
      <w:r>
        <w:t xml:space="preserve">dor e de Super Administrador, define o município de cada administrador, administra qualquer conta, exclui ocorrências — que passam ao status “Finalizada” e deixam de ser exibidas aos demais perfis — e extrai os relatórios gerenciais do conjunto do sistema.</w:t>
      </w:r>
      <w:r>
        <w:rPr>
          <w:b/>
          <w:bCs/>
          <w:color w:val="000000"/>
          <w:szCs w:val="24"/>
        </w:rPr>
      </w:r>
      <w:r>
        <w:rPr>
          <w:b/>
          <w:bCs/>
          <w:color w:val="000000"/>
          <w:szCs w:val="24"/>
        </w:rPr>
      </w:r>
    </w:p>
    <w:p>
      <w:pPr>
        <w:pBdr/>
        <w:spacing/>
        <w:ind w:left="360"/>
        <w:rPr>
          <w:bCs/>
          <w:color w:val="000000"/>
          <w:szCs w:val="24"/>
        </w:rPr>
      </w:pPr>
      <w:r>
        <w:rPr>
          <w:bCs/>
          <w:color w:val="000000"/>
          <w:szCs w:val="24"/>
        </w:rPr>
        <w:t xml:space="preserve">Adicionalmente, constituem-se os seguintes usuários que não exigirão autenticação:</w:t>
      </w:r>
      <w:r>
        <w:rPr>
          <w:bCs/>
          <w:color w:val="000000"/>
          <w:szCs w:val="24"/>
        </w:rPr>
      </w:r>
      <w:r>
        <w:rPr>
          <w:bCs/>
          <w:color w:val="000000"/>
          <w:szCs w:val="24"/>
        </w:rPr>
      </w:r>
    </w:p>
    <w:p>
      <w:pPr>
        <w:pStyle w:val="1847"/>
        <w:numPr>
          <w:ilvl w:val="0"/>
          <w:numId w:val="43"/>
        </w:numPr>
        <w:pBdr/>
        <w:spacing/>
        <w:ind/>
        <w:rPr>
          <w:b/>
          <w:bCs/>
          <w:color w:val="000000"/>
          <w:szCs w:val="24"/>
        </w:rPr>
      </w:pPr>
      <w:r>
        <w:t xml:space="preserve">Visitante: usuário não autenticado que, escolhido o município a consultar (RF08), visualiza o map</w:t>
      </w:r>
      <w:r>
        <w:t xml:space="preserve">a, a relação de ocorrências e os indicadores do território, registra ocorrência anônima e acompanha a sua situação pelo protocolo ou pelo código de acompanhamento anônimo (RF11), sem acesso ao apoio às ocorrências (RF27) nem aos dados pessoais dos autores;</w:t>
      </w:r>
      <w:r>
        <w:rPr>
          <w:b/>
          <w:bCs/>
          <w:color w:val="000000"/>
          <w:szCs w:val="24"/>
        </w:rPr>
      </w:r>
      <w:r>
        <w:rPr>
          <w:b/>
          <w:bCs/>
          <w:color w:val="000000"/>
          <w:szCs w:val="24"/>
        </w:rPr>
      </w:r>
    </w:p>
    <w:p>
      <w:pPr>
        <w:pStyle w:val="1847"/>
        <w:numPr>
          <w:ilvl w:val="0"/>
          <w:numId w:val="43"/>
        </w:numPr>
        <w:pBdr/>
        <w:spacing/>
        <w:ind/>
        <w:rPr>
          <w:b/>
          <w:bCs/>
          <w:color w:val="000000"/>
          <w:szCs w:val="24"/>
        </w:rPr>
      </w:pPr>
      <w:r>
        <w:t xml:space="preserve">Técnico do departamento designado para atender à ocorrência: servidor do departamento municipal destinatário do encaminhamento (RF23), que não possui conta no sistema; acessa, pelo vínculo</w:t>
      </w:r>
      <w:r>
        <w:t xml:space="preserve"> recebido por correio eletrônico, a página do departamento com a ocorrência encaminhada e as do seu grupo, sem dados pessoais do autor, e, executado o serviço, solicita a conclusão com fotografia anexada (RF26), nos limites de escopo e de validade da RN11.</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pPr>
        <w:pBdr/>
        <w:spacing/>
        <w:ind/>
        <w:rPr>
          <w:b/>
          <w:bCs/>
          <w:color w:val="000000"/>
          <w:szCs w:val="24"/>
        </w:rPr>
      </w:pPr>
      <w:r>
        <w:rPr>
          <w:color w:val="000000"/>
        </w:rPr>
        <w:t xml:space="preserve">Descrição: o sistema</w:t>
      </w:r>
      <w:r>
        <w:rPr>
          <w:color w:val="000000"/>
        </w:rPr>
        <w:t xml:space="preserve"> deverá permitir que o perfil “Administrador” realize a manutenção dos usuários cadastrados. Isso incluirá a criação de contas para funcionários da gestão pública, bem como a visualização, edição de dados básicos ou inativação de contas, conforme as diretr</w:t>
      </w:r>
      <w:r>
        <w:rPr>
          <w:color w:val="000000"/>
        </w:rPr>
        <w:t xml:space="preserve">izes de governança. A manutenção observará o alcance de cada perfil: o Super Administrador administrará todas as contas do sistema, e o administrador municipal, exclusivamente as contas vinculadas ao seu município, e nunca as de Super Administrador (RN10).</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pPr>
        <w:pBdr/>
        <w:spacing/>
        <w:ind/>
        <w:rPr>
          <w:color w:val="000000"/>
          <w:szCs w:val="24"/>
        </w:rPr>
      </w:pPr>
      <w:r>
        <w:rPr>
          <w:color w:val="000000"/>
        </w:rPr>
        <w:t xml:space="preserve">RF16 – </w:t>
      </w:r>
      <w:r>
        <w:t xml:space="preserve">Agrupamento automático de ocorrências duplicadas</w:t>
      </w:r>
      <w:r>
        <w:rPr>
          <w:color w:val="000000"/>
          <w:szCs w:val="24"/>
        </w:rPr>
      </w:r>
      <w:r>
        <w:rPr>
          <w:color w:val="000000"/>
          <w:szCs w:val="24"/>
        </w:rPr>
      </w:r>
    </w:p>
    <w:p>
      <w:pPr>
        <w:pBdr/>
        <w:spacing/>
        <w:ind/>
        <w:rPr>
          <w:b/>
          <w:bCs/>
          <w:color w:val="000000"/>
          <w:szCs w:val="24"/>
        </w:rPr>
      </w:pPr>
      <w:r>
        <w:rPr>
          <w:color w:val="000000"/>
        </w:rPr>
        <w:t xml:space="preserve">Descrição: </w:t>
      </w:r>
      <w:r>
        <w:t xml:space="preserve">o sistema deverá verificar automaticamente, no ato do registro de um chamado, a existência de ocorrência ati</w:t>
      </w:r>
      <w:r>
        <w:t xml:space="preserve">va da mesma categoria a até 70 metros, medidos em linha reta. Detectada a similaridade, a nova ocorrência é registrada normalmente e agrupada de forma automática à ocorrência existente — ou ao grupo a que esta já pertença —, sem emissão de alerta prévio e </w:t>
      </w:r>
      <w:r>
        <w:t xml:space="preserve">sem exigir qualquer decisão do cidadão, de modo que a administração a visualize entre as ocorrências agrupadas e possa tratá-las coletivamente (RF12). Concluído o registro, o sistema informará ao cidadão que a sua ocorrência foi agrupada, com a indicação d</w:t>
      </w:r>
      <w:r>
        <w:t xml:space="preserve">o protocolo da ocorrência já existente. O apoio a uma ocorrência, que cada cidadão autenticado poderá registrar uma única vez em qualquer ocorrência, não guarda relação com o agrupamento e serve apenas de indicador para a priorização do atendimento (RF27).</w:t>
      </w:r>
      <w:r>
        <w:rPr>
          <w:b/>
          <w:bCs/>
          <w:color w:val="000000"/>
          <w:szCs w:val="24"/>
        </w:rPr>
      </w:r>
      <w:r>
        <w:rPr>
          <w:b/>
          <w:bCs/>
          <w:color w:val="000000"/>
          <w:szCs w:val="24"/>
        </w:rPr>
      </w:r>
    </w:p>
    <w:p>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pPr>
        <w:pBdr/>
        <w:spacing/>
        <w:ind/>
        <w:rPr/>
      </w:pPr>
      <w:r>
        <w:t xml:space="preserve">RF17 – Contato com os administradores do sistema</w:t>
      </w:r>
      <w:r/>
    </w:p>
    <w:p>
      <w:pPr>
        <w:pBdr/>
        <w:spacing/>
        <w:ind/>
        <w:rPr/>
      </w:pPr>
      <w:r>
        <w:t xml:space="preserve">Des</w:t>
      </w:r>
      <w:r>
        <w:t xml:space="preserve">crição: o sistema deverá permitir que os usuários entre em contato com os administradores do sistema por meio do preenchimento de um formulário disponível na página de Contatos para registro de pedidos de esclarecimentos, dúvidas, sugestões ou reclamações.</w:t>
      </w:r>
      <w:r/>
    </w:p>
    <w:p>
      <w:pPr>
        <w:pBdr/>
        <w:spacing/>
        <w:ind/>
        <w:rPr/>
      </w:pPr>
      <w:r>
        <w:t xml:space="preserve">Prioridade: essencial.</w:t>
      </w:r>
      <w:r/>
    </w:p>
    <w:p>
      <w:pPr>
        <w:pBdr/>
        <w:spacing/>
        <w:ind/>
        <w:rPr/>
      </w:pPr>
      <w:r>
        <w:t xml:space="preserve">RF18 – Acessibilidade </w:t>
      </w:r>
      <w:r/>
    </w:p>
    <w:p>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pPr>
        <w:pBdr/>
        <w:spacing/>
        <w:ind/>
        <w:rPr/>
      </w:pPr>
      <w:r>
        <w:t xml:space="preserve">Prioridade: essencial.</w:t>
      </w:r>
      <w:r/>
    </w:p>
    <w:p>
      <w:pPr>
        <w:pBdr>
          <w:top w:val="none" w:color="000000" w:sz="4" w:space="0"/>
          <w:left w:val="none" w:color="000000" w:sz="4" w:space="0"/>
          <w:bottom w:val="none" w:color="000000" w:sz="4" w:space="0"/>
          <w:right w:val="none" w:color="000000" w:sz="4" w:space="0"/>
        </w:pBdr>
        <w:spacing/>
        <w:ind/>
        <w:rPr/>
      </w:pPr>
      <w:r>
        <w:t xml:space="preserve">RF19 – Cadastro de funcionários de cada município</w:t>
      </w:r>
      <w:r/>
    </w:p>
    <w:p>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contas da ad</w:t>
      </w:r>
      <w:r>
        <w:t xml:space="preserve">ministração municipal. O administrador municipal cadastrará os funcionários do seu próprio município; o super administrador cadastrará qualquer perfil, em qualquer município, e é quem nomeará os administradores municipais, indicando o município de cada um.</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rPr>
          <w:highlight w:val="white"/>
        </w:rPr>
        <w:t xml:space="preserve">RF20 – Desfoque de imagens para preservação da privacidade</w:t>
      </w:r>
      <w:r>
        <w:t xml:space="preserve"> via Cloudinary</w:t>
      </w:r>
      <w:r/>
    </w:p>
    <w:p>
      <w:pPr>
        <w:pBdr/>
        <w:spacing/>
        <w:ind/>
        <w:rPr>
          <w:ins w:id="0" w:author="Rodrigo Romano" w:date="2026-06-19T00:00:00Z"/>
        </w:rPr>
      </w:pPr>
      <w:r>
        <w:t xml:space="preserve">Descrição: o sistema deverá aplicar automaticamente o desfoque (</w:t>
      </w:r>
      <w:r>
        <w:rPr>
          <w:i/>
        </w:rPr>
        <w:t xml:space="preserve">blur</w:t>
      </w:r>
      <w:r>
        <w:t xml:space="preserve">) e</w:t>
      </w:r>
      <w:r>
        <w:t xml:space="preserve">m regiões das imagens que possam identificar pessoas, rostos ou placas de veículos, por meio da API Cloudinary, antes de armazenar e exibir as fotos anexadas às ocorrências. O objetivo será preservar a privacidade dos envolvidos em conformidade com a LGPD.</w:t>
      </w:r>
      <w:ins w:id="1" w:author="Rodrigo Romano" w:date="2026-06-19T00:00:00Z">
        <w:r/>
      </w:ins>
    </w:p>
    <w:p>
      <w:pPr>
        <w:pBdr/>
        <w:spacing/>
        <w:ind/>
        <w:rPr/>
      </w:pPr>
      <w:r>
        <w:t xml:space="preserve">Prioridade: importante.</w:t>
      </w:r>
      <w:r/>
    </w:p>
    <w:p>
      <w:pPr>
        <w:pBdr/>
        <w:spacing/>
        <w:ind/>
        <w:rPr>
          <w:highlight w:val="white"/>
        </w:rPr>
      </w:pPr>
      <w:r>
        <w:rPr>
          <w:highlight w:val="white"/>
        </w:rPr>
        <w:t xml:space="preserve">RF21 – Visualização de ocorrências no mapa geográfico</w:t>
      </w:r>
      <w:r>
        <w:rPr>
          <w:highlight w:val="white"/>
        </w:rPr>
      </w:r>
      <w:r>
        <w:rPr>
          <w:highlight w:val="white"/>
        </w:rPr>
      </w:r>
    </w:p>
    <w:p>
      <w:pPr>
        <w:pBdr/>
        <w:spacing/>
        <w:ind/>
        <w:rPr>
          <w:ins w:id="2" w:author="Rodrigo Romano" w:date="2026-06-19T00:00:00Z"/>
        </w:rPr>
      </w:pPr>
      <w:r>
        <w:t xml:space="preserve">Descrição: o sistema deverá exibir as ocorrências registradas em um mapa geográfi</w:t>
      </w:r>
      <w:r>
        <w:t xml:space="preserve">co interativo, utilizando a API do OpenStreetMap, permitindo que administradores e funcionários visualizem a distribuição espacial dos problemas urbanos por bairro, categoria e status. O ciclo de vida da ocorrência no mapa seguirá os seguintes estados: (1)</w:t>
      </w:r>
      <w:r>
        <w:t xml:space="preserve"> Pendente — ocorrência recém-registrada, exibida em vermelho no mapa; (2) Em Andamento — ocorrência em atendimento pela secretaria responsável, exibida em amarelo; (3) Concluída — intervenção concluída, exibida em verde; (4) Indeferida — ocorrência não ate</w:t>
      </w:r>
      <w:r>
        <w:t xml:space="preserve">ndida com justificativa, exibida em cinza; (5) Finalizada — ocorrência excluída pelo super administrador (RF25), em caráter definitivo, que não será exibida no mapa, mas apenas na listagem de ocorrências do super administrador, em preto. A transição entre </w:t>
      </w:r>
      <w:r>
        <w:t xml:space="preserve">estados é realizada pelos perfis de funcionário ou administrador via painel administrativo (RF12), com atualização automática da representação gráfica no mapa; o estado de finalizado, por sua vez, é atribuído exclusivamente pela exclusão da ocorrência. A v</w:t>
      </w:r>
      <w:r>
        <w:t xml:space="preserve">isualização deverá ainda dispor de um seletor de município, que recortará simultaneamente o mapa, os indicadores da situação das ocorrências e a relação das ocorrências recentes; a seleção de um município deslocará o mapa até ele, e a opção “Todos os munic</w:t>
      </w:r>
      <w:r>
        <w:t xml:space="preserve">ípios” restabelecerá a visão global, oferecida quando houver mais de um município (RF24). O seletor relacionará os municípios que possuem ocorrências registradas, acrescidos do município do cadastro do usuário autenticado e daquele identificado pela locali</w:t>
      </w:r>
      <w:r>
        <w:t xml:space="preserve">zação, ainda que neles não exista ocorrência. As ocorrências agrupadas (RF16) são representadas no mapa por um único marcador — o ponto de status com borda colorida e um selo com a quantidade de ocorrências do grupo, na cor do status mais frequente entre e</w:t>
      </w:r>
      <w:r>
        <w:t xml:space="preserve">las —; ao clique, os pontos das ocorrências abrem-se em leque ao redor do centro, com animação breve, e o ponto central torna-se translúcido, e um novo clique os recolhe. A legenda do mapa inclui o item “Agrupadas”, e a animação é suprimida quando o sistem</w:t>
      </w:r>
      <w:r>
        <w:t xml:space="preserve">a operacional do usuário estiver configurado para movimento reduzido. Todas as ocorrências dotadas de coordenadas geográficas são exibidas no mapa; somente as desprovidas de coordenadas dependem da geocodificação do endereço, limitada a trinta ocorrências.</w:t>
      </w:r>
      <w:ins w:id="3" w:author="Rodrigo Romano" w:date="2026-06-19T00:00:00Z">
        <w:r/>
      </w:ins>
    </w:p>
    <w:p>
      <w:pPr>
        <w:pBdr/>
        <w:spacing/>
        <w:ind/>
        <w:rPr/>
      </w:pPr>
      <w:r>
        <w:t xml:space="preserve">Prioridade: importante.</w:t>
      </w:r>
      <w:r/>
    </w:p>
    <w:p>
      <w:pPr>
        <w:pBdr/>
        <w:spacing/>
        <w:ind/>
        <w:rPr/>
      </w:pPr>
      <w:r>
        <w:t xml:space="preserve">RF22 – Cadastro de departamentos municipais</w:t>
      </w:r>
      <w:r/>
    </w:p>
    <w:p>
      <w:pPr>
        <w:pBdr/>
        <w:spacing/>
        <w:ind/>
        <w:rPr/>
      </w:pPr>
      <w:r>
        <w:t xml:space="preserve">Descrição: o sistema deverá permitir que os perfis “Funcionário da administr</w:t>
      </w:r>
      <w:r>
        <w:t xml:space="preserve">ação pública” e “Administrador” consultem a relação dos departamentos municipais cadastrados — secretarias, autarquias e demais setores responsáveis pela execução dos serviços de zeladoria — e registrem novos departamentos, informando o nome, o endereço de</w:t>
      </w:r>
      <w:r>
        <w:t xml:space="preserve"> correio eletrônico institucional, a unidade federativa e o município. O perfil Funcionário consultará e cadastrará exclusivamente os departamentos do município em que está lotado; o perfil Administrador operará sobre a totalidade dos municípios atendidos.</w:t>
      </w:r>
      <w:r/>
    </w:p>
    <w:p>
      <w:pPr>
        <w:pBdr/>
        <w:spacing/>
        <w:ind/>
        <w:rPr/>
      </w:pPr>
      <w:r>
        <w:t xml:space="preserve">Prioridade: essencial.</w:t>
      </w:r>
      <w:r/>
    </w:p>
    <w:p>
      <w:pPr>
        <w:pBdr/>
        <w:spacing/>
        <w:ind/>
        <w:rPr/>
      </w:pPr>
      <w:r>
        <w:t xml:space="preserve">RF23 – Encaminhamento de ocorrência ao departamento responsável</w:t>
      </w:r>
      <w:r/>
    </w:p>
    <w:p>
      <w:pPr>
        <w:pBdr/>
        <w:spacing/>
        <w:ind/>
        <w:rPr/>
      </w:pPr>
      <w:r>
        <w:t xml:space="preserve">Descrição: o sistema deverá permitir que o funcionário encaminhe a ocorrência ao departamento </w:t>
      </w:r>
      <w:r>
        <w:t xml:space="preserve">competente do município, selecionando-o em relação apresentada na própria página de detalhamento da ocorrência. O encaminhamento expedirá uma mensagem de correio eletrônico ao endereço do departamento contendo o número de protocolo, a categoria, a priorida</w:t>
      </w:r>
      <w:r>
        <w:t xml:space="preserve">de, o endereço, a data de registro, o relato e as fotografias anexadas, suprimido qualquer dado pessoal do autor. Concluída a expedição, o sistema alterará o estado da ocorrência para “Em Andamento” e registra no histórico o trâmite “Ocorrência encaminhada</w:t>
      </w:r>
      <w:r>
        <w:t xml:space="preserve"> para departamento responsável”, com a identificação do departamento destinatário. A mensagem apresenta ainda o vínculo “Ver o local no mapa”, da plataforma OpenStreetMap, e o vínculo “Abrir a rota no Google Maps”; o botão “Ver / responder ocorrência”, que</w:t>
      </w:r>
      <w:r>
        <w:t xml:space="preserve"> conduz, por vínculo de acesso próprio, à página do departamento descrita no RF26; e, sob a indicação “Qualquer dúvida entre em contato:”, os endereços de correio eletrônico de quem encaminhou a ocorrência e dos administradores do município, sem repetição.</w:t>
      </w:r>
      <w:r/>
    </w:p>
    <w:p>
      <w:pPr>
        <w:pBdr/>
        <w:spacing/>
        <w:ind/>
        <w:rPr/>
      </w:pPr>
      <w:r>
        <w:t xml:space="preserve">Recebida a mensagem, o departamento acessa a ocorrência pelo botão “Ver / responder ocorrência” e, executado o serviço, solicita a conclusão com fotografia anexada (RF26). A equipe do município exami</w:t>
      </w:r>
      <w:r>
        <w:t xml:space="preserve">na a solicitação: confirma a conclusão, o que muda o estado para “Concluída” e notifica o autor identificado por correio eletrônico, ou, não sendo a fotografia suficiente, reencaminha a ocorrência ao mesmo departamento, o que expede novo vínculo de acesso.</w:t>
      </w:r>
      <w:r/>
    </w:p>
    <w:p>
      <w:pPr>
        <w:pBdr/>
        <w:spacing/>
        <w:ind/>
        <w:rPr/>
      </w:pPr>
      <w:r>
        <w:t xml:space="preserve">Prioridade: essencial.</w:t>
      </w:r>
      <w:r/>
    </w:p>
    <w:p>
      <w:pPr>
        <w:pBdr/>
        <w:spacing/>
        <w:ind/>
        <w:rPr/>
      </w:pPr>
      <w:r>
        <w:t xml:space="preserve">RF24 – Segmentação das ocorrências por município</w:t>
      </w:r>
      <w:r/>
    </w:p>
    <w:p>
      <w:pPr>
        <w:pBdr/>
        <w:spacing/>
        <w:ind/>
        <w:rPr/>
      </w:pPr>
      <w:r>
        <w:t xml:space="preserve">Descrição: o sistema deverá vincular cada ocorrência ao município e à unidade federativa do endereço informado no ato do registro, e não ao município de cadastro do seu au</w:t>
      </w:r>
      <w:r>
        <w:t xml:space="preserve">tor, de modo que o cidadão poderá registrar ocorrências em qualquer município. O tratamento da ocorrência — alteração de estado, encaminhamento e conclusão — é restrito à equipe do município do endereço, na forma da RN07. Ao cidadão é facultada a consulta </w:t>
      </w:r>
      <w:r>
        <w:t xml:space="preserve">às ocorrências de qualquer município, por meio do seletor descrito no RF21. O sistema deverá ainda informar ao cidadão, no ato do registro, quando o município do endereço não possuir equipe cadastrada, hipótese em que a ocorrência é registrada e mantida so</w:t>
      </w:r>
      <w:r>
        <w:t xml:space="preserve">b o respectivo protocolo até a adesão do município. Quando houver um único município disponível, o filtro de município apresenta apenas esse município, já selecionado, sem a opção “Todos os municípios”, o que se aplica à tela inicial e às listagens de ocor</w:t>
      </w:r>
      <w:r>
        <w:t xml:space="preserve">rências, de departamentos, de usuários e de logs. Para o visitante, o filtro de município não é exibido na tela inicial nem na listagem de ocorrências: o território consultado é o município escolhido no acesso, alterado pelo botão da barra superior (RF08).</w:t>
      </w:r>
      <w:r/>
    </w:p>
    <w:p>
      <w:pPr>
        <w:pBdr/>
        <w:spacing/>
        <w:ind/>
        <w:rPr/>
      </w:pPr>
      <w:r>
        <w:t xml:space="preserve">Prioridade: essencial.</w:t>
      </w:r>
      <w:r/>
    </w:p>
    <w:p>
      <w:pPr>
        <w:pBdr/>
        <w:spacing/>
        <w:ind/>
        <w:rPr/>
      </w:pPr>
      <w:r>
        <w:t xml:space="preserve">RF25 – Perfil super administrador e delegação municipal</w:t>
      </w:r>
      <w:r/>
    </w:p>
    <w:p>
      <w:pPr>
        <w:pBdr/>
        <w:spacing/>
        <w:ind/>
        <w:rPr/>
      </w:pPr>
      <w:r>
        <w:t xml:space="preserve">Descr</w:t>
      </w:r>
      <w:r>
        <w:t xml:space="preserve">ição: o sistema deverá dispor do perfil Super Administrador, sem vinculação a município e responsável pela administração do sistema como um todo. Compete-lhe criar contas de qualquer perfil — inclusive de outros Super Administradores e dos administradores </w:t>
      </w:r>
      <w:r>
        <w:t xml:space="preserve">municipais —, indicar o município de cada administrador, administrar qualquer conta e acessar, sem restrição territorial, as ocorrências, os departamentos e os relatórios de todos os municípios atendidos. Compete-lhe ainda, com exclusividade, a exclusão de</w:t>
      </w:r>
      <w:r>
        <w:t xml:space="preserve"> ocorrências, precedida de caixa de diálogo de confirmação que exibirá o protocolo e o título da ocorrência e advertirá sobre a irreversibilidade da ação; a permissão será verificada no servidor, que recusará a operação a qualquer outro perfil e à requisiç</w:t>
      </w:r>
      <w:r>
        <w:t xml:space="preserve">ão sem autenticação. A exclusão será lógica: a ocorrência não será apagada do banco de dados, mas passará para o status “Finalizada”, com o registro da mudança no histórico de trâmite; as fotografias serão removidas do serviço de armazenamento de mídias e </w:t>
      </w:r>
      <w:r>
        <w:t xml:space="preserve">do banco de dados, ao passo que os apoios, o histórico e o vínculo com o grupo serão preservados. O autor identificado será notificado por correio eletrônico de que a ocorrência foi excluída pela administração e ela deixará de ser exibida no aplicativo, e </w:t>
      </w:r>
      <w:r>
        <w:t xml:space="preserve">a exclusão será registrada com a identificação do autor, do protocolo, do título e do município. A ocorrência finalizada ficará visível apenas ao super administrador, na listagem e nas estatísticas, e não será exposta no mapa de qualquer tipo de usuário e </w:t>
      </w:r>
      <w:r>
        <w:rPr>
          <w:highlight w:val="yellow"/>
        </w:rPr>
        <w:t xml:space="preserve"> deixará de ser apresentada nas listagens, nas </w:t>
      </w:r>
      <w:r>
        <w:rPr>
          <w:highlight w:val="red"/>
        </w:rPr>
        <w:t xml:space="preserve">estatísticas,</w:t>
      </w:r>
      <w:r>
        <w:rPr>
          <w:highlight w:val="yellow"/>
        </w:rPr>
        <w:t xml:space="preserve"> no grupo e </w:t>
      </w:r>
      <w:r>
        <w:rPr>
          <w:highlight w:val="red"/>
        </w:rPr>
        <w:t xml:space="preserve">no histórico, </w:t>
      </w:r>
      <w:r>
        <w:rPr>
          <w:highlight w:val="yellow"/>
        </w:rPr>
        <w:t xml:space="preserve">e </w:t>
      </w:r>
      <w:r>
        <w:t xml:space="preserve">as consultas pelo identificador, pelo protocolo ou pelo código de acompanhamento anônimo. O status “Finalizada” é definitivo: a ocorrência finalizada não poderá ser reaberta nem ter o status alterado, inclusive pela atualização coletiva</w:t>
      </w:r>
      <w:r>
        <w:t xml:space="preserve"> do grupo, que a desconsiderará, e esse status não poderá ser atribuído pela alteração de status comum, mas somente pela exclusão. O administrador municipal, por sua vez, atuará exclusivamente no município que lhe foi atribuído: tratará as suas ocorrências</w:t>
      </w:r>
      <w:r>
        <w:t xml:space="preserve">, cadastrará os seus departamentos e administrará as contas a ele vinculadas, incluída a criação de funcionários, vedada a criação ou a alteração de contas de administrador. A primeira conta de Super Administrador é a conta de origem do sistema (admin@fala</w:t>
      </w:r>
      <w:r>
        <w:t xml:space="preserve">cidade.com), cadastrada pelo script de carga inicial na primeira execução — ou, em base de dados já existente, promovida a esse perfil pelo script de criação e migração das tabelas —, e é a partir dela que as demais contas da administração são cadastradas.</w:t>
      </w:r>
      <w:r>
        <w:rPr>
          <w:highlight w:val="yellow"/>
        </w:rPr>
      </w:r>
      <w:r/>
    </w:p>
    <w:p w14:paraId="569AF6B5" w14:textId="77777777">
      <w:pPr>
        <w:pBdr/>
        <w:spacing/>
        <w:ind/>
        <w:rPr/>
      </w:pPr>
      <w:r>
        <w:t xml:space="preserve">O botão de exclusão é oferecido na listagem de ocorrências</w:t>
      </w:r>
      <w:r>
        <w:t xml:space="preserve"> e na tela de detalhe da ocorrência. Não integrando a ocorrência um grupo, a exclusão é precedida da confirmação simples descrita acima; havendo ocorrências agrupadas, o sistema apresenta a relação das ocorrências do grupo — com o protocolo, em vínculo que</w:t>
      </w:r>
      <w:r>
        <w:t xml:space="preserve"> abre a ocorrência em nova aba, o título, o status e a última mensagem do histórico —, cada qual com caixa de seleção, que também é marcada ou desmarcada pelo clique na linha, e com a opção “Selecionar todas / Desmarcar todas”; a ocorrência a partir da qua</w:t>
      </w:r>
      <w:r>
        <w:t xml:space="preserve">l a exclusão foi acionada vem previamente marcada. Acionada a opção “Excluir N ocorrências”, um segundo diálogo solicita a confirmação, com a relação dos protocolos selecionados. Em todos os diálogos de exclusão, de ocorrência e de conta, a advertência “Es</w:t>
      </w:r>
      <w:r>
        <w:t xml:space="preserve">ta ação não pode ser desfeita.” é apresentada em destaque, em negrito e em linha própria. A exclusão remove também, do serviço de armazenamento de mídias e do histórico, a fotografia anexada à solicitação de conclusão do departamento (RF26), quando houver.</w:t>
      </w:r>
      <w:r/>
    </w:p>
    <w:p>
      <w:pPr>
        <w:pBdr/>
        <w:spacing/>
        <w:ind/>
        <w:rPr/>
      </w:pPr>
      <w:r>
        <w:t xml:space="preserve">Prioridade: essencial.</w:t>
      </w:r>
      <w:r/>
    </w:p>
    <w:p w14:paraId="29480C8A" w14:textId="77777777">
      <w:pPr>
        <w:pBdr/>
        <w:spacing/>
        <w:ind/>
        <w:rPr/>
      </w:pPr>
      <w:r>
        <w:t xml:space="preserve">RF26 – Acesso do departamento e solicitação de conclusão</w:t>
      </w:r>
      <w:r/>
    </w:p>
    <w:p w14:paraId="569AF6B5" w14:textId="77777777">
      <w:pPr>
        <w:pBdr/>
        <w:spacing/>
        <w:ind/>
        <w:rPr/>
      </w:pPr>
      <w:r>
        <w:t xml:space="preserve">Descrição: o sistema deverá oferecer ao departamento destinatário de um encaminhamento (RF23) o acesso à ocorrência encaminha</w:t>
      </w:r>
      <w:r>
        <w:t xml:space="preserve">da sem autenticação, por meio do botão “Ver / responder ocorrência” da mensagem de correio eletrônico, que conduz a uma página pública própria. A página apresenta a ocorrência encaminhada e permite a navegação pelas ocorrências agrupadas a ela, com o títul</w:t>
      </w:r>
      <w:r>
        <w:t xml:space="preserve">o, a categoria, o status, o endereço, a rota no Google Maps, o relato, as fotografias e o histórico, sem qualquer dado pessoal: não são exibidos o autor, nem quem realizou cada trâmite, nem as mensagens redigidas pela equipe ao cidadão, mas apenas a nota d</w:t>
      </w:r>
      <w:r>
        <w:t xml:space="preserve">e cada encaminhamento. Pela ação “Solicitar conclusão”, o funcionário do departamento informa a execução do serviço, anexando obrigatoriamente uma fotografia — submetida à mesma moderação e ao mesmo desfoque de rostos e placas aplicados às fotografias das </w:t>
      </w:r>
      <w:r>
        <w:t xml:space="preserve">ocorrências (RF20) — e, facultativamente, uma mensagem. A solicitação é registrada no histórico da ocorrência sem alterar o seu status e é visível apenas à equipe — Funcionário, Administrador e Super Administrador —; uma vez enviada, a página do departamen</w:t>
      </w:r>
      <w:r>
        <w:t xml:space="preserve">to passa a exibir, no lugar do botão, a indicação “Conclusão solicitada em dd/mm/aaaa hh:mm — aguardando a prefeitura confirmar.”, e quem encaminhou a ocorrência recebe mensagem de correio eletrônico “Conclusão solicitada”, com o vínculo para a ocorrência.</w:t>
      </w:r>
      <w:r/>
    </w:p>
    <w:p w14:paraId="569AF6B5" w14:textId="77777777">
      <w:pPr>
        <w:pBdr/>
        <w:spacing/>
        <w:ind/>
        <w:rPr/>
      </w:pPr>
      <w:r>
        <w:t xml:space="preserve">No histórico exibido à equipe, o trâmite “Conclusão solicitada — por &lt;departamento&gt;” oferece a ação “Ver anexo”, que abre</w:t>
      </w:r>
      <w:r>
        <w:t xml:space="preserve"> a fotografia, e, somente na solicitação ainda vigente, a ação “Marcar como concluída”, que conclui a ocorrência com a observação “Conclusão confirmada (solicitada por &lt;departamento&gt;)”, observada a opção de aplicar a alteração ao grupo. Não sendo a fotogra</w:t>
      </w:r>
      <w:r>
        <w:t xml:space="preserve">fia suficiente, a equipe reencaminha a ocorrência ao mesmo departamento, o que expede novo vínculo e libera nova solicitação; a reabertura ou a conclusão da ocorrência também encerram a solicitação pendente. O escopo e a validade do acesso obedecem à RN11.</w:t>
      </w:r>
      <w:r/>
    </w:p>
    <w:p w14:paraId="29480C8A" w14:textId="77777777">
      <w:pPr>
        <w:pBdr/>
        <w:spacing/>
        <w:ind/>
        <w:rPr/>
      </w:pPr>
      <w:r>
        <w:t xml:space="preserve">Prioridade: importante.</w:t>
      </w:r>
      <w:r/>
    </w:p>
    <w:p>
      <w:pPr>
        <w:pBdr/>
        <w:spacing/>
        <w:ind/>
        <w:rPr/>
      </w:pPr>
      <w:r>
        <w:t xml:space="preserve">RF27 – Apoio a ocorrência</w:t>
      </w:r>
      <w:r/>
    </w:p>
    <w:p>
      <w:pPr>
        <w:pBdr/>
        <w:spacing/>
        <w:ind/>
        <w:rPr/>
      </w:pPr>
      <w:r>
        <w:t xml:space="preserve">Descrição: o sistema deverá permitir que o usuário autenticado apoie uma ocorrência já registrada, para indicar que também é afetado pelo problema, em vez de registrar um relato repetido. Cada usuá</w:t>
      </w:r>
      <w:r>
        <w:t xml:space="preserve">rio apoiará uma mesma ocorrência uma única vez, assegurada pela restrição de unicidade sobre o par formado pela ocorrência e pelo usuário, e poderá retirar o apoio. A quantidade de apoios será exibida no detalhe da ocorrência e na relação “Mais apoiadas” d</w:t>
      </w:r>
      <w:r>
        <w:t xml:space="preserve">as estatísticas (RF13), como indicador para a priorização do atendimento pela administração. O apoio exigirá autenticação, não será oferecido ao visitante e não se confunde com o agrupamento automático de ocorrências duplicadas (RF16 e RN06), nem o altera.</w:t>
      </w:r>
      <w:r/>
    </w:p>
    <w:p>
      <w:pPr>
        <w:pBdr/>
        <w:spacing/>
        <w:ind/>
        <w:rPr/>
      </w:pPr>
      <w:r>
        <w:t xml:space="preserve">Prioridade: desejável.</w:t>
      </w:r>
      <w:r/>
    </w:p>
    <w:p>
      <w:pPr>
        <w:pBdr/>
        <w:spacing/>
        <w:ind/>
        <w:rPr/>
      </w:pPr>
      <w:r/>
      <w:r/>
    </w:p>
    <w:p>
      <w:pPr>
        <w:pStyle w:val="1639"/>
        <w:pBdr/>
        <w:spacing/>
        <w:ind/>
        <w:rPr/>
      </w:pPr>
      <w:r/>
      <w:bookmarkStart w:id="121" w:name="_Toc31"/>
      <w:r>
        <w:t xml:space="preserve">5.1.2 Requisitos não Funcionais</w:t>
      </w:r>
      <w:r/>
      <w:bookmarkEnd w:id="121"/>
      <w:r/>
      <w:r/>
    </w:p>
    <w:p>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pPr>
        <w:pBdr/>
        <w:spacing/>
        <w:ind/>
        <w:rPr/>
      </w:pPr>
      <w:r>
        <w:t xml:space="preserve">5.1.2.1 Requisitos de Produto</w:t>
      </w:r>
      <w:r/>
    </w:p>
    <w:p>
      <w:pPr>
        <w:pBdr/>
        <w:spacing/>
        <w:ind/>
        <w:rPr/>
      </w:pPr>
      <w:r>
        <w:t xml:space="preserve">a) Requisitos de Eficiência</w:t>
      </w:r>
      <w:r/>
    </w:p>
    <w:p>
      <w:pPr>
        <w:pBdr/>
        <w:spacing/>
        <w:ind/>
        <w:rPr/>
      </w:pPr>
      <w:r>
        <w:t xml:space="preserve">RNF01 – Tempo de resposta do sistema para interatividade</w:t>
      </w:r>
      <w:r/>
    </w:p>
    <w:p>
      <w:pPr>
        <w:pBdr/>
        <w:spacing/>
        <w:ind/>
        <w:rPr/>
      </w:pPr>
      <w:r>
        <w:t xml:space="preserve">Descrição: o sistema deverá processar e responder às requisições do usuário (como o envio de formulários de ocorrência) em tempo inferior a 3 segundos sob condições normais de tráfego da rede de comunicação de dados.</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b) Requisitos de Portabilidade</w:t>
      </w:r>
      <w:r/>
    </w:p>
    <w:p>
      <w:pPr>
        <w:pBdr/>
        <w:spacing/>
        <w:ind/>
        <w:rPr/>
      </w:pPr>
      <w:r>
        <w:t xml:space="preserve">RNF02 – Compatibilidade com navegadores</w:t>
      </w:r>
      <w:r/>
    </w:p>
    <w:p>
      <w:pPr>
        <w:pBdr/>
        <w:spacing/>
        <w:ind/>
        <w:rPr/>
      </w:pPr>
      <w:r>
        <w:t xml:space="preserve">Descrição: o sistema deverá ser funcional nas versões mais atualizadas dos navegadores: Google Chrome (v.110+), Mozilla Firefox (v.108+) e Microsoft Edge (v.110+).</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RNF03 – Tecnologias para o código do </w:t>
      </w:r>
      <w:r>
        <w:rPr>
          <w:i/>
        </w:rPr>
        <w:t xml:space="preserve">front-end</w:t>
      </w:r>
      <w:r>
        <w:t xml:space="preserve"> e responsividade</w:t>
      </w:r>
      <w:r/>
    </w:p>
    <w:p>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 quando requerido pelo usuário.</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c) Requisitos de Usabilidade</w:t>
      </w:r>
      <w:r/>
    </w:p>
    <w:p>
      <w:pPr>
        <w:pBdr/>
        <w:spacing/>
        <w:ind/>
        <w:rPr/>
      </w:pPr>
      <w:r>
        <w:t xml:space="preserve">RNF04 – Facilidade de uso (interface de usuário intuitiva)</w:t>
      </w:r>
      <w:r/>
    </w:p>
    <w:p>
      <w:pPr>
        <w:pBdr/>
        <w:spacing/>
        <w:ind/>
        <w:rPr/>
      </w:pPr>
      <w:r>
        <w:t xml:space="preserve">Descrição: a interface de usuário deverá seguir padrões modernos de experiência do usuário, permitindo que um cidadão realize o registro de uma ocorrência em no máximo quatro interações principais (cliques ou toques).</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RNF05 – Facilidade de aprendizado</w:t>
      </w:r>
      <w:r/>
    </w:p>
    <w:p>
      <w:pPr>
        <w:pBdr/>
        <w:spacing/>
        <w:ind/>
        <w:rPr/>
      </w:pPr>
      <w:r>
        <w:t xml:space="preserve">Descrição: o sistema deverá utilizar linguagem simples, ícones autoexplicativos e alto contraste, facilitando o uso por pessoas com diferentes níveis de letramento digital.</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RNF06 – Responsividade da interface de usuário</w:t>
      </w:r>
      <w:r/>
    </w:p>
    <w:p>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5.1.2.2 Requisitos Organizacionais </w:t>
      </w:r>
      <w:r/>
    </w:p>
    <w:p>
      <w:pPr>
        <w:pBdr>
          <w:top w:val="none" w:color="000000" w:sz="4" w:space="0"/>
          <w:left w:val="none" w:color="000000" w:sz="4" w:space="0"/>
          <w:bottom w:val="none" w:color="000000" w:sz="4" w:space="0"/>
          <w:right w:val="none" w:color="000000" w:sz="4" w:space="0"/>
        </w:pBdr>
        <w:spacing/>
        <w:ind/>
        <w:rPr/>
      </w:pPr>
      <w:r>
        <w:t xml:space="preserve">RNF07 – Padrão de API</w:t>
      </w:r>
      <w:r/>
    </w:p>
    <w:p>
      <w:pPr>
        <w:pBdr/>
        <w:spacing/>
        <w:ind/>
        <w:rPr/>
      </w:pPr>
      <w:r>
        <w:t xml:space="preserve">Descrição: o código-fonte da API provida pelo </w:t>
      </w:r>
      <w:r>
        <w:rPr>
          <w:i/>
        </w:rPr>
        <w:t xml:space="preserve">back-end</w:t>
      </w:r>
      <w:r>
        <w:t xml:space="preserve"> deverá ser implementado seguindo o padrão arquitetural REST.</w:t>
      </w:r>
      <w:r/>
    </w:p>
    <w:p>
      <w:pPr>
        <w:pBdr/>
        <w:spacing/>
        <w:ind/>
        <w:rPr/>
      </w:pPr>
      <w:r>
        <w:t xml:space="preserve">Prioridade: essencial.</w:t>
      </w:r>
      <w:r/>
    </w:p>
    <w:p>
      <w:pPr>
        <w:pBdr/>
        <w:spacing/>
        <w:ind/>
        <w:rPr/>
      </w:pPr>
      <w:r>
        <w:t xml:space="preserve">RNF08 – Tecnologias de Programação</w:t>
      </w:r>
      <w:r/>
    </w:p>
    <w:p>
      <w:pPr>
        <w:pBdr/>
        <w:spacing/>
        <w:ind/>
        <w:rPr/>
      </w:pPr>
      <w:r>
        <w:t xml:space="preserve">Descrição: a API do </w:t>
      </w:r>
      <w:r>
        <w:rPr>
          <w:i/>
          <w:iCs/>
        </w:rPr>
        <w:t xml:space="preserve">back-end </w:t>
      </w:r>
      <w:r>
        <w:t xml:space="preserve">será programada com a Linguagem Java, JDK 21 LTS, com </w:t>
      </w:r>
      <w:r>
        <w:rPr>
          <w:i/>
          <w:iCs/>
        </w:rPr>
        <w:t xml:space="preserve">Spring Boot</w:t>
      </w:r>
      <w:r>
        <w:t xml:space="preserve"> (utilizando </w:t>
      </w:r>
      <w:r>
        <w:rPr>
          <w:i/>
        </w:rPr>
        <w:t xml:space="preserve">Spring Security </w:t>
      </w:r>
      <w:r>
        <w:t xml:space="preserve">para gestão de JWT e MFA); e o PWA do </w:t>
      </w:r>
      <w:r>
        <w:rPr>
          <w:i/>
        </w:rPr>
        <w:t xml:space="preserve">front-end</w:t>
      </w:r>
      <w:r>
        <w:t xml:space="preserve"> utilizará o </w:t>
      </w:r>
      <w:r>
        <w:rPr>
          <w:i/>
        </w:rPr>
        <w:t xml:space="preserve">framework </w:t>
      </w:r>
      <w:r>
        <w:t xml:space="preserve">Angular 19 e </w:t>
      </w:r>
      <w:r>
        <w:rPr>
          <w:highlight w:val="white"/>
        </w:rPr>
        <w:t xml:space="preserve">Node.js (v.24.17.0 LTS).</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RNF09 – Documentação do sistema de software</w:t>
      </w:r>
      <w:r/>
    </w:p>
    <w:p>
      <w:pPr>
        <w:pBdr/>
        <w:spacing/>
        <w:ind/>
        <w:rPr/>
      </w:pPr>
      <w:r>
        <w:t xml:space="preserve">Descrição: o sistema deverá possuir documentação técnica e manuais de orientação ao usuário atualizados.</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5.1.2.3 Requisitos Externos</w:t>
      </w:r>
      <w:r/>
    </w:p>
    <w:p>
      <w:pPr>
        <w:pBdr/>
        <w:spacing/>
        <w:ind/>
        <w:rPr/>
      </w:pPr>
      <w:r>
        <w:t xml:space="preserve">a) Requisitos de Interoperabilidade (hardware, software, comunicações)</w:t>
      </w:r>
      <w:r/>
    </w:p>
    <w:p>
      <w:pPr>
        <w:pBdr/>
        <w:spacing/>
        <w:ind/>
        <w:rPr/>
      </w:pPr>
      <w:r>
        <w:t xml:space="preserve">RNF10 – Integração com API de mapas georeferenciados</w:t>
      </w:r>
      <w:r/>
    </w:p>
    <w:p>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 a renderização cartográfica de ocorrências e captura de coordenadas sem custos operacionais de licenciamento corporativo.</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RNF11 – Comunicação criptografada </w:t>
      </w:r>
      <w:r/>
    </w:p>
    <w:p>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TLS atualizados, impedindo ataques de interceptação de dados (conhecido por </w:t>
      </w:r>
      <w:r>
        <w:rPr>
          <w:i/>
          <w:color w:val="000000"/>
        </w:rPr>
        <w:t xml:space="preserve">Man-in-the-Middle</w:t>
      </w:r>
      <w:r>
        <w:rPr>
          <w:color w:val="000000"/>
        </w:rPr>
        <w:t xml:space="preserve">).</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pPr>
        <w:pBdr/>
        <w:spacing/>
        <w:ind/>
        <w:rPr/>
      </w:pPr>
      <w:r>
        <w:t xml:space="preserve">RNF12 – Serviços de Comunicação Externa</w:t>
      </w:r>
      <w:r/>
    </w:p>
    <w:p>
      <w:pPr>
        <w:pBdr/>
        <w:spacing/>
        <w:ind/>
        <w:rPr/>
      </w:pPr>
      <w:r>
        <w:t xml:space="preserve">Descrição: para </w:t>
      </w:r>
      <w:r>
        <w:t xml:space="preserve">o envio de e-mails transacionais — recuperação de senha, confirmação de cadastro, códigos de autenticação multifator (MFA), confirmação de registro de ocorrência e notificação de mudança de status —, o sistema integrará à uma API de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pPr>
        <w:pBdr/>
        <w:spacing/>
        <w:ind/>
        <w:rPr/>
      </w:pPr>
      <w:r>
        <w:t xml:space="preserve">Para o envio dos códigos de verificação em duas etapas por mensagem SMS, o sistema integra-se ao aplicativo de código aberto SMS Gateway for Android (licença Apache 2.0), instalado em aparelho ce</w:t>
      </w:r>
      <w:r>
        <w:t xml:space="preserve">lular da equipe dotado de linha com mensagens ilimitadas. A API requisita o envio por HTTPs, com autenticação básica, em um de dois modos: servidor local, com o aparelho na mesma rede local do servidor de aplicação que mantêm a API, ou serviço em Nuvem gra</w:t>
      </w:r>
      <w:r>
        <w:t xml:space="preserve">tuito mantido pelo próprio aplicativo. A solução não gerará custo por mensagem, razão de sua adoção neste projeto em lugar de provedores comerciais pagos ou restritos a números previamente verificados. O envio será habilitado por configuração (app.sms.enab</w:t>
      </w:r>
      <w:r>
        <w:t xml:space="preserve">led, app.sms.url, app.sms.username e app.sms.password); com a indisponibilidade desse recurso, o usuário que possuir apenas o SMS como segundo fator receberá o código por e-mail, de modo que ele não seja impedido de acessar a própria conta nem a acessar se</w:t>
      </w:r>
      <w:r>
        <w:t xml:space="preserve">m o segundo fator. As mensagens serão redigidas sem acentuação, para que caibam em uma única mensagem de 160 caracteres, e somente números de telefones celulares com código internacional brasileiro serão aceitos, armazenados no formato internacional E.164.</w:t>
      </w:r>
      <w:r/>
    </w:p>
    <w:p>
      <w:pPr>
        <w:pBdr/>
        <w:spacing/>
        <w:ind/>
        <w:rPr/>
      </w:pPr>
      <w:r>
        <w:t xml:space="preserve">Para a verificação em duas etapas por aplicativo, o</w:t>
      </w:r>
      <w:r>
        <w:t xml:space="preserve"> sistema integra-se aos aplicativos autenticadores de terceiros compatíveis com o padrão TOTP (RFC 6238), como o Google Authenticator e o Microsoft Authenticator, instalados no celular do usuário. Na ativação, a API gera um segredo próprio da conta, aprese</w:t>
      </w:r>
      <w:r>
        <w:t xml:space="preserve">ntado uma única vez em código QR, que o aplicativo lê para passar a gerar códigos de seis dígitos renovados a cada trinta segundos; a verificação é realizada pela API a partir do segredo e do horário, sem comunicação de rede com o fornecedor do aplicativo.</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sistema deverá integrar uma API de processamento de imagens para aplica</w:t>
      </w:r>
      <w:r>
        <w:t xml:space="preserve">r automaticamente técnicas de proteção visual (desfoque de regiões sensíveis como rostos e placas) nas imagens anexadas às ocorrências antes de seu armazenamento e exibição. A API Cloudinary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b) Requisitos Éticos</w:t>
      </w:r>
      <w:r/>
    </w:p>
    <w:p>
      <w:pPr>
        <w:pBdr/>
        <w:spacing/>
        <w:ind/>
        <w:rPr/>
      </w:pPr>
      <w:r>
        <w:t xml:space="preserve">RNF15 – Uso responsável do sistema</w:t>
      </w:r>
      <w:r/>
    </w:p>
    <w:p>
      <w:pPr>
        <w:pBdr/>
        <w:spacing/>
        <w:ind/>
        <w:rPr/>
      </w:pPr>
      <w:r>
        <w:t xml:space="preserve">Descrição: o sistema deverá apresentar os termos de uso e das políticas de privacidade ao usuário e requisitar o aceite dos termos antes de autorizar o seu acesso.</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t xml:space="preserve">5.1.2.4 Requisitos de Segurança da Informação</w:t>
      </w:r>
      <w:r/>
    </w:p>
    <w:p>
      <w:pPr>
        <w:pBdr/>
        <w:spacing/>
        <w:ind/>
        <w:rPr/>
      </w:pPr>
      <w:r>
        <w:t xml:space="preserve">a) Requisitos de Segurança (confiabilidade, disponibilidade, autenticidade e integridade)</w:t>
      </w:r>
      <w:r/>
    </w:p>
    <w:p>
      <w:pPr>
        <w:pBdr/>
        <w:spacing/>
        <w:ind/>
        <w:rPr/>
      </w:pPr>
      <w:r>
        <w:t xml:space="preserve">RNF16 – Autenticação de usuário robusta </w:t>
      </w:r>
      <w:r/>
    </w:p>
    <w:p>
      <w:pPr>
        <w:pBdr/>
        <w:spacing/>
        <w:ind/>
        <w:rPr/>
      </w:pPr>
      <w:r>
        <w:t xml:space="preserve">Descrição: o sistema deverá garantir a autenticidade dos usuários por meio da criptografia de senhas utilizando o algoritmo </w:t>
      </w:r>
      <w:r>
        <w:rPr>
          <w:i/>
          <w:iCs/>
        </w:rPr>
        <w:t xml:space="preserve">BCrypt </w:t>
      </w:r>
      <w:r>
        <w:t xml:space="preserve">na API do </w:t>
      </w:r>
      <w:r>
        <w:rPr>
          <w:i/>
        </w:rPr>
        <w:t xml:space="preserve">back-end</w:t>
      </w:r>
      <w:r>
        <w:t xml:space="preserve">. O gerenciamento de sessões será realizado via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da equipe — Funcionário, Administrador e Super Administrador —, sem exceção de conta, será exigida a implementação de Autenticação Multifator (MFA) como camada adicional de segurança para o acesso às áreas administrativas.</w:t>
      </w:r>
      <w:r/>
    </w:p>
    <w:p>
      <w:pPr>
        <w:pBdr/>
        <w:spacing/>
        <w:ind/>
        <w:rPr/>
      </w:pPr>
      <w:r>
        <w:t xml:space="preserve">A verifica</w:t>
      </w:r>
      <w:r>
        <w:t xml:space="preserve">ção em duas etapas admitirá três métodos, que podem ser ativados por qualquer perfil: o código enviado por e-mail, o código gerado por aplicativo autenticador compatível com o padrão TOTP (RFC 6238), como o Google Authenticator ou o Microsoft Authenticator</w:t>
      </w:r>
      <w:r>
        <w:t xml:space="preserve"> e o código enviado por mensagem SMS ao telefone celular confirmado pelo usuário. Para os perfis da equipe — Funcionário, Administrador e Super Admi</w:t>
      </w:r>
      <w:r>
        <w:t xml:space="preserve">nistrador —, o sistema impedirá a desativação do último método ativo, de modo que ao menos um dos três permaneça habilitado. O código enviado por SMS possui seis dígitos, validade de dez minutos e reenvio limitado a um a cada sessenta segundos; os códigos </w:t>
      </w:r>
      <w:r>
        <w:t xml:space="preserve">são distintos por canal e vinculados ao número de destino, e o telefone celular do segundo fator é mantido em atributo próprio (user.mfa_sms_phone), separado do telefone do perfil, para que a edição deste pela administração não redirecione o segundo fator.</w:t>
      </w:r>
      <w:r/>
    </w:p>
    <w:p>
      <w:pPr>
        <w:pBdr/>
        <w:spacing/>
        <w:ind/>
        <w:rPr/>
      </w:pPr>
      <w:r>
        <w:t xml:space="preserve">A sessão é encerrada quando a conta é excluída ou desativada pela administração enquanto o usuário estiver autenticado: na requisição seguinte ao servidor — em </w:t>
      </w:r>
      <w:r>
        <w:t xml:space="preserve">até trinta segundos, pela verificação periódica da sessão —, o testemunho de acesso será recusado, o sistema informará que a conta foi excluída ou desativada e desconectará o usuário, pelo mesmo mecanismo que encerrará a sessão aberta em outro dispositivo.</w:t>
      </w:r>
      <w:r/>
    </w:p>
    <w:p>
      <w:pPr>
        <w:pBdr/>
        <w:spacing/>
        <w:ind/>
        <w:rPr/>
      </w:pPr>
      <w:r>
        <w:t xml:space="preserve">Prioridade: essencial</w:t>
      </w:r>
      <w:r/>
    </w:p>
    <w:p>
      <w:pPr>
        <w:pBdr/>
        <w:spacing/>
        <w:ind/>
        <w:rPr/>
      </w:pPr>
      <w:r>
        <w:t xml:space="preserve">RNF17 – Integridade e proteção dos dados</w:t>
      </w:r>
      <w:r/>
    </w:p>
    <w:p>
      <w:pPr>
        <w:pBdr/>
        <w:spacing/>
        <w:ind/>
        <w:rPr/>
      </w:pPr>
      <w:r>
        <w:t xml:space="preserve">Descrição: a integridade dos</w:t>
      </w:r>
      <w:r>
        <w:t xml:space="preserve"> dados armazenados no banco de dados PostgreSQL (versão 18) deverá ser assegurada por políticas de restrição de acesso e integridade referencial. A proteção durante o tráfego de dados entre clientes e servidor da API será garantida pelo uso mandatório de p</w:t>
      </w:r>
      <w:r>
        <w:t xml:space="preserve">rotocolos de comunicação criptografados com HTTPS/TLS. No banco de dados, os atributos sigilosos — credenciais, segredos e códigos de acesso, que não se confundem com os dados pessoais sensíveis definidos no art. 5º, inciso II, da LGPD — não serão gravados</w:t>
      </w:r>
      <w:r>
        <w:t xml:space="preserve"> em texto claro, observando-se o seguinte tratamento criptográfico: (a) user.password — resumo criptog</w:t>
      </w:r>
      <w:r>
        <w:t xml:space="preserve">ráfico BCrypt, com sal e fator de custo, irreversível por construção; (b) occurrence.anonymous_tracking_code_hash — resumo SHA-256 do código de acompanhamento anônimo, cujo valor em texto claro será apresentado uma única vez ao autor e não será retido pelo</w:t>
      </w:r>
      <w:r>
        <w:t xml:space="preserve"> sistema; (c) occurrence.ip_address — resumo SHA-256 do endereço de rede do autor de ocorrência anônima, gravado exclusivamente para a apuração do limite diário de registros previsto no RF08, de modo que o endereço original não será recuperado; (d) user.mf</w:t>
      </w:r>
      <w:r>
        <w:t xml:space="preserve">a_secret — segredo do segundo fator de autenticação por aplicativo, gravado em codificação Base32 e jamais devolvido nas respostas da API, nas quais será suprimido juntamente com a senha; a sua proteção em repouso apoiar-se-á no controle de acesso ao banco</w:t>
      </w:r>
      <w:r>
        <w:t xml:space="preserve"> de dados; (e) password_reset_token.token — valor aleatório de uso único, com prazo de validade e marcação de consumo; (f) o segredo de assinatura dos JWT e as credenciais dos serviços de terceiros, mantidos fora do controle de versão e providos por variáv</w:t>
      </w:r>
      <w:r>
        <w:t xml:space="preserve">eis de ambiente; e (g) o token de acesso do departamento (RF26 e RN11), JSON Web Token assinado com o algoritmo HMAC-SHA256 por chave própria, derivada do segredo de assinatura por resumo SHA-256, mas distinta da chave dos tokens de login, de modo que um n</w:t>
      </w:r>
      <w:r>
        <w:t xml:space="preserve">unca seja aceito no lugar do outro; esse token tem validade máxima de trinta dias, não é gravado no banco de dados e trafega em cabeçalho próprio da requisição (X-Department-Access), e não no cabeçalho de autorização. Os atributos de identificação pessoal </w:t>
      </w:r>
      <w:r>
        <w:t xml:space="preserve">não sensíveis</w:t>
      </w:r>
      <w:r>
        <w:t xml:space="preserve"> — nome, endereço de correio eletrônico e endereço residencial — serão armazenados em texto claro, por serem indispensáveis à operação do sistema, e protegidos pelo controle de acesso por perfil e pelo tráfego de dados criptografados.</w:t>
      </w:r>
      <w:r/>
    </w:p>
    <w:p>
      <w:pPr>
        <w:pBdr/>
        <w:spacing/>
        <w:ind/>
        <w:rPr/>
      </w:pPr>
      <w:r>
        <w:t xml:space="preserve">Prioridade: essencial</w:t>
      </w:r>
      <w:r/>
    </w:p>
    <w:p>
      <w:pPr>
        <w:pBdr/>
        <w:spacing/>
        <w:ind/>
        <w:rPr/>
      </w:pPr>
      <w:r>
        <w:t xml:space="preserve">RNF18 – Disponibilidade do sistema</w:t>
      </w:r>
      <w:r/>
    </w:p>
    <w:p>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pPr>
        <w:pBdr/>
        <w:spacing/>
        <w:ind/>
        <w:rPr/>
      </w:pPr>
      <w:r>
        <w:t xml:space="preserve">Prioridade: essencial</w:t>
      </w:r>
      <w:r/>
    </w:p>
    <w:p>
      <w:pPr>
        <w:pBdr/>
        <w:spacing/>
        <w:ind/>
        <w:rPr/>
      </w:pPr>
      <w:r>
        <w:t xml:space="preserve">b) Requisitos Legais</w:t>
      </w:r>
      <w:r/>
    </w:p>
    <w:p>
      <w:pPr>
        <w:pBdr/>
        <w:spacing/>
        <w:ind/>
        <w:rPr/>
      </w:pPr>
      <w:r>
        <w:t xml:space="preserve">RNF19 – Termos de uso e políticas de acesso</w:t>
      </w:r>
      <w:r/>
    </w:p>
    <w:p>
      <w:pPr>
        <w:pBdr/>
        <w:spacing/>
        <w:ind/>
        <w:rPr/>
      </w:pPr>
      <w:r>
        <w:t xml:space="preserve">Descrição: </w:t>
      </w:r>
      <w:r>
        <w:rPr>
          <w:color w:val="000000"/>
        </w:rPr>
        <w:t xml:space="preserve">o s</w:t>
      </w:r>
      <w:r>
        <w:rPr>
          <w:color w:val="000000"/>
        </w:rPr>
        <w:t xml:space="preserve">istema deverá implementar termos de uso e políticas de privacidade aceitos obrigatoriamente no cadastro, conforme a LGPD. As senhas deverão ser formadas com complexidade mínima de 8 caracteres, incluindo letras, números e caracteres especiais obrigatórios.</w:t>
      </w:r>
      <w:r/>
    </w:p>
    <w:p>
      <w:pPr>
        <w:pBdr/>
        <w:spacing/>
        <w:ind/>
        <w:rPr/>
      </w:pPr>
      <w:r>
        <w:t xml:space="preserve">RNF20 – Conformidade com a LGPD</w:t>
      </w:r>
      <w:r/>
    </w:p>
    <w:p>
      <w:pPr>
        <w:pBdr/>
        <w:spacing/>
        <w:ind/>
        <w:rPr/>
      </w:pPr>
      <w:r>
        <w:t xml:space="preserve">Descrição: o tratamento de dados pessoais e de geolocalização</w:t>
      </w:r>
      <w:r>
        <w:t xml:space="preserve"> deverá seguir rigorosamente a LGPD (Brasil, 2018), garantindo o direito à exclusão de dados, anonimização e a segurança dos dados pessoais. Na exclusão de ocorrência pelo Super Administrador (RF25), as imagens anexadas serão removidas do serviço de armaze</w:t>
      </w:r>
      <w:r>
        <w:t xml:space="preserve">namento de mídias e do banco de dados, a ocorrência finalizada deixará de ser exibida a qualquer perfil diverso do Super Administrador, e o registro da exclusão conservará apenas o protocolo e o título da ocorrência, sem qualquer dado pessoal do seu autor.</w:t>
      </w:r>
      <w:r/>
    </w:p>
    <w:p>
      <w:pPr>
        <w:pBdr>
          <w:top w:val="none" w:color="000000" w:sz="4" w:space="0"/>
          <w:left w:val="none" w:color="000000" w:sz="4" w:space="0"/>
          <w:bottom w:val="none" w:color="000000" w:sz="4" w:space="0"/>
          <w:right w:val="none" w:color="000000" w:sz="4" w:space="0"/>
        </w:pBdr>
        <w:spacing/>
        <w:ind/>
        <w:rPr/>
      </w:pPr>
      <w:r>
        <w:t xml:space="preserve">Prioridade: essencial.</w:t>
      </w:r>
      <w:r/>
    </w:p>
    <w:p>
      <w:pPr>
        <w:pBdr/>
        <w:spacing/>
        <w:ind/>
        <w:rPr/>
      </w:pPr>
      <w:r/>
      <w:r/>
    </w:p>
    <w:p>
      <w:pPr>
        <w:pStyle w:val="1639"/>
        <w:pBdr/>
        <w:spacing/>
        <w:ind/>
        <w:rPr/>
      </w:pPr>
      <w:r/>
      <w:bookmarkStart w:id="122" w:name="_Toc32"/>
      <w:r>
        <w:t xml:space="preserve">5.1.3 Principais Regras de Negócio</w:t>
      </w:r>
      <w:r/>
      <w:bookmarkEnd w:id="122"/>
      <w:r/>
      <w:r/>
    </w:p>
    <w:p>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deverá atender, a fim de garantir sua aplicabilidade e utilidade no ambiente de uso futuro.</w:t>
      </w:r>
      <w:r/>
    </w:p>
    <w:p>
      <w:pPr>
        <w:pBdr/>
        <w:spacing/>
        <w:ind/>
        <w:rPr/>
      </w:pPr>
      <w:r>
        <w:t xml:space="preserve">RN01 – Validação de cadastro e dados obrigatórios</w:t>
      </w:r>
      <w:r/>
    </w:p>
    <w:p>
      <w:pPr>
        <w:pBdr/>
        <w:spacing/>
        <w:ind/>
        <w:rPr/>
      </w:pPr>
      <w:r>
        <w:t xml:space="preserve">Para o perfil Cidadão, o município de residência será obrigatório para fins de estratificação de dados. </w:t>
      </w:r>
      <w:r/>
    </w:p>
    <w:p>
      <w:pPr>
        <w:pBdr/>
        <w:spacing/>
        <w:ind/>
        <w:rPr/>
      </w:pPr>
      <w:r>
        <w:t xml:space="preserve">Cada número de telefone pertencerá a uma única conta de usuário, seja como telefone do perfil, seja como celular de verificação em duas etapas p</w:t>
      </w:r>
      <w:r>
        <w:t xml:space="preserve">or SMS, admitindo-se que o próprio titular utilize o mesmo número nos dois atributos. A comparação considerará os onze últimos dígitos, de modo que grafias distintas de um mesmo número — com ou sem máscara, com ou sem o código do país — sejam tratadas como</w:t>
      </w:r>
      <w:r>
        <w:t xml:space="preserve"> iguais, e o telefone não informado não será considerado. A unicidade deverá ser assegurada pela verificação cruzada entre os dois atributos na tentativa de cadastro, de edição do perfil ou de ativação do segundo fator com número de outra conta de usuário.</w:t>
      </w:r>
      <w:r/>
    </w:p>
    <w:p w14:paraId="05E9704C" w14:textId="77777777">
      <w:pPr>
        <w:pBdr/>
        <w:spacing/>
        <w:ind/>
        <w:rPr/>
      </w:pPr>
      <w:r>
        <w:t xml:space="preserve">Os campos de entrada são validados com</w:t>
      </w:r>
      <w:r>
        <w:t xml:space="preserve"> máscara no próprio formulário: o CEP aceita apenas algarismos, no máximo oito, com o hífen inserido automaticamente (37540-000), e somente é aceito completo; o telefone e o celular aceitam apenas algarismos, com os parênteses do código de área e o hífen i</w:t>
      </w:r>
      <w:r>
        <w:t xml:space="preserve">nseridos automaticamente — (35) 99999-8888 —, desconsiderado o prefixo +55 eventualmente colado, e o celular somente é aceito completo, com código de área sem zero inicial e número iniciado pelo algarismo 9, condição para a habilitação do envio do código p</w:t>
      </w:r>
      <w:r>
        <w:t xml:space="preserve">or SMS; a unidade federativa aceita apenas duas letras, convertidas em maiúsculas; e o nome de pessoa, no cadastro, em “Meu Perfil” e na criação de usuário, aceita apenas letras, acentuadas ou não, espaço, apóstrofo, hífen e ponto, recusados os algarismos.</w:t>
      </w:r>
      <w:r/>
    </w:p>
    <w:p w14:paraId="05E9704C" w14:textId="77777777">
      <w:pPr>
        <w:pBdr/>
        <w:spacing/>
        <w:ind/>
        <w:rPr/>
      </w:pPr>
      <w:r>
        <w:t xml:space="preserve">Os limites de tamanho dos campos coincidem com os das colunas do banco de dados: 150 caracteres para o nome e o e-mail; 200 para o logradouro; 100 para o bairro e o mun</w:t>
      </w:r>
      <w:r>
        <w:t xml:space="preserve">icípio; 10 para o número; 300 para a referência; 120 para o título da ocorrência; 2.000 para a descrição da ocorrência e para a mensagem de contato; 255 para o assunto; 300 para a justificativa de indeferimento; e 8 para o código de acompanhamento anônimo.</w:t>
      </w:r>
      <w:r/>
    </w:p>
    <w:p>
      <w:pPr>
        <w:pBdr/>
        <w:spacing/>
        <w:ind/>
        <w:rPr/>
      </w:pPr>
      <w:r>
        <w:t xml:space="preserve">Relacionado aos requisitos: RF01, RF04, RF07, RF08, RF12, RF17, RF19 e RNF16.</w:t>
      </w:r>
      <w:r/>
    </w:p>
    <w:p>
      <w:pPr>
        <w:pBdr/>
        <w:spacing/>
        <w:ind/>
        <w:rPr/>
      </w:pPr>
      <w:r>
        <w:t xml:space="preserve">RN02 – Geração automática de protocolo da ocorrência</w:t>
      </w:r>
      <w:r/>
    </w:p>
    <w:p>
      <w:pPr>
        <w:pBdr/>
        <w:spacing/>
        <w:ind/>
        <w:rPr/>
      </w:pPr>
      <w:r>
        <w:t xml:space="preserve">No ato da submissão bem-</w:t>
      </w:r>
      <w:r>
        <w:t xml:space="preserve">sucedida de qualquer ocorrência (identificada ou anônima), o sistema deverá gerar um identificador alfanumérico único e imutável, no formato FC-AA-XXXXX descrito no RF07. Este código deve ser exibido ao usuário e registrado com a data e horário da criação.</w:t>
      </w:r>
      <w:r/>
    </w:p>
    <w:p>
      <w:pPr>
        <w:pBdr/>
        <w:spacing/>
        <w:ind/>
        <w:rPr/>
      </w:pPr>
      <w:r>
        <w:t xml:space="preserve">Relacionado aos requisitos: RF07, RF08 e RF11.</w:t>
      </w:r>
      <w:r/>
    </w:p>
    <w:p>
      <w:pPr>
        <w:pBdr/>
        <w:spacing/>
        <w:ind/>
        <w:rPr/>
      </w:pPr>
      <w:r>
        <w:t xml:space="preserve">RN03 – Hierarquia de alteração de status do protocolo</w:t>
      </w:r>
      <w:r/>
    </w:p>
    <w:p>
      <w:pPr>
        <w:pBdr/>
        <w:spacing/>
        <w:ind/>
        <w:rPr/>
      </w:pPr>
      <w:r>
        <w:t xml:space="preserve">A transição de status da ocorrência (Pendente → Em Andamento → C</w:t>
      </w:r>
      <w:r>
        <w:t xml:space="preserve">oncluída, ou Indeferida mediante justificativa) é permitida aos perfis “Funcionário da administração pública” e “Administrador”. O sistema registrará qual usuário realizou a alteração e em qual data e horário. O status “Finalizada” é atribuído exclusivamen</w:t>
      </w:r>
      <w:r>
        <w:t xml:space="preserve">te pela exclusão de ocorrência pelo Super Administrador (RF25), que é lógica: a ocorrência não é apagada do banco de dados, mas apenas tem o seu status alterado para “Finalizada”, com o registro da mudança no histórico de trâmite. Esse status é definitivo:</w:t>
      </w:r>
      <w:r>
        <w:t xml:space="preserve"> a ocorrência finalizada não poderá ser reaberta nem ter o status alterado e é visível apenas a esse perfil.</w:t>
      </w:r>
      <w:r/>
    </w:p>
    <w:p>
      <w:pPr>
        <w:pBdr/>
        <w:spacing/>
        <w:ind/>
        <w:rPr/>
      </w:pPr>
      <w:r>
        <w:t xml:space="preserve">Relacionados aos requisitos: RF12 e RF14.</w:t>
      </w:r>
      <w:r/>
    </w:p>
    <w:p>
      <w:pPr>
        <w:pBdr/>
        <w:spacing/>
        <w:ind/>
        <w:rPr/>
      </w:pPr>
      <w:r>
        <w:t xml:space="preserve">RN04 – Definição de prioridade por categoria</w:t>
      </w:r>
      <w:r/>
    </w:p>
    <w:p>
      <w:pPr>
        <w:pBdr/>
        <w:spacing/>
        <w:ind/>
        <w:rPr/>
      </w:pPr>
      <w:r>
        <w:t xml:space="preserve">O nível de prioridade (baixa, média ou alta) não será modificado pelo cidadão. O sistema deverá atribuir a prioridade com base na categoria selecionada pelo cidadão (por exemplo, "Fios de alta tensão caídos" = Alta; "Poda de árvore em praça" = Baixa).</w:t>
      </w:r>
      <w:r/>
    </w:p>
    <w:p>
      <w:pPr>
        <w:pBdr/>
        <w:spacing/>
        <w:ind/>
        <w:rPr/>
      </w:pPr>
      <w:r>
        <w:t xml:space="preserve">Relacionado ao requisito: RF10.</w:t>
      </w:r>
      <w:r/>
    </w:p>
    <w:p>
      <w:pPr>
        <w:pBdr/>
        <w:spacing/>
        <w:ind/>
        <w:rPr/>
      </w:pPr>
      <w:r>
        <w:t xml:space="preserve">RN05 – Restrição de exposição de dados (LGPD)</w:t>
      </w:r>
      <w:r/>
    </w:p>
    <w:p>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pPr>
        <w:pBdr/>
        <w:spacing/>
        <w:ind/>
        <w:rPr/>
      </w:pPr>
      <w:r>
        <w:t xml:space="preserve">Relacionado ao requisito: RF02, RF06, RF08 e RF14.</w:t>
      </w:r>
      <w:r/>
    </w:p>
    <w:p>
      <w:pPr>
        <w:pBdr/>
        <w:spacing/>
        <w:ind/>
        <w:rPr/>
      </w:pPr>
      <w:r>
        <w:t xml:space="preserve">RN06 – Agrupamento de ocorrências duplicadas por localidade geográfica</w:t>
      </w:r>
      <w:r/>
    </w:p>
    <w:p>
      <w:pPr>
        <w:pBdr/>
        <w:spacing/>
        <w:ind/>
        <w:rPr/>
      </w:pPr>
      <w:r>
        <w:t xml:space="preserve">No registro de uma nova ocorrência, o sistema verificará se já existe ocorrência ativa — isto é, em estado diverso de “Concluída”, “Indeferida” e “Finalizada” — da mesma categoria a</w:t>
      </w:r>
      <w:r>
        <w:t xml:space="preserve"> até 70 metros, medidos em linha reta. Caso positivo, a nova ocorrência deverá ser registrada normalmente e vinculada de forma automática ao grupo da ocorrência existente, sem alerta prévio nem solicitação de escolha ao usuário; se a ocorrência existente j</w:t>
      </w:r>
      <w:r>
        <w:t xml:space="preserve">á integrar um grupo, a nova passa a integrar esse mesmo grupo. Inexistindo ocorrência próxima, a nova ocorrência permanecerá isolada. A verificação delimita, na consulta ao banco de dados, um quadrado de 70 metros para cada lado do ponto informado, o que p</w:t>
      </w:r>
      <w:r>
        <w:t xml:space="preserve">ermite o aproveitamento do índice sobre a latitude e a longitude, e retém somente as ocorrências situadas dentro do círculo de 70 metros de raio, calculada a distância pela fórmula de haversine; havendo mais de uma, prevalece a mais próxima. As ocorrências</w:t>
      </w:r>
      <w:r>
        <w:t xml:space="preserve"> finalizadas, por não serem ativas, não integrarão os agrupamentos: nenhuma nova ocorrência será agrupada a uma ocorrência finalizada. Após o registro, o usuário será apenas informado do agrupamento e do protocolo da ocorrência à qual a sua foi vinculada. </w:t>
      </w:r>
      <w:r>
        <w:t xml:space="preserve">O apoio a uma ocorrência, especificado no RF27, é independente desta regra. O cálculo da região de busca é detalhado, passo a passo e com exemplos, no Apêndice M.</w:t>
      </w:r>
      <w:r/>
    </w:p>
    <w:p>
      <w:pPr>
        <w:pBdr/>
        <w:spacing/>
        <w:ind/>
        <w:rPr>
          <w:color w:val="000000"/>
        </w:rPr>
      </w:pPr>
      <w:r>
        <w:t xml:space="preserve">Relacionado ao requisito: RF09, RF12 e RF16</w:t>
      </w:r>
      <w:r>
        <w:rPr>
          <w:color w:val="000000"/>
        </w:rPr>
        <w:t xml:space="preserve">.</w:t>
      </w:r>
      <w:r>
        <w:rPr>
          <w:color w:val="000000"/>
        </w:rPr>
      </w:r>
      <w:r>
        <w:rPr>
          <w:color w:val="000000"/>
        </w:rPr>
      </w:r>
    </w:p>
    <w:p>
      <w:pPr>
        <w:pBdr/>
        <w:spacing/>
        <w:ind/>
        <w:rPr>
          <w:color w:val="000000"/>
        </w:rPr>
      </w:pPr>
      <w:r>
        <w:t xml:space="preserve">RN07 – Jurisdição municipal do atendimento</w:t>
      </w:r>
      <w:r>
        <w:rPr>
          <w:color w:val="000000"/>
        </w:rPr>
      </w:r>
      <w:r>
        <w:rPr>
          <w:color w:val="000000"/>
        </w:rPr>
      </w:r>
    </w:p>
    <w:p>
      <w:pPr>
        <w:pBdr/>
        <w:spacing/>
        <w:ind/>
        <w:rPr>
          <w:color w:val="000000"/>
        </w:rPr>
      </w:pPr>
      <w:r>
        <w:t xml:space="preserve">O tratamento de uma ocorrência é privativo dos funcionários lotados no município do endereço da ocorrência: a alteração de estado, o encaminhamento ao departamento e a conclusão ser</w:t>
      </w:r>
      <w:r>
        <w:t xml:space="preserve">ão recusados quando o município vinculado ao funcionário não corresponder ao da ocorrência. A comparação desprezará diferenças de caixa e de acentuação e considerará também a UF sempre que ambas as partes a informarem, de modo a distinguir municípios homôn</w:t>
      </w:r>
      <w:r>
        <w:t xml:space="preserve">imos situados em unidades federativas diversas. O administrador municipal estará igualmente sujeito a essa fronteira; apenas o Super Administrador não terá restrição de acesso por município e a consulta pública às ocorrências permanecerá também irrestrita.</w:t>
      </w:r>
      <w:r>
        <w:rPr>
          <w:color w:val="000000"/>
        </w:rPr>
      </w:r>
      <w:r>
        <w:rPr>
          <w:color w:val="000000"/>
        </w:rPr>
      </w:r>
    </w:p>
    <w:p>
      <w:pPr>
        <w:pBdr/>
        <w:spacing/>
        <w:ind/>
        <w:rPr>
          <w:color w:val="000000"/>
        </w:rPr>
      </w:pPr>
      <w:r>
        <w:t xml:space="preserve">Relacionado aos requisitos: RF12, RF14, RF23 e RF24.</w:t>
      </w:r>
      <w:r>
        <w:rPr>
          <w:color w:val="000000"/>
        </w:rPr>
      </w:r>
      <w:r>
        <w:rPr>
          <w:color w:val="000000"/>
        </w:rPr>
      </w:r>
    </w:p>
    <w:p>
      <w:pPr>
        <w:pBdr/>
        <w:spacing/>
        <w:ind/>
        <w:rPr>
          <w:color w:val="000000"/>
        </w:rPr>
      </w:pPr>
      <w:r>
        <w:t xml:space="preserve">RN08 – Unicidade dos departamentos responsáveis por tratar as ocorrências</w:t>
      </w:r>
      <w:r>
        <w:rPr>
          <w:color w:val="000000"/>
        </w:rPr>
      </w:r>
      <w:r>
        <w:rPr>
          <w:color w:val="000000"/>
        </w:rPr>
      </w:r>
    </w:p>
    <w:p>
      <w:pPr>
        <w:pBdr/>
        <w:spacing/>
        <w:ind/>
        <w:rPr>
          <w:color w:val="000000"/>
        </w:rPr>
      </w:pPr>
      <w:r>
        <w:t xml:space="preserve">O nome do departamento é único no âmbito de cada município, admitida a repetição do mesmo nome em municípios distintos, uma vez que cada</w:t>
      </w:r>
      <w:r>
        <w:t xml:space="preserve"> prefeitura mantém as suas próprias secretarias; o endereço de correio eletrônico, ao contrário, será único em todo o sistema, por constituir o destino do encaminhamento previsto no RF23. A verificação desprezará diferenças de caixa e de espaços em branco.</w:t>
      </w:r>
      <w:r>
        <w:rPr>
          <w:color w:val="000000"/>
        </w:rPr>
      </w:r>
      <w:r>
        <w:rPr>
          <w:color w:val="000000"/>
        </w:rPr>
      </w:r>
    </w:p>
    <w:p>
      <w:pPr>
        <w:pBdr/>
        <w:spacing/>
        <w:ind/>
        <w:rPr>
          <w:color w:val="000000"/>
        </w:rPr>
      </w:pPr>
      <w:r>
        <w:t xml:space="preserve">Relacionado ao requisito: RF22.</w:t>
      </w:r>
      <w:r>
        <w:rPr>
          <w:color w:val="000000"/>
        </w:rPr>
      </w:r>
      <w:r>
        <w:rPr>
          <w:color w:val="000000"/>
        </w:rPr>
      </w:r>
    </w:p>
    <w:p>
      <w:pPr>
        <w:pBdr/>
        <w:spacing/>
        <w:ind/>
        <w:rPr>
          <w:color w:val="000000"/>
        </w:rPr>
      </w:pPr>
      <w:r>
        <w:t xml:space="preserve">RN09 – Supressão de dados pessoais no encaminhamento</w:t>
      </w:r>
      <w:r>
        <w:rPr>
          <w:color w:val="000000"/>
        </w:rPr>
      </w:r>
      <w:r>
        <w:rPr>
          <w:color w:val="000000"/>
        </w:rPr>
      </w:r>
    </w:p>
    <w:p>
      <w:pPr>
        <w:pBdr/>
        <w:spacing/>
        <w:ind/>
        <w:rPr>
          <w:color w:val="000000"/>
        </w:rPr>
      </w:pPr>
      <w:r>
        <w:t xml:space="preserve">A mensagem expedida ao departamento da prefeitura não conterá o nome, o endereço de correio eletrônico, o número do telefone ou qualquer outro dado que identifique o autor da ocorrência, ainda que a ocorrência tenha sido identificada. A alteração do e</w:t>
      </w:r>
      <w:r>
        <w:t xml:space="preserve">stado para “Em Andamento” e o registro do trâmite no histórico somente ocorrerão após a confirmação da expedição da mensagem: a falha no envio preservará a ocorrência inalterada e não gerará o registro no histórico, o que impedirá que o cidadão seja inform</w:t>
      </w:r>
      <w:r>
        <w:t xml:space="preserve">ado de um encaminhamento que não foi efetivado devido a alguma falha operacional. O botão “Ver / responder ocorrência” incluído na mensagem conduz à página de acesso do departamento (RF26), que observa a mesma supressão de dados pessoais, na forma da RN11.</w:t>
      </w:r>
      <w:r>
        <w:rPr>
          <w:color w:val="000000"/>
        </w:rPr>
      </w:r>
      <w:r>
        <w:rPr>
          <w:color w:val="000000"/>
        </w:rPr>
      </w:r>
    </w:p>
    <w:p w14:paraId="68DF7DC8" w14:textId="77777777">
      <w:pPr>
        <w:pBdr/>
        <w:spacing/>
        <w:ind/>
        <w:rPr>
          <w:color w:val="000000"/>
        </w:rPr>
      </w:pPr>
      <w:r>
        <w:t xml:space="preserve">Relacionado aos requisitos: RF23, RF26, RN03, RN05 e RN11.</w:t>
      </w:r>
      <w:r>
        <w:rPr>
          <w:color w:val="000000"/>
        </w:rPr>
      </w:r>
      <w:r>
        <w:rPr>
          <w:color w:val="000000"/>
        </w:rPr>
      </w:r>
    </w:p>
    <w:p>
      <w:pPr>
        <w:pBdr/>
        <w:spacing/>
        <w:ind/>
        <w:rPr>
          <w:color w:val="000000"/>
        </w:rPr>
      </w:pPr>
      <w:r>
        <w:t xml:space="preserve">RN10 – Alcance da administração de contas</w:t>
      </w:r>
      <w:r>
        <w:rPr>
          <w:color w:val="000000"/>
        </w:rPr>
      </w:r>
      <w:r>
        <w:rPr>
          <w:color w:val="000000"/>
        </w:rPr>
      </w:r>
    </w:p>
    <w:p>
      <w:pPr>
        <w:pBdr/>
        <w:spacing/>
        <w:ind/>
        <w:rPr>
          <w:color w:val="000000"/>
        </w:rPr>
      </w:pPr>
      <w:r>
        <w:t xml:space="preserve">A criação de c</w:t>
      </w:r>
      <w:r>
        <w:t xml:space="preserve">ontas para os perfis de administrador e de super administrador será privativa de outro usuário super administrador, a quem competirá indicar o município de cada usuário administrador. O administrador municipal criará, consultará, alterará e inativará exclu</w:t>
      </w:r>
      <w:r>
        <w:t xml:space="preserve">sivamente as contas vinculadas ao seu município e nenhuma conta de super administrador. O município de vínculo deverá ser informado nas contas de funcionário e de administrador, e inexistente na conta de super administrador, cuja competência será nacional.</w:t>
      </w:r>
      <w:r>
        <w:rPr>
          <w:color w:val="000000"/>
        </w:rPr>
      </w:r>
      <w:r>
        <w:rPr>
          <w:color w:val="000000"/>
        </w:rPr>
      </w:r>
    </w:p>
    <w:p>
      <w:pPr>
        <w:pBdr/>
        <w:spacing/>
        <w:ind/>
        <w:rPr>
          <w:color w:val="000000"/>
        </w:rPr>
      </w:pPr>
      <w:r>
        <w:t xml:space="preserve">Relacionado aos requisitos: RF14, RF15, RF19 e RF25.</w:t>
      </w:r>
      <w:r>
        <w:rPr>
          <w:color w:val="000000"/>
        </w:rPr>
      </w:r>
      <w:r>
        <w:rPr>
          <w:color w:val="000000"/>
        </w:rPr>
      </w:r>
    </w:p>
    <w:p w14:paraId="68DF7DC8" w14:textId="77777777">
      <w:pPr>
        <w:pBdr/>
        <w:spacing/>
        <w:ind/>
        <w:rPr>
          <w:color w:val="000000"/>
        </w:rPr>
      </w:pPr>
      <w:r>
        <w:t xml:space="preserve">RN11 – Escopo e validade do acesso do departamento</w:t>
      </w:r>
      <w:r>
        <w:rPr>
          <w:color w:val="000000"/>
        </w:rPr>
      </w:r>
      <w:r>
        <w:rPr>
          <w:color w:val="000000"/>
        </w:rPr>
      </w:r>
    </w:p>
    <w:p w14:paraId="68DF7DC8" w14:textId="77777777">
      <w:pPr>
        <w:pBdr/>
        <w:spacing/>
        <w:ind/>
        <w:rPr>
          <w:color w:val="000000"/>
        </w:rPr>
      </w:pPr>
      <w:r>
        <w:t xml:space="preserve">O vínculo de acesso do departamento (RF26) contém um JSON Web Token assinado com chave própria, que carrega</w:t>
      </w:r>
      <w:r>
        <w:t xml:space="preserve"> as permissões concedidas: o grupo da ocorrência, a ocorrência encaminhada, o departamento destinatário, quem encaminhou e o endereço do aplicativo. O acesso restringe-se à ocorrência encaminhada e às ocorrências do seu grupo — a consulta a ocorrência alhe</w:t>
      </w:r>
      <w:r>
        <w:t xml:space="preserve">ia ao grupo informa que a ocorrência não foi encontrada — e não expõe dado pessoal algum, na forma da RN05 e da RN09. O vínculo vale enquanto houver ocorrência aberta no grupo, isto é, nos status “Pendente” ou “Em Andamento”, e por no máximo trinta dias; o</w:t>
      </w:r>
      <w:r>
        <w:t xml:space="preserve"> vínculo inválido ou expirado é recusado com o aviso “Link inválido ou expirado”, e, encerrado todo o grupo, o acesso é recusado com o aviso “Esta ocorrência foi encerrada; o acesso do departamento terminou.”. Cada novo encaminhamento gera um vínculo novo.</w:t>
      </w:r>
      <w:r>
        <w:rPr>
          <w:color w:val="000000"/>
        </w:rPr>
      </w:r>
      <w:r>
        <w:rPr>
          <w:color w:val="000000"/>
        </w:rPr>
      </w:r>
    </w:p>
    <w:p w14:paraId="68DF7DC8" w14:textId="77777777">
      <w:pPr>
        <w:pBdr/>
        <w:spacing/>
        <w:ind/>
        <w:rPr>
          <w:color w:val="000000"/>
        </w:rPr>
      </w:pPr>
      <w:r>
        <w:t xml:space="preserve">A solicitação de conclusão é visível apenas à equipe, somente é aceita para ocorrência aberta e admite-se uma única solicitação pendente por vez, recusada a seguinte, inclusive quando duas são enviadas </w:t>
      </w:r>
      <w:r>
        <w:t xml:space="preserve">ao mesmo tempo; a solicitação pendente deixa de valer quando a ocorrência é reencaminhada ao mesmo departamento — o que libera nova solicitação —, reaberta ou concluída. São igualmente recusados o arquivo que não seja imagem e a fotografia reprovada na mod</w:t>
      </w:r>
      <w:r>
        <w:t xml:space="preserve">eração, esta com a indicação do motivo, e em nenhum desses casos há gravação. O aviso a quem encaminhou emprega o endereço do aplicativo gravado no token, e não o da requisição, de modo que o vínculo da mensagem não possa ser desviado para endereço alheio.</w:t>
      </w:r>
      <w:r>
        <w:rPr>
          <w:color w:val="000000"/>
        </w:rPr>
      </w:r>
      <w:r>
        <w:rPr>
          <w:color w:val="000000"/>
        </w:rPr>
      </w:r>
    </w:p>
    <w:p w14:paraId="68DF7DC8" w14:textId="77777777">
      <w:pPr>
        <w:pBdr/>
        <w:spacing/>
        <w:ind/>
        <w:rPr>
          <w:color w:val="000000"/>
        </w:rPr>
      </w:pPr>
      <w:r>
        <w:t xml:space="preserve">Relacionado aos requisitos: RF20, RF23, RF26 e RNF17.</w:t>
      </w:r>
      <w:r>
        <w:rPr>
          <w:color w:val="000000"/>
        </w:rPr>
      </w:r>
      <w:r>
        <w:rPr>
          <w:color w:val="000000"/>
        </w:rPr>
      </w:r>
    </w:p>
    <w:p>
      <w:pPr>
        <w:pBdr/>
        <w:spacing/>
        <w:ind/>
        <w:rPr/>
      </w:pPr>
      <w:r/>
      <w:r/>
    </w:p>
    <w:p>
      <w:pPr>
        <w:pStyle w:val="1638"/>
        <w:pBdr/>
        <w:spacing/>
        <w:ind/>
        <w:rPr/>
      </w:pPr>
      <w:r/>
      <w:bookmarkStart w:id="123" w:name="_Toc33"/>
      <w:r>
        <w:t xml:space="preserve">5.2 ANÁLISE DOS REQUISITOS</w:t>
      </w:r>
      <w:r/>
      <w:bookmarkEnd w:id="123"/>
      <w:r/>
      <w:r/>
    </w:p>
    <w:p>
      <w:pPr>
        <w:pStyle w:val="1639"/>
        <w:pBdr/>
        <w:spacing/>
        <w:ind/>
        <w:rPr>
          <w:color w:val="00b050"/>
        </w:rPr>
      </w:pPr>
      <w:r/>
      <w:bookmarkStart w:id="124" w:name="_Toc34"/>
      <w:r>
        <w:t xml:space="preserve">5.2.1 Visão Funcional</w:t>
      </w:r>
      <w:r/>
      <w:bookmarkEnd w:id="124"/>
      <w:r/>
      <w:r>
        <w:rPr>
          <w:color w:val="00b050"/>
        </w:rPr>
      </w:r>
    </w:p>
    <w:p>
      <w:pPr>
        <w:pBdr>
          <w:top w:val="none" w:color="000000" w:sz="4" w:space="0"/>
          <w:left w:val="none" w:color="000000" w:sz="4" w:space="0"/>
          <w:bottom w:val="none" w:color="000000" w:sz="4" w:space="0"/>
          <w:right w:val="none" w:color="000000" w:sz="4" w:space="0"/>
        </w:pBdr>
        <w:spacing/>
        <w:ind/>
        <w:rPr/>
      </w:pPr>
      <w:r>
        <w:t xml:space="preserve">A vi</w:t>
      </w:r>
      <w:r>
        <w:t xml:space="preserve">são funcional do sistema é representada por meio de modelos de casos de uso da UML, que mostram as interações entre os atores e o sistema. Esses modelos permitem visualizar o escopo das funcionalidades e os limites de acesso de cada papel de ator esperado.</w:t>
      </w:r>
      <w:r/>
    </w:p>
    <w:p>
      <w:pPr>
        <w:pBdr/>
        <w:spacing/>
        <w:ind/>
        <w:rPr/>
      </w:pPr>
      <w:r>
        <w:t xml:space="preserve">Os diagramas de casos de uso e seus respectivos fluxos de eventos com os cenários principal e alternativos encontram-se no Apêndice C.</w:t>
      </w:r>
      <w:r/>
    </w:p>
    <w:p>
      <w:pPr>
        <w:pBdr/>
        <w:spacing/>
        <w:ind/>
        <w:rPr/>
      </w:pPr>
      <w:r>
        <w:t xml:space="preserve">No diagrama de contexto, além dos atores humanos, figuram como atores secundários os sistemas externos com os quais os casos de uso interagem: o S</w:t>
      </w:r>
      <w:r>
        <w:t xml:space="preserve">ervidor de mapa geográfico (OpenStreetMap e Nominatim), o Servidor de imagens (Cloudinary), o Servidor de e-mail (SMTP), o Aplicativo de SMS (SMS Gateway for Android) e o Aplicativo autenticador (TOTP), especificados nos RNF10, RNF12 e RNF14. As associaçõe</w:t>
      </w:r>
      <w:r>
        <w:t xml:space="preserve">s entre atores e casos de uso são representadas por uma única linha, e as relações de inclusão e de extensão, por linha tracejada com uma única seta, orientada do caso base para o incluído («include») e do caso que estende para o caso estendido («extend»).</w:t>
      </w:r>
      <w:r/>
    </w:p>
    <w:p>
      <w:pPr>
        <w:pBdr/>
        <w:spacing/>
        <w:ind/>
        <w:rPr/>
      </w:pPr>
      <w:r/>
      <w:r/>
    </w:p>
    <w:p>
      <w:pPr>
        <w:pBdr/>
        <w:spacing/>
        <w:ind/>
        <w:rPr/>
      </w:pPr>
      <w:r/>
      <w:r/>
    </w:p>
    <w:p>
      <w:pPr>
        <w:pStyle w:val="1639"/>
        <w:pBdr/>
        <w:spacing/>
        <w:ind/>
        <w:rPr/>
      </w:pPr>
      <w:r/>
      <w:bookmarkStart w:id="125" w:name="_Toc35"/>
      <w:r>
        <w:t xml:space="preserve">5.2.2 Modelo Conceitual dos Dados</w:t>
      </w:r>
      <w:r/>
      <w:bookmarkEnd w:id="125"/>
      <w:r/>
      <w:r/>
    </w:p>
    <w:p>
      <w:pPr>
        <w:pBdr>
          <w:top w:val="none" w:color="000000" w:sz="4" w:space="0"/>
          <w:left w:val="none" w:color="000000" w:sz="4" w:space="0"/>
          <w:bottom w:val="none" w:color="000000" w:sz="4" w:space="0"/>
          <w:right w:val="none" w:color="000000" w:sz="4" w:space="0"/>
        </w:pBdr>
        <w:spacing/>
        <w:ind/>
        <w:rPr/>
      </w:pPr>
      <w:r>
        <w:t xml:space="preserve">O modelo conceitual dos dados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pPr>
        <w:pBdr/>
        <w:spacing/>
        <w:ind/>
        <w:rPr/>
      </w:pPr>
      <w:r>
        <w:t xml:space="preserve">As principais entidades e seus relacionamentos encontram-se modeladas da seguinte forma:</w:t>
      </w:r>
      <w:r/>
    </w:p>
    <w:p>
      <w:pPr>
        <w:pBdr/>
        <w:spacing/>
        <w:ind/>
        <w:rPr/>
      </w:pPr>
      <w:r>
        <w:t xml:space="preserve">a) a entidade </w:t>
      </w:r>
      <w:r>
        <w:rPr>
          <w:i/>
          <w:iCs/>
        </w:rPr>
        <w:t xml:space="preserve">User </w:t>
      </w:r>
      <w:r>
        <w:rPr>
          <w:iCs/>
        </w:rPr>
        <w:t xml:space="preserve">é</w:t>
      </w:r>
      <w:r>
        <w:rPr>
          <w:i/>
          <w:iCs/>
        </w:rPr>
        <w:t xml:space="preserve"> </w:t>
      </w:r>
      <w:r>
        <w:rPr>
          <w:iCs/>
        </w:rPr>
        <w:t xml:space="preserve">uma </w:t>
      </w:r>
      <w:r>
        <w:t xml:space="preserve">entidade que representa o usuário, as credenciais de autenticação e os metadados de auditoria (como </w:t>
      </w:r>
      <w:r>
        <w:rPr>
          <w:i/>
          <w:iCs/>
        </w:rPr>
        <w:t xml:space="preserve">created_at</w:t>
      </w:r>
      <w:r>
        <w:t xml:space="preserve"> e </w:t>
      </w:r>
      <w:r>
        <w:rPr>
          <w:i/>
          <w:iCs/>
        </w:rPr>
        <w:t xml:space="preserve">is_active</w:t>
      </w:r>
      <w:r>
        <w:t xml:space="preserve">). Dela derivam as especializações Citizen, Employee, Administrator e SuperAdministrator por meio de um vínculo de herança, garantindo que cada papel possua atribut</w:t>
      </w:r>
      <w:r>
        <w:t xml:space="preserve">os específicos e permissões restritas conforme o nível de acesso; a especialização SuperAdministrator, ao contrário de Employee e de Administrator, não se vincula a município, e as quatro são distinguidas no modelo lógico pelo atributo role da tabela user;</w:t>
      </w:r>
      <w:r/>
    </w:p>
    <w:p>
      <w:pPr>
        <w:pBdr/>
        <w:spacing/>
        <w:ind/>
        <w:rPr/>
      </w:pPr>
      <w:r>
        <w:rPr>
          <w:highlight w:val="white"/>
        </w:rPr>
        <w:t xml:space="preserve">b) </w:t>
      </w:r>
      <w:r>
        <w:t xml:space="preserve">a entidade </w:t>
      </w:r>
      <w:r>
        <w:rPr>
          <w:i/>
          <w:iCs/>
        </w:rPr>
        <w:t xml:space="preserve">Occurrence </w:t>
      </w:r>
      <w:r>
        <w:t xml:space="preserve">é entidade que representa a ocorrência informada pelo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usuário;</w:t>
      </w:r>
      <w:r/>
    </w:p>
    <w:p>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pPr>
        <w:pBdr/>
        <w:spacing/>
        <w:ind/>
        <w:rPr>
          <w:color w:val="000000"/>
        </w:rPr>
      </w:pPr>
      <w:r>
        <w:rPr>
          <w:color w:val="000000"/>
        </w:rPr>
        <w:t xml:space="preserve">d) a entidade </w:t>
      </w:r>
      <w:r>
        <w:rPr>
          <w:i/>
          <w:color w:val="000000"/>
        </w:rPr>
        <w:t xml:space="preserve">Department</w:t>
      </w:r>
      <w:r>
        <w:rPr>
          <w:color w:val="000000"/>
        </w:rPr>
        <w:t xml:space="preserve"> representa o setor da administração municipal responsável pela execução do serviço — secretaria, autarquia ou departamento —, identificado pelo nome, endereço de correio eletrônico institucional e pelo município ao qual pertence. O relacionamento entre </w:t>
      </w:r>
      <w:r>
        <w:rPr>
          <w:i/>
          <w:color w:val="000000"/>
        </w:rPr>
        <w:t xml:space="preserve">Occurrence</w:t>
      </w:r>
      <w:r>
        <w:rPr>
          <w:color w:val="000000"/>
        </w:rPr>
        <w:t xml:space="preserve"> e </w:t>
      </w:r>
      <w:r>
        <w:rPr>
          <w:i/>
          <w:color w:val="000000"/>
        </w:rPr>
        <w:t xml:space="preserve">Department </w:t>
      </w:r>
      <w:r>
        <w:rPr>
          <w:color w:val="000000"/>
        </w:rPr>
        <w:t xml:space="preserve">materializa o trâmite administrativo e assegura o encaminhamento da demanda ao setor competente do município da ocorrência;</w:t>
      </w:r>
      <w:r>
        <w:rPr>
          <w:color w:val="000000"/>
        </w:rPr>
      </w:r>
      <w:r>
        <w:rPr>
          <w:color w:val="000000"/>
        </w:rPr>
      </w:r>
    </w:p>
    <w:p>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status de acompanhamento da ocorrência, bem como pelas solicitações de conclusão enviadas pelos departamentos (RF26);</w:t>
      </w:r>
      <w:r>
        <w:rPr>
          <w:color w:val="000000"/>
        </w:rPr>
      </w:r>
      <w:r/>
    </w:p>
    <w:p>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pPr>
        <w:pBdr/>
        <w:spacing/>
        <w:ind/>
        <w:rPr/>
      </w:pPr>
      <w:r>
        <w:t xml:space="preserve">O Diagrama Entidade-Relacionamento (DER) completo encontra-se no Apêndice D, em imagem (FalaCidade_DER_v4.png) e no formato editável do diagrams.net (FalaCidade_DER_v4.drawio).</w:t>
      </w:r>
      <w:r/>
    </w:p>
    <w:p>
      <w:pPr>
        <w:pBdr/>
        <w:spacing/>
        <w:ind/>
        <w:rPr/>
      </w:pPr>
      <w:r/>
      <w:r/>
    </w:p>
    <w:p>
      <w:pPr>
        <w:pStyle w:val="1639"/>
        <w:pBdr/>
        <w:spacing/>
        <w:ind/>
        <w:rPr/>
      </w:pPr>
      <w:r/>
      <w:bookmarkStart w:id="126" w:name="_Toc36"/>
      <w:r>
        <w:t xml:space="preserve">5.2.3 Modelo Inicial da Interface de Usuário</w:t>
      </w:r>
      <w:r/>
      <w:bookmarkEnd w:id="126"/>
      <w:r/>
      <w:r/>
    </w:p>
    <w:p>
      <w:pPr>
        <w:pBdr>
          <w:top w:val="none" w:color="000000" w:sz="4" w:space="0"/>
          <w:left w:val="none" w:color="000000" w:sz="4" w:space="0"/>
          <w:bottom w:val="none" w:color="000000" w:sz="4" w:space="0"/>
          <w:right w:val="none" w:color="000000" w:sz="4" w:space="0"/>
        </w:pBdr>
        <w:spacing/>
        <w:ind/>
        <w:rPr/>
      </w:pPr>
      <w:r>
        <w:t xml:space="preserve">O modelo inicial da interface de usuário tem enfoque em uma navegação intuitiva e minimalista para reduzir a carga cognitiva do usuário. Os protótipos contemplam o fluxo principal do sistema, incluindo:</w:t>
      </w:r>
      <w:r/>
    </w:p>
    <w:p>
      <w:pPr>
        <w:pBdr/>
        <w:spacing/>
        <w:ind/>
        <w:rPr/>
      </w:pPr>
      <w:r>
        <w:t xml:space="preserve">a) páginas de autenticação e cadastro: interfaces simplificadas que incorporam o aceite aos termos de uso e privacidade;</w:t>
      </w:r>
      <w:r/>
    </w:p>
    <w:p>
      <w:pPr>
        <w:pBdr/>
        <w:spacing/>
        <w:ind/>
        <w:rPr/>
      </w:pPr>
      <w:r>
        <w:t xml:space="preserve">b) fluxo de registro de ocorrência: formulário dinâmico com suporte a anexos e integração visual com mapas para georeferenciamento;</w:t>
      </w:r>
      <w:r/>
    </w:p>
    <w:p>
      <w:pPr>
        <w:pBdr/>
        <w:spacing/>
        <w:ind/>
        <w:rPr/>
      </w:pPr>
      <w:r>
        <w:t xml:space="preserve">c) área do cidadão: painel para acompanhamento de protocolos e histórico de notificações;</w:t>
      </w:r>
      <w:r/>
    </w:p>
    <w:p>
      <w:pPr>
        <w:pBdr/>
        <w:spacing/>
        <w:ind/>
        <w:rPr/>
      </w:pPr>
      <w:r>
        <w:t xml:space="preserve">d) painel administrativo (com </w:t>
      </w:r>
      <w:r>
        <w:rPr>
          <w:i/>
        </w:rPr>
        <w:t xml:space="preserve">dashboard</w:t>
      </w:r>
      <w:r>
        <w:t xml:space="preserve">): visualização analítica destinada aos perfis de Funcionário e Administrador para gestão de ocorrências.</w:t>
      </w:r>
      <w:r/>
    </w:p>
    <w:p>
      <w:pPr>
        <w:pBdr/>
        <w:spacing/>
        <w:ind/>
        <w:rPr/>
      </w:pPr>
      <w:r>
        <w:t xml:space="preserve">Os protótipos de baixa fidelidade, simulando elementos gráficos rudimentares, encontram-se no Apêndice E.</w:t>
      </w:r>
      <w:r/>
    </w:p>
    <w:p>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pPr>
        <w:pBdr/>
        <w:spacing/>
        <w:ind/>
        <w:rPr/>
      </w:pPr>
      <w:r/>
      <w:r/>
    </w:p>
    <w:p>
      <w:pPr>
        <w:pBdr/>
        <w:spacing w:after="0" w:line="240" w:lineRule="auto"/>
        <w:ind/>
        <w:jc w:val="left"/>
        <w:rPr/>
      </w:pPr>
      <w:r>
        <w:br w:type="page" w:clear="all"/>
      </w:r>
      <w:r/>
    </w:p>
    <w:p>
      <w:pPr>
        <w:pStyle w:val="1637"/>
        <w:pBdr/>
        <w:spacing/>
        <w:ind/>
        <w:rPr/>
      </w:pPr>
      <w:r/>
      <w:bookmarkStart w:id="127" w:name="_Toc37"/>
      <w:r>
        <w:t xml:space="preserve">6 ARQUITETURA E PROJETO DO SISTEMA DE SOFTWARE</w:t>
      </w:r>
      <w:r/>
      <w:bookmarkEnd w:id="127"/>
      <w:r/>
      <w:r/>
    </w:p>
    <w:p>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Cidade</w:t>
      </w:r>
      <w:r>
        <w:rPr>
          <w:color w:val="000000"/>
        </w:rPr>
        <w:t xml:space="preserve">!", apresentando a modelagem dos requisitos especificados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pPr>
        <w:pBdr/>
        <w:spacing/>
        <w:ind/>
        <w:rPr/>
      </w:pPr>
      <w:r/>
      <w:r/>
    </w:p>
    <w:p>
      <w:pPr>
        <w:pStyle w:val="1638"/>
        <w:pBdr/>
        <w:spacing/>
        <w:ind/>
        <w:rPr/>
      </w:pPr>
      <w:r/>
      <w:bookmarkStart w:id="128" w:name="_Toc38"/>
      <w:r>
        <w:t xml:space="preserve">6.1 VISÃO ESTRUTURAL</w:t>
      </w:r>
      <w:r/>
      <w:bookmarkEnd w:id="128"/>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 </w:t>
      </w:r>
      <w:r>
        <w:rPr>
          <w:color w:val="000000"/>
        </w:rPr>
        <w:t xml:space="preserve">a organização estática do sistema, decompondo o software em módulos lógicos com a relação de dependência entre os pacotes. Esta seção detalha como as responsabilidades são distribuídas para garantir a manutenção e a extensibilidade do sistema de software. </w:t>
      </w:r>
      <w:r>
        <w:rPr>
          <w:color w:val="000000"/>
        </w:rPr>
      </w:r>
      <w:r>
        <w:rPr>
          <w:color w:val="000000"/>
        </w:rPr>
      </w:r>
    </w:p>
    <w:p>
      <w:pPr>
        <w:pBdr/>
        <w:spacing/>
        <w:ind/>
        <w:rPr/>
      </w:pPr>
      <w:r/>
      <w:r/>
    </w:p>
    <w:p>
      <w:pPr>
        <w:pStyle w:val="1639"/>
        <w:pBdr/>
        <w:spacing/>
        <w:ind/>
        <w:rPr/>
      </w:pPr>
      <w:r/>
      <w:bookmarkStart w:id="129" w:name="_Toc39"/>
      <w:r>
        <w:t xml:space="preserve">6.1.1 Diagrama de Pacotes</w:t>
      </w:r>
      <w:r/>
      <w:bookmarkEnd w:id="129"/>
      <w:r/>
      <w:r/>
    </w:p>
    <w:p>
      <w:pPr>
        <w:pBdr>
          <w:top w:val="none" w:color="000000" w:sz="4" w:space="0"/>
          <w:left w:val="none" w:color="000000" w:sz="4" w:space="0"/>
          <w:bottom w:val="none" w:color="000000" w:sz="4" w:space="0"/>
          <w:right w:val="none" w:color="000000" w:sz="4" w:space="0"/>
        </w:pBdr>
        <w:spacing/>
        <w:ind/>
        <w:rPr/>
      </w:pPr>
      <w:r>
        <w:t xml:space="preserve">O código-fonte da API do </w:t>
      </w:r>
      <w:r>
        <w:rPr>
          <w:i/>
        </w:rPr>
        <w:t xml:space="preserve">back-end</w:t>
      </w:r>
      <w:r>
        <w:t xml:space="preserve"> está estruturado no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HTTPs;</w:t>
      </w:r>
      <w:r/>
    </w:p>
    <w:p>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w:t>
      </w:r>
      <w:r>
        <w:rPr>
          <w:i/>
        </w:rPr>
        <w:t xml:space="preserve">Data Access Object</w:t>
      </w:r>
      <w:r>
        <w:t xml:space="preserve"> - DAO), estabelecendo os contratos entre as camadas;</w:t>
      </w:r>
      <w:r/>
    </w:p>
    <w:p>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pPr>
        <w:pBdr>
          <w:top w:val="none" w:color="000000" w:sz="4" w:space="0"/>
          <w:left w:val="none" w:color="000000" w:sz="4" w:space="0"/>
          <w:bottom w:val="none" w:color="000000" w:sz="4" w:space="0"/>
          <w:right w:val="none" w:color="000000" w:sz="4" w:space="0"/>
        </w:pBdr>
        <w:spacing/>
        <w:ind/>
        <w:rPr/>
      </w:pPr>
      <w:r>
        <w:rPr>
          <w:i/>
        </w:rPr>
        <w:t xml:space="preserve">Configuration/Security:</w:t>
      </w:r>
      <w:r>
        <w:t xml:space="preserve"> pacote dedicado às configurações do Spring Security, filtros de autenticação JWT e validação de MFA.</w:t>
      </w:r>
      <w:r/>
    </w:p>
    <w:p>
      <w:pPr>
        <w:pBdr>
          <w:top w:val="none" w:color="000000" w:sz="4" w:space="0"/>
          <w:left w:val="none" w:color="000000" w:sz="4" w:space="0"/>
          <w:bottom w:val="none" w:color="000000" w:sz="4" w:space="0"/>
          <w:right w:val="none" w:color="000000" w:sz="4" w:space="0"/>
        </w:pBdr>
        <w:spacing/>
        <w:ind/>
        <w:rPr/>
      </w:pPr>
      <w:r>
        <w:t xml:space="preserve">Os demais pacotes identificados na arquitetura são:  </w:t>
      </w:r>
      <w:r>
        <w:rPr>
          <w:i/>
        </w:rPr>
        <w:t xml:space="preserve">Data Transfer Object</w:t>
      </w:r>
      <w:r>
        <w:t xml:space="preserve"> (DTO), interno ao pacote </w:t>
      </w:r>
      <w:r>
        <w:rPr>
          <w:i/>
        </w:rPr>
        <w:t xml:space="preserve">Domain</w:t>
      </w:r>
      <w:r>
        <w:t xml:space="preserve">, que contém as classes de transferência de dados utilizadas nas requisições e respostas da API Rest, desacoplando a camada de persistência da camada de apresentação; e os serviços internos ao pacote </w:t>
      </w:r>
      <w:r>
        <w:rPr>
          <w:i/>
        </w:rPr>
        <w:t xml:space="preserve">Implementation</w:t>
      </w:r>
      <w:r>
        <w:t xml:space="preserve">, dedicados à autenticação (com JWT), ao envio de e-mails e de SMS por meio do </w:t>
      </w:r>
      <w:r>
        <w:rPr>
          <w:i/>
        </w:rPr>
        <w:t xml:space="preserve">celular gateway</w:t>
      </w:r>
      <w:r>
        <w:t xml:space="preserve"> (porta </w:t>
      </w:r>
      <w:r>
        <w:rPr>
          <w:i/>
        </w:rPr>
        <w:t xml:space="preserve">SmsService</w:t>
      </w:r>
      <w:r>
        <w:t xml:space="preserve"> e adaptador </w:t>
      </w:r>
      <w:r>
        <w:rPr>
          <w:i/>
        </w:rPr>
        <w:t xml:space="preserve">SmsGatewayServiceImpl),</w:t>
      </w:r>
      <w:r>
        <w:t xml:space="preserve"> à validação de MFA, ao processamento de mídias (integração com a API Cloudinary), à geração e ao rastreamento de protocolos e às regras de ocorrências, incluindo o cálculo do raio de proximidade para o algoritm</w:t>
      </w:r>
      <w:r>
        <w:t xml:space="preserve">o de detecção de duplicidade (RF16). Integra ainda o pacote Implementation a classe DepartmentAccessTokenService, do pacote implementation.service.department, que emite e verifica os tokens de acesso do departamento (RF26) e é consumida pelo controlador De</w:t>
      </w:r>
      <w:r>
        <w:t xml:space="preserve">partmentAccessRestController, responsável pelos recursos da página pública do departamento. No front-end, essa página corresponde à rota pública departamento/:token, atendida pelo componente DepartmentAccessComponent e pelo serviço DepartmentAccessService.</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da API Rest (código de </w:t>
      </w:r>
      <w:r>
        <w:rPr>
          <w:i/>
          <w:color w:val="000000"/>
        </w:rPr>
        <w:t xml:space="preserve">back-end)</w:t>
      </w:r>
      <w:r>
        <w:rPr>
          <w:color w:val="000000"/>
        </w:rPr>
        <w:t xml:space="preserve"> e do PWA (código de </w:t>
      </w:r>
      <w:r>
        <w:rPr>
          <w:i/>
          <w:color w:val="000000"/>
        </w:rPr>
        <w:t xml:space="preserve">front-end</w:t>
      </w:r>
      <w:r>
        <w:rPr>
          <w:color w:val="000000"/>
        </w:rPr>
        <w:t xml:space="preserve">) encontram-se no Apêndice F. </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pPr>
        <w:pStyle w:val="1639"/>
        <w:pBdr/>
        <w:spacing/>
        <w:ind/>
        <w:rPr/>
      </w:pPr>
      <w:r/>
      <w:bookmarkStart w:id="130" w:name="_Toc40"/>
      <w:r>
        <w:t xml:space="preserve">6.1.2 Diagramas de Classes</w:t>
      </w:r>
      <w:r/>
      <w:bookmarkEnd w:id="130"/>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especificam os atributos, as operações e os relacionamentos entre os objetos instanciados a partir dessas classes. </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w:t>
      </w:r>
      <w:r>
        <w:rPr>
          <w:color w:val="000000"/>
        </w:rPr>
        <w:t xml:space="preserve">m a arquitetura hexagonal: as portas ocupam a coluna central, os adaptadores de persistência ficam de um lado e os de apresentação do outro, e a coluna do domínio reúne as entidades e os objetos de transferência de dados. Destacam-se as classes de domínio </w:t>
      </w:r>
      <w:r>
        <w:rPr>
          <w:i/>
          <w:color w:val="000000"/>
        </w:rPr>
        <w:t xml:space="preserve">Occurrence</w:t>
      </w:r>
      <w:r>
        <w:rPr>
          <w:color w:val="000000"/>
        </w:rPr>
        <w:t xml:space="preserve"> (ocorrência) e </w:t>
      </w:r>
      <w:r>
        <w:rPr>
          <w:i/>
          <w:color w:val="000000"/>
        </w:rPr>
        <w:t xml:space="preserve">UserModel </w:t>
      </w:r>
      <w:r>
        <w:rPr>
          <w:color w:val="000000"/>
        </w:rPr>
        <w:t xml:space="preserve">(conta de usuário).</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e o diagrama de implantação, que completam a visão estrutural, encontram-se no Apêndice F.</w:t>
      </w:r>
      <w:r>
        <w:rPr>
          <w:color w:val="000000"/>
        </w:rPr>
      </w:r>
      <w:r>
        <w:rPr>
          <w:color w:val="000000"/>
        </w:rPr>
      </w:r>
    </w:p>
    <w:p>
      <w:pPr>
        <w:pStyle w:val="1638"/>
        <w:pBdr/>
        <w:spacing/>
        <w:ind/>
        <w:rPr/>
      </w:pPr>
      <w:r/>
      <w:bookmarkStart w:id="131" w:name="_Toc41"/>
      <w:r>
        <w:t xml:space="preserve">6.2 VISÃO COMPORTAMENTAL</w:t>
      </w:r>
      <w:r/>
      <w:bookmarkEnd w:id="131"/>
      <w:r/>
      <w:r/>
    </w:p>
    <w:p>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pPr>
        <w:pBdr/>
        <w:spacing/>
        <w:ind/>
        <w:rPr/>
      </w:pPr>
      <w:r/>
      <w:r/>
    </w:p>
    <w:p>
      <w:pPr>
        <w:pStyle w:val="1639"/>
        <w:pBdr/>
        <w:spacing/>
        <w:ind/>
        <w:rPr/>
      </w:pPr>
      <w:r/>
      <w:bookmarkStart w:id="132" w:name="_Toc42"/>
      <w:r>
        <w:t xml:space="preserve">6.2.1 Projeto das Interações entre Objetos</w:t>
      </w:r>
      <w:r/>
      <w:bookmarkEnd w:id="132"/>
      <w:r/>
      <w:r/>
    </w:p>
    <w:p>
      <w:pPr>
        <w:pBdr/>
        <w:spacing/>
        <w:ind/>
        <w:rPr/>
      </w:pPr>
      <w:r/>
      <w:r/>
    </w:p>
    <w:p>
      <w:pPr>
        <w:pBdr/>
        <w:spacing/>
        <w:ind/>
        <w:rPr/>
      </w:pPr>
      <w:r>
        <w:t xml:space="preserve">6.2.1.1 Diagramas de Sequência</w:t>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detalham o comportamento do s</w:t>
      </w:r>
      <w:r>
        <w:rPr>
          <w:color w:val="000000"/>
        </w:rPr>
        <w:t xml:space="preserve">istema em cenários críticos, como o fluxo de registro de ocorrências e os processos de autenticação segura. Eles ilustram a cronologia das mensagens trocadas entre os objetos desde a interface do usuário até a confirmação de persistência no banco de dados.</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pPr>
        <w:pStyle w:val="1638"/>
        <w:pBdr/>
        <w:spacing/>
        <w:ind/>
        <w:rPr/>
      </w:pPr>
      <w:r/>
      <w:bookmarkStart w:id="133" w:name="_Toc43"/>
      <w:r>
        <w:t xml:space="preserve">6.3 VISÃO DOS DADOS</w:t>
      </w:r>
      <w:r/>
      <w:bookmarkEnd w:id="133"/>
      <w:r/>
      <w:r/>
    </w:p>
    <w:p>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pPr>
        <w:pStyle w:val="1639"/>
        <w:pBdr/>
        <w:spacing/>
        <w:ind/>
        <w:rPr/>
      </w:pPr>
      <w:r/>
      <w:bookmarkStart w:id="134" w:name="_Toc44"/>
      <w:r>
        <w:t xml:space="preserve">6.3.1 Modelo Lógico</w:t>
      </w:r>
      <w:r/>
      <w:bookmarkEnd w:id="134"/>
      <w:r/>
      <w:r/>
    </w:p>
    <w:p>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apoio dos cidadãos às ocorrências, limitado a um apoio por cidadão em cada ocorrência.</w:t>
      </w:r>
      <w:r>
        <w:rPr>
          <w:color w:val="000000"/>
          <w:szCs w:val="24"/>
        </w:rPr>
      </w:r>
      <w:r>
        <w:rPr>
          <w:color w:val="000000"/>
          <w:szCs w:val="24"/>
        </w:rPr>
      </w:r>
    </w:p>
    <w:p>
      <w:pPr>
        <w:pBdr/>
        <w:spacing/>
        <w:ind/>
        <w:rPr/>
      </w:pPr>
      <w:r>
        <w:t xml:space="preserve">O modelo reflete a consolidação dos dados de perfil e localização diretamente na tabela base </w:t>
      </w:r>
      <w:r>
        <w:rPr>
          <w:i/>
        </w:rPr>
        <w:t xml:space="preserve">User</w:t>
      </w:r>
      <w:r>
        <w:t xml:space="preserve">. Esta tabela centraliza tanto as credenciais de autenticação quanto os dados do cidadão (como </w:t>
      </w:r>
      <w:r>
        <w:rPr>
          <w:i/>
        </w:rPr>
        <w:t xml:space="preserve">address, neighborhood</w:t>
      </w:r>
      <w:r>
        <w:t xml:space="preserve"> e CEP), além de incluir o atributo discriminador </w:t>
      </w:r>
      <w:r>
        <w:rPr>
          <w:i/>
        </w:rPr>
        <w:t xml:space="preserve">role</w:t>
      </w:r>
      <w:r>
        <w:t xml:space="preserve">, responsável por definir o nível de acesso do registro entre os perfis de Administrador, Funcionário e Cidadão. A partir dessa centralização, o modelo mostra o mapeamento das tabelas operacionais cruciais para as regras de negócio, sendo elas a </w:t>
      </w:r>
      <w:r>
        <w:rPr>
          <w:i/>
        </w:rPr>
        <w:t xml:space="preserve">Occurrence </w:t>
      </w:r>
      <w:r>
        <w:t xml:space="preserve">e </w:t>
      </w:r>
      <w:r>
        <w:rPr>
          <w:i/>
        </w:rPr>
        <w:t xml:space="preserve">Occurrence_History</w:t>
      </w:r>
      <w:r>
        <w:t xml:space="preserve"> (responsável pelo armazenamento incremental e rastreabilidade de mudanças de status) e a </w:t>
      </w:r>
      <w:r>
        <w:rPr>
          <w:i/>
        </w:rPr>
        <w:t xml:space="preserve">Occurrence_Support</w:t>
      </w:r>
      <w:r>
        <w:t xml:space="preserve"> (tabela associativa que gerencia o relacionamento de muitos-para-muitos para o mecanismo de reforço comunitário de ocorrências).  A tabela </w:t>
      </w:r>
      <w:r>
        <w:rPr>
          <w:i/>
        </w:rPr>
        <w:t xml:space="preserve">Occurrence_history</w:t>
      </w:r>
      <w:r>
        <w:t xml:space="preserve"> </w:t>
      </w:r>
      <w:r>
        <w:t xml:space="preserve">recebe a referência ao departamento destinatário, o que preserva no histórico o registro de cada encaminhamento. A tabela occurrence_history recebeu ainda três colunas: kind (VARCHAR(30), obrigatória, com valor padrão STATUS), que distingue o trâmite de st</w:t>
      </w:r>
      <w:r>
        <w:t xml:space="preserve">atus (STATUS) da solicitação de conclusão do departamento (COMPLETION_REQUEST); attachment_url (VARCHAR(500)), com o endereço da fotografia anexada à solicitação; e attachment_public_id (VARCHAR(255)), com o identificador da fotografia no serviço Cloudinar</w:t>
      </w:r>
      <w:r>
        <w:t xml:space="preserve">y, empregado na sua remoção quando da exclusão da ocorrência. Na solicitação de conclusão, a coluna changed_by permanece nula, os status anterior e novo repetem o status corrente da ocorrência e a coluna department_id identifica o departamento solicitante.</w:t>
      </w: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 dados operacional encontra-se no Apêndice D.</w:t>
      </w:r>
      <w:r>
        <w:rPr>
          <w:color w:val="000000"/>
          <w:szCs w:val="24"/>
        </w:rPr>
      </w:r>
      <w:r>
        <w:rPr>
          <w:color w:val="000000"/>
          <w:szCs w:val="24"/>
        </w:rPr>
      </w:r>
    </w:p>
    <w:p>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pPr>
        <w:pStyle w:val="1639"/>
        <w:pBdr/>
        <w:spacing/>
        <w:ind/>
        <w:rPr/>
      </w:pPr>
      <w:r/>
      <w:bookmarkStart w:id="135" w:name="_Toc45"/>
      <w:r>
        <w:t xml:space="preserve">6.3.2 Dicionário de Dados do Modelo Lógico</w:t>
      </w:r>
      <w:r/>
      <w:bookmarkEnd w:id="135"/>
      <w:r/>
      <w:r/>
    </w:p>
    <w:p>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pPr>
        <w:pBdr/>
        <w:spacing/>
        <w:ind/>
        <w:rPr/>
      </w:pPr>
      <w:r>
        <w:t xml:space="preserve">O dicionário de dados técnico completo, contendo a totalidade das tabelas, chaves e restrições de cada campo, encontra-se disponível no Apêndice D.</w:t>
      </w:r>
      <w:r/>
    </w:p>
    <w:p>
      <w:pPr>
        <w:pBdr/>
        <w:spacing/>
        <w:ind/>
        <w:rPr/>
      </w:pPr>
      <w:r/>
      <w:r/>
    </w:p>
    <w:p>
      <w:pPr>
        <w:pStyle w:val="1638"/>
        <w:pBdr/>
        <w:spacing/>
        <w:ind/>
        <w:rPr/>
      </w:pPr>
      <w:r/>
      <w:bookmarkStart w:id="136" w:name="_Toc46"/>
      <w:r>
        <w:t xml:space="preserve">6.4 PROJETO DA INTERAÇÃO HUMANO-COMPUTADOR</w:t>
      </w:r>
      <w:r/>
      <w:bookmarkEnd w:id="136"/>
      <w:r/>
      <w:r/>
    </w:p>
    <w:p>
      <w:pPr>
        <w:pBdr/>
        <w:spacing/>
        <w:ind/>
        <w:rPr/>
      </w:pPr>
      <w:r>
        <w:t xml:space="preserve">O projeto da Interação Humano-Computador (IHC) para </w:t>
      </w:r>
      <w:r>
        <w:t xml:space="preserve">o sistema “Fala, Cidade!” visa estabelecer uma comunicação eficaz entre o cidadão, a administração pública e o sistema, priorizando a usabilidade e a acessibilidade digital. O desenvolvimento da interface de usuário fundamenta-se em três pilares técnicos: </w:t>
      </w:r>
      <w:r/>
    </w:p>
    <w:p>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pPr>
        <w:pBdr/>
        <w:spacing/>
        <w:ind/>
        <w:rPr/>
      </w:pPr>
      <w:r>
        <w:t xml:space="preserve">c) aplicação das heurísticas de usab</w:t>
      </w:r>
      <w:r>
        <w:t xml:space="preserve">ilidade: atenção às 10 heurísticas de Nielsen (1994), com ênfase na "visibilidade do status do sistema" (acompanhamento de protocolos) e "prevenção de erros" (agrupamento automático de relatos duplicados, sem interrupção do cidadão, e campos obrigatórios).</w:t>
      </w:r>
      <w:r/>
    </w:p>
    <w:p>
      <w:pPr>
        <w:pBdr/>
        <w:spacing/>
        <w:ind/>
        <w:rPr/>
      </w:pPr>
      <w:r/>
      <w:r/>
    </w:p>
    <w:p>
      <w:pPr>
        <w:pStyle w:val="1639"/>
        <w:pBdr/>
        <w:spacing/>
        <w:ind/>
        <w:rPr/>
      </w:pPr>
      <w:r/>
      <w:bookmarkStart w:id="137" w:name="_Toc47"/>
      <w:r>
        <w:t xml:space="preserve">6.4.1 Perfil de Usuário</w:t>
      </w:r>
      <w:r/>
      <w:bookmarkEnd w:id="137"/>
      <w:r/>
      <w:r/>
    </w:p>
    <w:p>
      <w:pPr>
        <w:pBdr/>
        <w:spacing/>
        <w:ind/>
        <w:rPr/>
      </w:pPr>
      <w:r>
        <w:t xml:space="preserve">Os perfis de usuários esperados para o sistema são elencados a seguir.</w:t>
      </w:r>
      <w:r/>
    </w:p>
    <w:p>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pPr>
        <w:pBdr/>
        <w:spacing/>
        <w:ind/>
        <w:rPr/>
      </w:pPr>
      <w:r>
        <w:t xml:space="preserve">b) </w:t>
      </w:r>
      <w:r>
        <w:rPr>
          <w:bCs/>
        </w:rPr>
        <w:t xml:space="preserve">Perfil Funcionário (representante do serviço público municipal)</w:t>
      </w:r>
      <w:r>
        <w:t xml:space="preserve">: representa o corpo técnico das secretarias e departamentos municipais. Atua no nível operacional, realizando a triagem de ocorrências, atualização de status e inserção de pareceres técnicos sobre as intervenções nas ocorrências relatadas; </w:t>
      </w:r>
      <w:r/>
    </w:p>
    <w:p>
      <w:pPr>
        <w:pBdr/>
        <w:spacing/>
        <w:ind/>
        <w:rPr/>
      </w:pPr>
      <w:r>
        <w:t xml:space="preserve">c) Perfil Administrador do Município: representa os gestores públicos e responsáveis pela prefeitura. Focam na análise macro estratégica através de</w:t>
      </w:r>
      <w:r>
        <w:rPr>
          <w:i/>
        </w:rPr>
        <w:t xml:space="preserve"> dashboards</w:t>
      </w:r>
      <w:r>
        <w:t xml:space="preserve"> e relatórios gerenciais para a tomada de decisão baseada em dados e alocação de recursos. Além da análise estratégica, um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pPr>
        <w:pBdr/>
        <w:spacing/>
        <w:ind/>
        <w:rPr/>
      </w:pPr>
      <w:r>
        <w:t xml:space="preserve">d) Perfi</w:t>
      </w:r>
      <w:r>
        <w:t xml:space="preserve">l Super Administrador: responsável pela operação do sistema junto ao conjunto dos municípios atendidos.  Torna disponível novos municípios, nomeia os seus administradores e acompanha o funcionamento geral, o que exige visão consolidada e acesso irrestrito.</w:t>
      </w:r>
      <w:r/>
    </w:p>
    <w:p>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pPr>
        <w:pBdr/>
        <w:spacing/>
        <w:ind/>
        <w:rPr>
          <w:szCs w:val="24"/>
        </w:rPr>
      </w:pPr>
      <w:r>
        <w:rPr>
          <w:szCs w:val="24"/>
        </w:rPr>
        <w:t xml:space="preserve">O gráfico da Figura 6 demonstra que metade dos participantes da pesquisa (50,0%) se ident</w:t>
      </w:r>
      <w:r>
        <w:rPr>
          <w:szCs w:val="24"/>
        </w:rPr>
        <w:t xml:space="preserve">ifica como "Cidadão". Isso é bastante positivo, pois representa o usuário final principal do sistema. Além disso, a soma das categorias "Servidor público" (44,4%) e "Gestor público" (5,6%) revela que a outra metade dos respondentes está diretamente ligada </w:t>
      </w:r>
      <w:r>
        <w:rPr>
          <w:szCs w:val="24"/>
        </w:rPr>
        <w:t xml:space="preserve">à administração pública. Essa diversidade de perfis é enriquecedora, pois indica que o projeto "Fala, Cidade!" desperta  interesse tanto da população que relatará as ocorrências quanto dos profissionais que atuarão na recepção e gestão dessas solicitações.</w:t>
      </w:r>
      <w:r>
        <w:rPr>
          <w:szCs w:val="24"/>
        </w:rPr>
      </w:r>
      <w:r>
        <w:rPr>
          <w:szCs w:val="24"/>
        </w:rPr>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11430" b="13335"/>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color="#000000">
                <v:imagedata r:id="rId23"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6</w:t>
        <w:fldChar w:fldCharType="end"/>
        <w:t xml:space="preserve"> – Perfil de usuário do respondente</w:t>
      </w:r>
      <w:r/>
    </w:p>
    <w:p>
      <w:pPr>
        <w:pBdr/>
        <w:spacing/>
        <w:ind/>
        <w:rPr>
          <w:szCs w:val="24"/>
        </w:rPr>
      </w:pPr>
      <w:r>
        <w:rPr>
          <w:szCs w:val="24"/>
        </w:rPr>
        <w:t xml:space="preserve">O gráfico da Figura 7 mostra que a maioria dos respondentes (83,3%) nunca utilizou um sistema focado no registro de problemas do cotidiano do município.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11430" b="13335"/>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color="#000000">
                <v:imagedata r:id="rId24"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7</w:t>
        <w:fldChar w:fldCharType="end"/>
        <w:t xml:space="preserve"> – Experiência com aplicativos para registro de problemas da cidade</w:t>
      </w:r>
      <w:r/>
    </w:p>
    <w:p>
      <w:pPr>
        <w:pBdr/>
        <w:spacing/>
        <w:ind/>
        <w:rPr/>
      </w:pPr>
      <w:r/>
      <w:r/>
    </w:p>
    <w:p>
      <w:pPr>
        <w:pBdr/>
        <w:spacing/>
        <w:ind/>
        <w:rPr>
          <w:szCs w:val="24"/>
        </w:rPr>
      </w:pPr>
      <w:r>
        <w:rPr>
          <w:szCs w:val="24"/>
        </w:rPr>
        <w:t xml:space="preserve">O gráfico da Figura 8 mostra que a proposta do "Fala, Cidade!" tem boa aceitação entre o público de interesse: 66,7% dos respondentes afirmaram que utilizariam um aplicativo</w:t>
      </w:r>
      <w:r>
        <w:rPr>
          <w:szCs w:val="24"/>
        </w:rPr>
        <w:t xml:space="preserve"> voltado para o registro de ocorrências em seu município e outros 11,1% consideraram a hipótese, o que soma 77,8% de disposição favorável. A parcela de 22,2% que respondeu negativamente é coerente com a dificuldade mais apontada nas questões abertas — a au</w:t>
      </w:r>
      <w:r>
        <w:rPr>
          <w:szCs w:val="24"/>
        </w:rPr>
        <w:t xml:space="preserve">sência de retorno da administração pública — e reforça que a adesão ao sistema depende menos do registro em si do que da resposta dada a ele, necessidade atendida pelo acompanhamento de protocolo (RF11) e pela notificação do autor a cada mudança de status.</w:t>
      </w:r>
      <w:r>
        <w:rPr>
          <w:szCs w:val="24"/>
        </w:rPr>
      </w:r>
      <w:r>
        <w:rPr>
          <w:szCs w:val="24"/>
        </w:rPr>
      </w:r>
    </w:p>
    <w:p>
      <w:pPr>
        <w:keepNext w:val="true"/>
        <w:pBdr/>
        <w:spacing/>
        <w:ind/>
        <w:rPr/>
      </w:pPr>
      <w:r>
        <mc:AlternateContent>
          <mc:Choice Requires="wpg">
            <w:drawing>
              <wp:inline xmlns:wp="http://schemas.openxmlformats.org/drawingml/2006/wordprocessingDrawing" distT="0" distB="0" distL="0" distR="0">
                <wp:extent cx="5760720" cy="2425065"/>
                <wp:effectExtent l="19050" t="19050" r="11430" b="13335"/>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color="#000000">
                <v:imagedata r:id="rId25"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8</w:t>
        <w:fldChar w:fldCharType="end"/>
        <w:t xml:space="preserve"> – Possibilidade de uso de um aplicativo para registrar ocorrências da cidade.</w:t>
      </w:r>
      <w:r/>
    </w:p>
    <w:p>
      <w:pPr>
        <w:pBdr/>
        <w:spacing/>
        <w:ind/>
        <w:rPr/>
      </w:pPr>
      <w:r>
        <w:t xml:space="preserve">Os demais itens do questionário corroboram para os requisitos: a totalidade dos respondentes (100%) considera importante visualizar dados em gráficos e painéis, recurso atendido pelo </w:t>
      </w:r>
      <w:r>
        <w:t xml:space="preserve">RF13</w:t>
      </w:r>
      <w:r>
        <w:t xml:space="preserve">; 94,4% consideram importante acompanhar o status de uma ocorrência registrada (</w:t>
      </w:r>
      <w:r>
        <w:t xml:space="preserve">RF11</w:t>
      </w:r>
      <w:r>
        <w:t xml:space="preserve">); e 83,3% julgam importante que a prefeitura responda ao cidadão, o que é atendido pela mensagem da equipe ao autor no detalhe da ocorrência (RF12).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pPr>
        <w:pBdr/>
        <w:spacing/>
        <w:ind/>
        <w:rPr/>
      </w:pPr>
      <w:r>
        <w:t xml:space="preserve">A pesquisa completa e os dados obtidos estão disponíveis no Apêndice G.</w:t>
      </w:r>
      <w:r/>
    </w:p>
    <w:p>
      <w:pPr>
        <w:pBdr/>
        <w:spacing/>
        <w:ind/>
        <w:rPr/>
      </w:pPr>
      <w:r/>
      <w:r/>
    </w:p>
    <w:p>
      <w:pPr>
        <w:pStyle w:val="1639"/>
        <w:pBdr/>
        <w:spacing/>
        <w:ind/>
        <w:rPr/>
      </w:pPr>
      <w:r/>
      <w:bookmarkStart w:id="138" w:name="_Toc48"/>
      <w:r>
        <w:t xml:space="preserve">6.4.2 Projeto da Interface de Usuário</w:t>
      </w:r>
      <w:r/>
      <w:bookmarkEnd w:id="138"/>
      <w:r/>
      <w:r/>
    </w:p>
    <w:p>
      <w:pPr>
        <w:pBdr/>
        <w:spacing/>
        <w:ind/>
        <w:rPr/>
      </w:pPr>
      <w:r>
        <w:t xml:space="preserve">A interface de usuário do sistema “Fala, Cidade!”  tem um projeto que reúne um conjunto de variáveis d</w:t>
      </w:r>
      <w:r>
        <w:t xml:space="preserve">e estilo definidas de forma centralizada na folha de estilos global da aplicação, o que assegura a uniformidade visual entre todas as páginas e concentra em um único ponto qualquer alteração de identidade visual. A padronização adotada é descrita a seguir.</w:t>
      </w:r>
      <w:r/>
    </w:p>
    <w:p>
      <w:pPr>
        <w:pBdr/>
        <w:spacing/>
        <w:ind/>
        <w:rPr/>
      </w:pPr>
      <w:r>
        <w:t xml:space="preserve">A cor primária do sistema é o azul de código hexadecimal #2563EB, empregada em elementos de ação, vínculos e destaques, com as variações #1D4ED8 para o estado pressi</w:t>
      </w:r>
      <w:r>
        <w:t xml:space="preserve">onado e #EFF6FF para fundos de realce. A comunicação de estado utiliza três cores semânticas: verde #16A34A para sucesso e para ocorrências concluídas, âmbar #D97706 para advertência e para ocorrências em andamento, e vermelho #DC2626 para erro e para ocor</w:t>
      </w:r>
      <w:r>
        <w:t xml:space="preserve">rências pendentes. As ocorrências indeferidas recebem o cinza neutro #6B7280  e as finalizadas, visíveis apenas ao Super Administrador, o preto #111111.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A família tipográ</w:t>
      </w:r>
      <w:r>
        <w:t xml:space="preserve">fica é a Inter, de licença livre, nos pesos 400, 500, 600 e 700, com a família Arial como alternativa de contingência. O tamanho de referência do corpo de texto é de 16 pixels, valor definido no elemento raiz do documento HTML e utilizado como base para as</w:t>
      </w:r>
      <w:r>
        <w:t xml:space="preserve"> demais medidas, o que viabiliza o redimensionamento proporcional de toda a interface de usuário. A escolha por uma fonte sem serifa de alta legibilidade em telas atende ao perfil de usuário cidadão, caracterizado por níveis variados de letramento digital.</w:t>
      </w:r>
      <w:r/>
    </w:p>
    <w:p>
      <w:pPr>
        <w:pBdr/>
        <w:spacing/>
        <w:ind/>
        <w:rPr/>
      </w:pPr>
      <w:r>
        <w:t xml:space="preserve">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As mensagens de retorno ao usuário e elementos de interação, como  as confirmações e os avisos de erro, são apresentados por meio de notificaçõe</w:t>
      </w:r>
      <w:r>
        <w:t xml:space="preserve">s temporárias posicionadas no canto da tela, e as operações de consequência irreversível — como a exclusão de conta, a exclusão de ocorrência pelo Super Administrador e o indeferimento de uma ocorrência — são precedidas de caixas de diálogo modais de confi</w:t>
      </w:r>
      <w:r>
        <w:t xml:space="preserve">rmação; nos diálogos de exclusão, de conta e de ocorrência, a advertência “Esta ação não pode ser desfeita.” é apresentada em destaque, em negrito e em linha própria. As notificações temporárias têm largura de até 540 pixels e permanecem na tela por oito s</w:t>
      </w:r>
      <w:r>
        <w:t xml:space="preserve">egundos, ou por três segundos depois que o ponteiro do mouse deixa a notificação. A composição das páginas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9"/>
        <w:pBdr/>
        <w:spacing/>
        <w:ind/>
        <w:rPr/>
      </w:pPr>
      <w:r/>
      <w:bookmarkStart w:id="139" w:name="_Toc49"/>
      <w:r>
        <w:t xml:space="preserve">6.4.3 Heurísticas de Usabilidade</w:t>
      </w:r>
      <w:r/>
      <w:bookmarkEnd w:id="139"/>
      <w:r/>
      <w:r/>
    </w:p>
    <w:p>
      <w:pPr>
        <w:pBdr/>
        <w:spacing/>
        <w:ind/>
        <w:rPr/>
      </w:pPr>
      <w:r>
        <w:t xml:space="preserve">A avaliação da interface de usuário do sistema é conduzida à luz das dez heurísticas de usabilidade propostas por Nielsen (1994). A seguir descreve-se, para cada heurística, a forma como o projeto da interface a atende.</w:t>
      </w:r>
      <w:r/>
    </w:p>
    <w:p>
      <w:pPr>
        <w:pBdr/>
        <w:spacing/>
        <w:ind/>
        <w:rPr/>
      </w:pPr>
      <w:r>
        <w:t xml:space="preserve">Visibilidade do status do sistema: cada ocorrência registrada apresenta de forma permanente o seu es</w:t>
      </w:r>
      <w:r>
        <w:t xml:space="preserve">tado atual — pendente, em andamento, concluída, indeferida ou, para o Super Administrador, finalizada — acompanhado de cor semântica correspondente e do histórico completo de trâmites com data, responsável e observação. Concluído o registro de uma ocorrênc</w:t>
      </w:r>
      <w:r>
        <w:t xml:space="preserve">ia agrupada automaticamente a outra já existente (RF16), a interface informa o agrupamento e o protocolo da ocorrência existente, sem exigir qualquer ação do cidadão. Durante o envio de fotografias, a interface exibe o progresso do processamento por meio d</w:t>
      </w:r>
      <w:r>
        <w:t xml:space="preserve">e consulta periódica ao estado do envio, informando o usuário quando a mídia é aceita ou rejeitada. Os estados de espera, como “Salvando...” e “Carregando...”, são apresentados com reticências animadas, o que indica ao usuário que a operação está em curso.</w:t>
      </w:r>
      <w:r/>
    </w:p>
    <w:p>
      <w:pPr>
        <w:pBdr/>
        <w:spacing/>
        <w:ind/>
        <w:rPr/>
      </w:pPr>
      <w:r>
        <w:t xml:space="preserve">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Controle e liberdade do usuário: os formulários de registro p</w:t>
      </w:r>
      <w:r>
        <w:t xml:space="preserve">ermitem o retorno às etapas anteriores sem perda dos dados já informados, a remoção individual das fotografias anexadas antes da submissão e o cancelamento da operação a qualquer momento. O ponto de localização selecionado no mapa pode ser reposicionado li</w:t>
      </w:r>
      <w:r>
        <w:t xml:space="preserve">vremente até a confirmação do registro. Todas as telas oferecem pontos de saída e de cancelamento claramente identificados: o botão “Cancelar” nos formulários de registro de ocorrência, de cadastro de contas e de departamentos; o vínculo “Voltar para a aut</w:t>
      </w:r>
      <w:r>
        <w:t xml:space="preserve">enticação” nas telas de recuperação de senha e de cadastro; o retorno à listagem a partir do detalhe da ocorrência; a opção de desistir em todas as caixas de diálogo de confirmação; e a opção “Sair” do menu lateral, que encerra a sessão a qualquer momento.</w:t>
      </w:r>
      <w:r/>
    </w:p>
    <w:p>
      <w:pPr>
        <w:pBdr/>
        <w:spacing/>
        <w:ind/>
        <w:rPr/>
      </w:pPr>
      <w:r>
        <w:t xml:space="preserve">d) Consistência e padrões: a padronização </w:t>
      </w:r>
      <w:r>
        <w:t xml:space="preserve">descrita na Seção 6.4.2 é aplicada de maneira uniforme, com posicionamento fixo dos elementos de navegação, identidade cromática constante para cada estado e nomenclatura idêntica para uma mesma ação em todas as telas. As convenções comuns aos navegadores </w:t>
      </w:r>
      <w:r>
        <w:rPr>
          <w:i/>
        </w:rPr>
        <w:t xml:space="preserve">Web</w:t>
      </w:r>
      <w:r>
        <w:t xml:space="preserve"> são respeitadas, a exemplo do uso de campos de formulário nativos e do comportamento esperado do botão de retorno do navegador;</w:t>
      </w:r>
      <w:r/>
    </w:p>
    <w:p>
      <w:pPr>
        <w:pBdr/>
        <w:spacing/>
        <w:ind/>
        <w:rPr/>
      </w:pPr>
      <w:r>
        <w:t xml:space="preserve">Prevenção de erros: evitar relatos repetidos é realizada pelo próprio sistema, pois no ato do registro, a ocorrência ativa da mesma</w:t>
      </w:r>
      <w:r>
        <w:t xml:space="preserve"> categoria situada a até setenta metros em linha reta é identificada automaticamente e a nova ocorrência é agrupada a ela (RF16 e RN06), sem interromper o cidadão com alertas ou decisões, o que evita a duplicação de demandas no painel administrativo. A val</w:t>
      </w:r>
      <w:r>
        <w:t xml:space="preserve">idação dos campos obrigatórios ocorre no próprio formulário, antes do envio; as máscaras de digitação do CEP, do telefone e da unidade federativa e os limites de tamanho dos campos, coincidentes com os do banco de dados (RN01), impedem a entrada de valores</w:t>
      </w:r>
      <w:r>
        <w:t xml:space="preserve"> em formato inválido;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Reconhecimento em lugar de memorização: o preenchimento do endereço é realizado automaticamente a partir das coordenadas obtidas</w:t>
      </w:r>
      <w:r>
        <w:t xml:space="preserve"> do dispositivo ou selecionadas no mapa, dispensando o usuário de recordar a denominação exata do logradouro ou do bairro. As categorias são apresentadas em lista de seleção com rótulo e cor, e a listagem de ocorrências exibe simultaneamente protocolo, cat</w:t>
      </w:r>
      <w:r>
        <w:t xml:space="preserve">egoria, endereço e estado, de modo que o usuário não precise memorizar o código do protocolo para localizar a sua demanda. O número de protocolo e o código de acompanhamento anônimo podem ser copiados por botão próprio, e os campos de código — de verificaç</w:t>
      </w:r>
      <w:r>
        <w:t xml:space="preserve">ão em duas etapas, de acompanhamento anônimo e de recuperação de senha — são preenchidos automaticamente a partir da área de transferência quando o conteúdo copiado tem o formato esperado (RF11), o que dispensa a memorização e a redigitação desses códigos.</w:t>
      </w:r>
      <w:r/>
    </w:p>
    <w:p>
      <w:pPr>
        <w:pBdr/>
        <w:spacing/>
        <w:ind/>
        <w:rPr/>
      </w:pPr>
      <w:r>
        <w:t xml:space="preserve">Flexibilidade e eficiência de uso: o painel de ocorrências disponibiliza filtro</w:t>
      </w:r>
      <w:r>
        <w:t xml:space="preserve">s combináveis por período, bairro, categoria e UF e a ação coletiva sobre grupos de ocorrências duplicadas, formados automaticamente no registro, permite ao servidor público atualizar de uma só vez o estado de todos os relatos referentes a um mesmo problem</w:t>
      </w:r>
      <w:r>
        <w:t xml:space="preserve">a. Para o usuário experiente, o acesso direto por número de protocolo abrevia o percurso de navegação. Os cartões da listagem e da tela inicial admitem a seleção e a cópia do texto, e o clique com a tecla Ctrl (Cmd, no macOS) abre a ocorrência em nova aba.</w:t>
      </w:r>
      <w:r/>
    </w:p>
    <w:p>
      <w:pPr>
        <w:pBdr/>
        <w:spacing/>
        <w:ind/>
        <w:rPr/>
      </w:pPr>
      <w:r>
        <w:t xml:space="preserve">Estética e design minimalista: as páginas apresentam apenas a informação necessária à tarefa em curso, com hierarquia tipográfica de</w:t>
      </w:r>
      <w:r>
        <w:t xml:space="preserve">finida por peso e tom de cinza em vez de elementos decorativos. O formulário de registro de ocorrência, página de maior frequência de uso, restringe-se aos campos estritamente indispensáveis, deixando os dados complementares em campos opcionais recolhidos.</w:t>
      </w:r>
      <w:r/>
    </w:p>
    <w:p>
      <w:pPr>
        <w:pBdr/>
        <w:spacing/>
        <w:ind/>
        <w:rPr/>
      </w:pPr>
      <w:r>
        <w:t xml:space="preserve">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O cadastro de conta do cidadão (RF01), dividido em seis etapas, aplica três dessas heurísticas. A barra de progresso, com a indicação “Etapa X de 6”, atende à visibilidade do status do sistema, ao informar a cada passo quanto do percurso j</w:t>
      </w:r>
      <w:r>
        <w:t xml:space="preserve">á foi cumprido e quanto resta. A validação de cada etapa antes do avanço — inclusive a da data de nascimento, que recusa datas inexistentes no calendário, futuras ou anteriores a 1900 — atende à prevenção de erros, pois o valor incorreto é apontado na próp</w:t>
      </w:r>
      <w:r>
        <w:t xml:space="preserve">ria etapa em que surge, e não apenas ao final. O botão “Voltar”, presente em todas as etapas, atende ao controle e liberdade do usuário: permite rever qualquer resposta sem perda do que já foi digitado e, na primeira etapa, retornar à tela de autenticação.</w:t>
      </w:r>
      <w:r/>
    </w:p>
    <w:p>
      <w:pPr>
        <w:pBdr/>
        <w:spacing/>
        <w:ind/>
        <w:rPr/>
      </w:pPr>
      <w:r>
        <w:t xml:space="preserve">A Figura 9 evidencia as heurísticas “visibilidade do status do sistema”</w:t>
      </w:r>
      <w:r>
        <w:t xml:space="preserve"> e “correspondência entre o sistema e o mundo real” na página inicial: cada ocorrência da relação de recentes exibe o seu estado em rótulo textual acompanhado da cor semântica correspondente, a mesma empregada na legenda do mapa e na faixa “Situação das oc</w:t>
      </w:r>
      <w:r>
        <w:t xml:space="preserve">orrências”, que resume em uma única linha o total de registros do território em exibição; o identificador é apresentado como protocolo e as categorias são enunciadas em linguagem corrente, a exemplo de “Poste com luz queimada” e “Buraco na rua ou calçada”.</w:t>
      </w:r>
      <w:r/>
    </w:p>
    <w:p>
      <w:pPr>
        <w:pBdr/>
        <w:spacing/>
        <w:ind/>
        <w:jc w:val="center"/>
        <w:rPr/>
      </w:pPr>
      <w:r>
        <mc:AlternateContent>
          <mc:Choice Requires="wpg">
            <w:drawing>
              <wp:inline xmlns:wp="http://schemas.openxmlformats.org/drawingml/2006/wordprocessingDrawing" distT="0" distB="0" distL="0" distR="0">
                <wp:extent cx="5760720" cy="2940618"/>
                <wp:effectExtent l="19050" t="19050" r="11430" b="1270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20" cy="2940618"/>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color="#000000">
                <v:imagedata r:id="rId26"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9</w:t>
        <w:fldChar w:fldCharType="end"/>
        <w:t xml:space="preserve"> – Página inicial: estado das ocorrências em cor e rótulo, protocolo e categorias em linguagem corrente</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8"/>
        <w:pBdr/>
        <w:spacing/>
        <w:ind/>
        <w:jc w:val="center"/>
        <w:rPr/>
      </w:pPr>
      <w:r>
        <mc:AlternateContent>
          <mc:Choice Requires="wpg">
            <w:drawing>
              <wp:inline xmlns:wp="http://schemas.openxmlformats.org/drawingml/2006/wordprocessingDrawing" distT="0" distB="0" distL="0" distR="0">
                <wp:extent cx="4531065" cy="3754429"/>
                <wp:effectExtent l="19050" t="19050" r="22225" b="1778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a:off x="0" y="0"/>
                          <a:ext cx="4531065" cy="375442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color="#000000">
                <v:imagedata r:id="rId27" o:title=""/>
                <o:lock v:ext="edit" rotation="t"/>
              </v:shape>
            </w:pict>
          </mc:Fallback>
        </mc:AlternateContent>
      </w:r>
      <w:r/>
    </w:p>
    <w:p>
      <w:pPr>
        <w:pBdr/>
        <w:spacing/>
        <w:ind/>
        <w:rPr/>
      </w:pPr>
      <w:r/>
      <w:r/>
    </w:p>
    <w:p>
      <w:pPr>
        <w:pStyle w:val="1848"/>
        <w:pBdr/>
        <w:spacing/>
        <w:ind/>
        <w:rPr/>
      </w:pPr>
      <w:r>
        <w:t xml:space="preserve">FIGURA </w:t>
        <w:fldChar w:fldCharType="begin"/>
        <w:instrText xml:space="preserve">SEQ FIGURA \* Arabic </w:instrText>
        <w:fldChar w:fldCharType="separate"/>
        <w:t xml:space="preserve">10</w:t>
        <w:fldChar w:fldCharType="end"/>
        <w:t xml:space="preserve"> – Registro de ocorrência: campos obrigatórios, exemplos de preenchimento e marcação do local no mapa</w:t>
      </w:r>
      <w:r/>
    </w:p>
    <w:p>
      <w:pPr>
        <w:pBdr/>
        <w:spacing/>
        <w:ind/>
        <w:rPr/>
      </w:pPr>
      <w:r>
        <w:t xml:space="preserve">A Figura 11 evidencia as heurísticas “flexibilidade e eficiência de uso” e “consistência e padrões” </w:t>
      </w:r>
      <w:r>
        <w:t xml:space="preserve">na administração de contas de usuário: a busca por nome ou endereço de correio eletrônico e os filtros combináveis por perfil, município e situação abreviam o percurso até a conta procurada; a alteração do perfil é feita na própria linha da relação, sem pá</w:t>
      </w:r>
      <w:r>
        <w:t xml:space="preserve">gina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8"/>
        <w:pBdr/>
        <w:spacing/>
        <w:ind/>
        <w:jc w:val="center"/>
        <w:rPr/>
      </w:pPr>
      <w:r>
        <mc:AlternateContent>
          <mc:Choice Requires="wpg">
            <w:drawing>
              <wp:inline xmlns:wp="http://schemas.openxmlformats.org/drawingml/2006/wordprocessingDrawing" distT="0" distB="0" distL="0" distR="0">
                <wp:extent cx="5760720" cy="3121806"/>
                <wp:effectExtent l="19050" t="19050" r="11430" b="2159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20" cy="31218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color="#000000">
                <v:imagedata r:id="rId28"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11</w:t>
        <w:fldChar w:fldCharType="end"/>
        <w:t xml:space="preserve"> – Administração de contas: busca, filtros combináveis e alteração de perfil na própria linha</w:t>
      </w:r>
      <w:r/>
    </w:p>
    <w:p>
      <w:pPr>
        <w:pStyle w:val="1848"/>
        <w:pBdr/>
        <w:spacing/>
        <w:ind/>
        <w:jc w:val="center"/>
        <w:rPr/>
      </w:pPr>
      <w:r>
        <w:t xml:space="preserve"> </w:t>
      </w:r>
      <w:r/>
    </w:p>
    <w:p>
      <w:pPr>
        <w:pBdr/>
        <w:spacing/>
        <w:ind/>
        <w:rPr/>
      </w:pPr>
      <w:r>
        <w:t xml:space="preserve">A Figura 12 evidencia as heurísticas “flexibilidade e eficiência de uso” e “controle e liberdade do usuário” na página inicial de quem não tem acesso ao sistema por uma conta de usuário. O município em exibição, escolhido no acesso (RF08), é indica</w:t>
      </w:r>
      <w:r>
        <w:t xml:space="preserve">do na barra superior, ao lado do botão “Alterar”, que permite trocá-lo a qualquer momento; a troca desloca o mapa, recompõe a relação de ocorrências recentes e recalcula a faixa de situação, sem que o usuário precise refazer a navegação. O modo visitante (</w:t>
      </w:r>
      <w:r>
        <w:t xml:space="preserve">RF08 e RF11</w:t>
      </w:r>
      <w:r>
        <w:t xml:space="preserve">) preserva a consulta ao mapa e ao acervo de ocorrências, reservando o vínculo com a conta apenas ao que depende de autoria.</w:t>
      </w:r>
      <w:r/>
    </w:p>
    <w:p>
      <w:pPr>
        <w:pStyle w:val="1848"/>
        <w:pBdr/>
        <w:spacing/>
        <w:ind/>
        <w:jc w:val="center"/>
        <w:rPr/>
      </w:pPr>
      <w:r>
        <mc:AlternateContent>
          <mc:Choice Requires="wpg">
            <w:drawing>
              <wp:inline xmlns:wp="http://schemas.openxmlformats.org/drawingml/2006/wordprocessingDrawing" distT="0" distB="0" distL="0" distR="0">
                <wp:extent cx="5040000" cy="3500000"/>
                <wp:effectExtent l="19050" t="19050" r="27305" b="24765"/>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color="#000000">
                <v:imagedata r:id="rId29"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12</w:t>
        <w:fldChar w:fldCharType="end"/>
        <w:t xml:space="preserve"> – Página inicial do visitante: município em exibição, mapa e indicadores do território em exibição</w:t>
      </w:r>
      <w:r/>
    </w:p>
    <w:p>
      <w:pPr>
        <w:pBdr/>
        <w:spacing/>
        <w:ind/>
        <w:rPr/>
      </w:pPr>
      <w:r/>
      <w:r/>
    </w:p>
    <w:p>
      <w:pPr>
        <w:pBdr/>
        <w:spacing/>
        <w:ind/>
        <w:rPr/>
      </w:pPr>
      <w:r>
        <w:t xml:space="preserve">A Figura 13 evidencia as heurísticas “prevenção de erros” e “controle e liberdade do usuário” na segunda parte do formulário de registro: os campos de endereço — logradouro, número, bairro, </w:t>
      </w:r>
      <w:r>
        <w:t xml:space="preserve">UF e município — chegam preenchidos a partir do ponto marcado no mapa e permanecem editáveis pelo usuário; o limite de três fotografias e o desfoque automático dos rostos de pessoas e das placas de veículos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8"/>
        <w:pBdr/>
        <w:spacing/>
        <w:ind/>
        <w:jc w:val="center"/>
        <w:rPr/>
      </w:pPr>
      <w:r>
        <mc:AlternateContent>
          <mc:Choice Requires="wpg">
            <w:drawing>
              <wp:inline xmlns:wp="http://schemas.openxmlformats.org/drawingml/2006/wordprocessingDrawing" distT="0" distB="0" distL="0" distR="0">
                <wp:extent cx="4961890" cy="4548020"/>
                <wp:effectExtent l="19050" t="19050" r="10160" b="2286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a:off x="0" y="0"/>
                          <a:ext cx="4961890" cy="454802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58.11pt;mso-wrap-distance-left:0.00pt;mso-wrap-distance-top:0.00pt;mso-wrap-distance-right:0.00pt;mso-wrap-distance-bottom:0.00pt;z-index:1;" strokecolor="#000000">
                <v:imagedata r:id="rId30"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13</w:t>
        <w:fldChar w:fldCharType="end"/>
        <w:t xml:space="preserve"> – Registro de ocorrência: endereço a partir do mapa, desfoque das fotografias e registro anônimo</w:t>
      </w:r>
      <w:r/>
    </w:p>
    <w:p>
      <w:pPr>
        <w:pBdr/>
        <w:spacing/>
        <w:ind/>
        <w:rPr/>
      </w:pPr>
      <w:r>
        <w:t xml:space="preserve">A Figura 14 evidencia as heurísticas “visibilidade do status do sistema” e “flexibilidade e eficiência de uso” na página de acompanhamento da ocorrência: o histórico registra cada trâmite com data, responsável e mensagem, de mo</w:t>
      </w:r>
      <w:r>
        <w:t xml:space="preserve">do que o estado atual seja sempre explicado pelo que o antecedeu; o selo de ocorrência anônima adverte a equipe de que não há autor identificado a quem responder; as mensagens de uso mais frequente são oferecidas como respostas prontas ao lado do campo de </w:t>
      </w:r>
      <w:r>
        <w:t xml:space="preserve">texto livre; e as ações de encaminhamento ao departamento responsável — pelo botão “Encaminhar ao departamento responsável” —, de conclusão e de indeferimento ficam reunidas ao final da página, separadas por peso visual conforme a consequência de cada uma.</w:t>
      </w:r>
      <w:r/>
    </w:p>
    <w:p>
      <w:pPr>
        <w:pStyle w:val="1848"/>
        <w:pBdr/>
        <w:spacing/>
        <w:ind/>
        <w:jc w:val="center"/>
        <w:rPr/>
      </w:pPr>
      <w:r>
        <mc:AlternateContent>
          <mc:Choice Requires="wpg">
            <w:drawing>
              <wp:inline xmlns:wp="http://schemas.openxmlformats.org/drawingml/2006/wordprocessingDrawing" distT="0" distB="0" distL="0" distR="0">
                <wp:extent cx="3183747" cy="5967382"/>
                <wp:effectExtent l="19050" t="19050" r="17145" b="1778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a:off x="0" y="0"/>
                          <a:ext cx="3183747" cy="5967382"/>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69.87pt;mso-wrap-distance-left:0.00pt;mso-wrap-distance-top:0.00pt;mso-wrap-distance-right:0.00pt;mso-wrap-distance-bottom:0.00pt;z-index:1;" strokecolor="#000000">
                <v:imagedata r:id="rId31"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14</w:t>
        <w:fldChar w:fldCharType="end"/>
        <w:t xml:space="preserve"> – Detalhe da ocorrência: histórico dos trâmites, resposta ao cidadão e ações de tratamento</w:t>
      </w:r>
      <w:r/>
    </w:p>
    <w:p>
      <w:pPr>
        <w:pStyle w:val="1848"/>
        <w:pBdr/>
        <w:spacing/>
        <w:ind/>
        <w:jc w:val="center"/>
        <w:rPr/>
      </w:pPr>
      <w:r/>
      <w:r/>
    </w:p>
    <w:p>
      <w:pPr>
        <w:pBdr/>
        <w:spacing/>
        <w:ind/>
        <w:rPr/>
      </w:pPr>
      <w:r>
        <w:t xml:space="preserve">A Figura 15 evidencia as heurísticas “prevenção de erros” e “auxílio no reconhecimento, diagnóstico e recuperação de erros” no cadastro de contas de usuários com perfil d</w:t>
      </w:r>
      <w:r>
        <w:t xml:space="preserve">e administrador: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8"/>
        <w:pBdr/>
        <w:spacing/>
        <w:ind/>
        <w:jc w:val="center"/>
        <w:rPr/>
      </w:pPr>
      <w:r>
        <mc:AlternateContent>
          <mc:Choice Requires="wpg">
            <w:drawing>
              <wp:inline xmlns:wp="http://schemas.openxmlformats.org/drawingml/2006/wordprocessingDrawing" distT="0" distB="0" distL="0" distR="0">
                <wp:extent cx="3518289" cy="3981221"/>
                <wp:effectExtent l="19050" t="19050" r="25400" b="2730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a:off x="0" y="0"/>
                          <a:ext cx="3518289" cy="3981221"/>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13.48pt;mso-wrap-distance-left:0.00pt;mso-wrap-distance-top:0.00pt;mso-wrap-distance-right:0.00pt;mso-wrap-distance-bottom:0.00pt;z-index:1;" strokecolor="#000000">
                <v:imagedata r:id="rId32"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15</w:t>
        <w:fldChar w:fldCharType="end"/>
        <w:t xml:space="preserve"> – Cadastro de contas: município condicionado à unidade da federação e perfis conforme quem cadastra</w:t>
      </w:r>
      <w:r/>
    </w:p>
    <w:p>
      <w:pPr>
        <w:pStyle w:val="1848"/>
        <w:pBdr/>
        <w:spacing/>
        <w:ind/>
        <w:rPr/>
      </w:pPr>
      <w:r/>
      <w:r/>
    </w:p>
    <w:p>
      <w:pPr>
        <w:pBdr/>
        <w:spacing/>
        <w:ind/>
        <w:rPr/>
      </w:pPr>
      <w:r>
        <w:t xml:space="preserve">A Figura 16 evidencia as heurísticas “ajuda e documentação” e “correspondência entre o sistema e o m</w:t>
      </w:r>
      <w:r>
        <w:t xml:space="preserve">undo real”: a “Central de Ajuda” reúne, em linguagem corrente e em formato de pergunta e resposta, as orientações para o registro de uma ocorrência, o esclarecimento sobre o envio anônimo, o caminho para acompanhar o protocolo e o significado de cada estad</w:t>
      </w:r>
      <w:r>
        <w:t xml:space="preserve">o, de modo que o uso do sistema não pressuponha treinamento prévio; ao lado, o cartão de contato apresenta o endereço de correio eletrônico, o telefone e o endereço da administração que poderão ser utilizados pelo usuário em situações não previstas (RF17).</w:t>
      </w:r>
      <w:r/>
    </w:p>
    <w:p>
      <w:pPr>
        <w:pStyle w:val="1848"/>
        <w:pBdr/>
        <w:spacing/>
        <w:ind/>
        <w:rPr/>
      </w:pPr>
      <w:r>
        <mc:AlternateContent>
          <mc:Choice Requires="wpg">
            <w:drawing>
              <wp:inline xmlns:wp="http://schemas.openxmlformats.org/drawingml/2006/wordprocessingDrawing" distT="0" distB="0" distL="0" distR="0">
                <wp:extent cx="5760720" cy="2984387"/>
                <wp:effectExtent l="19050" t="19050" r="11430" b="2349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20" cy="2984387"/>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234.99pt;mso-wrap-distance-left:0.00pt;mso-wrap-distance-top:0.00pt;mso-wrap-distance-right:0.00pt;mso-wrap-distance-bottom:0.00pt;z-index:1;" strokecolor="#000000">
                <v:imagedata r:id="rId33"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16</w:t>
        <w:fldChar w:fldCharType="end"/>
        <w:t xml:space="preserve"> – Central de Ajuda: perguntas frequentes e canal de contato com a administração</w:t>
      </w:r>
      <w:r/>
    </w:p>
    <w:p>
      <w:pPr>
        <w:pStyle w:val="1848"/>
        <w:pBdr/>
        <w:spacing/>
        <w:ind/>
        <w:jc w:val="center"/>
        <w:rPr/>
      </w:pPr>
      <w:r>
        <w:t xml:space="preserve"> </w:t>
      </w:r>
      <w:r/>
    </w:p>
    <w:p>
      <w:pPr>
        <w:pBdr/>
        <w:spacing/>
        <w:ind/>
        <w:rPr/>
      </w:pPr>
      <w:r>
        <w:t xml:space="preserve">A Figura 17 evidencia as heurísticas “auxílio no reconhecimento, diagnóstico e recuperação de erros” e “controle e liberdade do usuár</w:t>
      </w:r>
      <w:r>
        <w:t xml:space="preserve">io” na recuperação de senha, saída para o erro mais frequente do usuário, que é o esquecimento da própria credencial para acesso. A página informa, antes do preenchimento, o que será feito com o endereço fornecido; oferece o retorno à tela de autenticação,</w:t>
      </w:r>
      <w:r>
        <w:t xml:space="preserve"> pelo vínculo “Voltar para a autenticação”, e um atalho para quem já recebeu o código, sem obrigar a repetir o envio; e o código é expedido ao correio eletrônico, de modo que a verificação permaneça fora do alcance de quem tenha acesso apenas ao navegador.</w:t>
      </w:r>
      <w:r/>
    </w:p>
    <w:p>
      <w:pPr>
        <w:pBdr/>
        <w:spacing/>
        <w:ind/>
        <w:rPr/>
      </w:pPr>
      <w:r>
        <mc:AlternateContent>
          <mc:Choice Requires="wpg">
            <w:drawing>
              <wp:inline xmlns:wp="http://schemas.openxmlformats.org/drawingml/2006/wordprocessingDrawing" distT="0" distB="0" distL="0" distR="0">
                <wp:extent cx="3667956" cy="3463566"/>
                <wp:effectExtent l="19050" t="19050" r="27940" b="133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a:off x="0" y="0"/>
                          <a:ext cx="3667956" cy="3463566"/>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72.72pt;mso-wrap-distance-left:0.00pt;mso-wrap-distance-top:0.00pt;mso-wrap-distance-right:0.00pt;mso-wrap-distance-bottom:0.00pt;z-index:1;" strokecolor="#000000">
                <v:imagedata r:id="rId34"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17</w:t>
        <w:fldChar w:fldCharType="end"/>
        <w:t xml:space="preserve"> – Recuperar senha: envio do código por correio eletrônico e retorno à tela de autenticação</w:t>
      </w:r>
      <w:r/>
    </w:p>
    <w:p>
      <w:pPr>
        <w:pBdr/>
        <w:spacing/>
        <w:ind/>
        <w:rPr/>
      </w:pPr>
      <w:r>
        <w:t xml:space="preserve">A</w:t>
      </w:r>
      <w:r>
        <w:t xml:space="preserve"> Figura 18 evidencia as heurísticas “estética e design minimalista” e “visibilidade do status do sistema” no painel de estatísticas: a carga do período é apresentada em uma única faixa proporcional, com os valores imediatamente abaixo, em lugar de repetir </w:t>
      </w:r>
      <w:r>
        <w:t xml:space="preserve">os mesmos números em cartões, barras e gráfico de setores; a hierarquia da informação decorre do peso tipográfico e do tom, sem elemento decorativo; e o realce visual é reservado ao único dado que exige decisão do servidor público, o número de ocorrências </w:t>
      </w:r>
      <w:r>
        <w:t xml:space="preserve">em aberto há mais de quinze dias, acompanhado da identificação daquela que espera há mais tempo. Os campos do período adotam a máscara dd/mm/aaaa, o formato de data usual no Brasil, e assinalam a data incompleta ou inexistente antes de aplicá-la ao filtro.</w:t>
      </w:r>
      <w:r/>
    </w:p>
    <w:p>
      <w:pPr>
        <w:pBdr/>
        <w:spacing/>
        <w:ind/>
        <w:rPr/>
      </w:pPr>
      <w:r>
        <mc:AlternateContent>
          <mc:Choice Requires="wpg">
            <w:drawing>
              <wp:inline xmlns:wp="http://schemas.openxmlformats.org/drawingml/2006/wordprocessingDrawing" distT="0" distB="0" distL="0" distR="0">
                <wp:extent cx="5760720" cy="4737400"/>
                <wp:effectExtent l="19050" t="19050" r="11430" b="2540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20" cy="47374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color="#000000">
                <v:imagedata r:id="rId35"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18</w:t>
        <w:fldChar w:fldCharType="end"/>
        <w:t xml:space="preserve"> – Estatísticas: carga do período, fila de espera e hierarquia sem ornamento</w:t>
      </w:r>
      <w:r/>
    </w:p>
    <w:p>
      <w:pPr>
        <w:pStyle w:val="1848"/>
        <w:pBdr/>
        <w:spacing/>
        <w:ind/>
        <w:rPr/>
      </w:pPr>
      <w:r/>
      <w:r/>
    </w:p>
    <w:p>
      <w:pPr>
        <w:pBdr/>
        <w:spacing/>
        <w:ind/>
        <w:rPr/>
      </w:pPr>
      <w:r>
        <w:t xml:space="preserve">A Figura 19 evidencia as heurísticas “controle e liberdade do usuário” e “prevenção de err</w:t>
      </w:r>
      <w:r>
        <w:t xml:space="preserve">os” na tela “Minha Conta”, que reúne em um só lugar tudo o que o usuário decide a respeito da própria conta: a edição dos dados pessoais (RF04), a troca da senha mediante a entrada da senha atual, a ativação da verificação em duas etapas por correio eletrô</w:t>
      </w:r>
      <w:r>
        <w:t xml:space="preserve">nico ou por aplicativo autenticador e a exclusão da conta (RF06). Cada bloco é independente e possui o seu próprio botão de gravação, de modo que uma alteração não arraste as demais. A exclusão ocupa área destacada ao final da página,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p>
    <w:p>
      <w:pPr>
        <w:pStyle w:val="1848"/>
        <w:pBdr/>
        <w:spacing/>
        <w:ind/>
        <w:jc w:val="center"/>
        <w:rPr/>
      </w:pPr>
      <w:r>
        <mc:AlternateContent>
          <mc:Choice Requires="wpg">
            <w:drawing>
              <wp:inline xmlns:wp="http://schemas.openxmlformats.org/drawingml/2006/wordprocessingDrawing" distT="0" distB="0" distL="0" distR="0">
                <wp:extent cx="5760720" cy="4608576"/>
                <wp:effectExtent l="19050" t="19050" r="11430" b="1714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6362" name=""/>
                        <pic:cNvPicPr>
                          <a:picLocks noChangeAspect="1"/>
                        </pic:cNvPicPr>
                        <pic:nvPr/>
                      </pic:nvPicPr>
                      <pic:blipFill rotWithShape="1">
                        <a:blip r:embed="rId36"/>
                        <a:stretch/>
                      </pic:blipFill>
                      <pic:spPr bwMode="auto">
                        <a:xfrm>
                          <a:off x="0" y="0"/>
                          <a:ext cx="5760720" cy="4608576"/>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362.88pt;mso-wrap-distance-left:0.00pt;mso-wrap-distance-top:0.00pt;mso-wrap-distance-right:0.00pt;mso-wrap-distance-bottom:0.00pt;z-index:1;" strokecolor="#000000">
                <v:imagedata r:id="rId36" o:title=""/>
                <o:lock v:ext="edit" rotation="t"/>
              </v:shape>
            </w:pict>
          </mc:Fallback>
        </mc:AlternateContent>
      </w:r>
      <w:r/>
    </w:p>
    <w:p>
      <w:pPr>
        <w:pStyle w:val="1848"/>
        <w:pBdr/>
        <w:spacing/>
        <w:ind/>
        <w:rPr/>
      </w:pPr>
      <w:r>
        <w:t xml:space="preserve">FIGURA </w:t>
        <w:fldChar w:fldCharType="begin"/>
        <w:instrText xml:space="preserve">SEQ FIGURA \* Arabic </w:instrText>
        <w:fldChar w:fldCharType="separate"/>
        <w:t xml:space="preserve">19</w:t>
        <w:fldChar w:fldCharType="end"/>
        <w:t xml:space="preserve"> – Minha conta: dados pessoais, troca de senha, verificação em duas etapas e exclusão da conta</w:t>
      </w:r>
      <w:r/>
    </w:p>
    <w:p>
      <w:pPr>
        <w:pStyle w:val="1848"/>
        <w:pBdr/>
        <w:spacing/>
        <w:ind/>
        <w:jc w:val="center"/>
        <w:rPr/>
      </w:pPr>
      <w:r>
        <w:t xml:space="preserve"> </w:t>
      </w:r>
      <w:r/>
    </w:p>
    <w:p>
      <w:pPr>
        <w:pBdr/>
        <w:spacing/>
        <w:ind/>
        <w:rPr/>
      </w:pPr>
      <w:r/>
      <w:r/>
    </w:p>
    <w:p>
      <w:pPr>
        <w:pStyle w:val="1639"/>
        <w:pBdr/>
        <w:spacing/>
        <w:ind/>
        <w:rPr/>
      </w:pPr>
      <w:r/>
      <w:bookmarkStart w:id="140" w:name="_Toc50"/>
      <w:r>
        <w:t xml:space="preserve">6.4.4 Projeto da Acessibilidade</w:t>
      </w:r>
      <w:r/>
      <w:bookmarkEnd w:id="140"/>
      <w:r/>
      <w:r/>
    </w:p>
    <w:p>
      <w:pPr>
        <w:pBdr/>
        <w:spacing/>
        <w:ind/>
        <w:rPr/>
      </w:pPr>
      <w:r>
        <w:t xml:space="preserve">O projeto de acessibilidade do sistema segue 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de acessibilidade no sistema são descritos a seguir.</w:t>
      </w:r>
      <w:r/>
    </w:p>
    <w:p>
      <w:pPr>
        <w:pBdr/>
        <w:spacing/>
        <w:ind/>
        <w:rPr/>
      </w:pPr>
      <w:r>
        <w:t xml:space="preserve">Controle de tamanho de fonte:</w:t>
      </w:r>
      <w:r>
        <w:t xml:space="preserve">  o sistema disponibiliza, de forma fixa e presente em todas as páginas,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Contraste: a combinação da cor pri</w:t>
      </w:r>
      <w:r>
        <w:t xml:space="preserve">mária com o plano de fundo branco apresenta razão de contraste de aproximadamente 5,17 para 1, superior ao mínimo de 4,5 para 1 exigido pelo critério 1.4.3 (contraste mínimo) das Diretrizes de Acessibilidade para Conteúdo Web (WCAG) 2.1, do W3C, para texto</w:t>
      </w:r>
      <w:r>
        <w:t xml:space="preserve"> de tamanho normal. A escala de cinza é definida de modo que os tons empregados em texto sobre fundos claros permaneçam acima desse limiar.</w:t>
      </w:r>
      <w:r/>
    </w:p>
    <w:p>
      <w:pPr>
        <w:pBdr/>
        <w:spacing/>
        <w:ind/>
        <w:rPr/>
      </w:pPr>
      <w:r>
        <w:t xml:space="preserve">Estrutura semântica e tecnologias assistivas: </w:t>
      </w:r>
      <w:r>
        <w:t xml:space="preserve">a página HTML da PWA declara o idioma português do Brasil (lang="pt-BR") em seu elemento raiz, atendendo ao critério 3.1.1 (idioma da página) das WCAG 2.1;</w:t>
      </w:r>
      <w:r>
        <w:t xml:space="preserve"> os campos dos formulários de conta de us</w:t>
      </w:r>
      <w:r>
        <w:t xml:space="preserve">uário são associados a rótulos programaticamente vinculados; as imagens significativas possuem texto alternativo descritivo; e os controles acionados apenas por ícone recebem rótulo acessível, de modo que sejam anunciados corretamente por leitores de tela.</w:t>
      </w:r>
      <w:r/>
    </w:p>
    <w:p>
      <w:pPr>
        <w:pBdr/>
        <w:spacing/>
        <w:ind/>
        <w:rPr/>
      </w:pPr>
      <w:r>
        <w:t xml:space="preserve">Operação por teclado e responsividade: a navegação uti</w:t>
      </w:r>
      <w:r>
        <w:t xml:space="preserve">liza elementos nativos de navegadores Web, que preservam a ordem natural de tabulação e o acionamento por teclado. A interface responsiva e o dimensionamento das áreas de toque seguem o critério 2.5.5 (tamanho do alvo) das WCAG 2.1 nos dispositivos móveis.</w:t>
      </w:r>
      <w:r/>
    </w:p>
    <w:p>
      <w:pPr>
        <w:pBdr/>
        <w:spacing/>
        <w:ind/>
        <w:rPr>
          <w:highlight w:val="yellow"/>
        </w:rPr>
      </w:pPr>
      <w:r>
        <w:t xml:space="preserve">Texto alternativo e mapa: o atributo alt é empregado conforme</w:t>
      </w:r>
      <w:r>
        <w:t xml:space="preserve"> o critério 1.1.1 (conteúdo não textual) das WCAG 2.1. As imagens significativas recebem texto alternativo descritivo — as fotografias das ocorrências, identificadas pelo título da ocorrência, a miniatura das fotografias selecionadas, o código QR da ativaç</w:t>
      </w:r>
      <w:r>
        <w:t xml:space="preserve">ão do aplicativo autenticador e os marcadores do mapa —, ao passo que as imagens e os ícones meramente decorativos recebem texto alternativo vazio (alt="") e o atributo aria-hidden="true", para que os leitores de tela os ignorem, e os botões acionados apen</w:t>
      </w:r>
      <w:r>
        <w:t xml:space="preserve">as por ícone recebem rótulo acessível (aria-label). Na recuperação dos ladrilhos do mapa, foi corrigida a faixa clara que atravessava o mapa quando a escala da tela ou o zoom do navegador eram fracionários: a folha de estilos da biblioteca Leaflet aplica a</w:t>
      </w:r>
      <w:r>
        <w:t xml:space="preserve">os ladrilhos um modo de mesclagem que, nas bordas que não coincidem com um pixel inteiro da tela, somava as bordas vizinhas e produzia a linha; a folha de estilos global passou a aplicar a mesclagem normal aos ladrilhos, sem alteração da aparência do mapa.</w:t>
      </w:r>
      <w:r>
        <w:rPr>
          <w:highlight w:val="yellow"/>
        </w:rPr>
      </w:r>
      <w:r>
        <w:rPr>
          <w:highlight w:val="yellow"/>
        </w:rP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8"/>
        <w:pBdr/>
        <w:spacing/>
        <w:ind/>
        <w:rPr/>
      </w:pPr>
      <w:r/>
      <w:bookmarkStart w:id="141" w:name="_Toc51"/>
      <w:r>
        <w:t xml:space="preserve">6.5 PROJETO DO SISTEMA DISTRIBUÍDO</w:t>
      </w:r>
      <w:r/>
      <w:bookmarkEnd w:id="141"/>
      <w:r/>
      <w:r/>
    </w:p>
    <w:p>
      <w:pPr>
        <w:pBdr/>
        <w:spacing/>
        <w:ind/>
        <w:rPr/>
      </w:pPr>
      <w:r>
        <w:t xml:space="preserve">Segundo Coulouris </w:t>
      </w:r>
      <w:r>
        <w:rPr>
          <w:i/>
        </w:rPr>
        <w:t xml:space="preserve">et al.</w:t>
      </w:r>
      <w:r>
        <w:t xml:space="preserve"> (2013), um sistema distribuído é aquele no qual componentes situados em computadores interligados em rede se comunicam e coordenam suas aç</w:t>
      </w:r>
      <w:r>
        <w:t xml:space="preserve">ões exclusivamente por meio da troca de mensagens. O sistema “Fala, Cidade!” tem seus componentes executados em máquinas distintas, comunicam-se por protocolos de aplicação sobre a rede de comunicação de dados e não compartilham memória nem relógio comum. </w:t>
      </w:r>
      <w:r/>
    </w:p>
    <w:p>
      <w:pPr>
        <w:pBdr/>
        <w:spacing/>
        <w:ind/>
        <w:rPr/>
      </w:pPr>
      <w:r>
        <w:t xml:space="preserve">No projeto deste sistema distribuído adota-se o modelo cliente-servidor, com os componentes de apresentação (</w:t>
      </w:r>
      <w:r>
        <w:rPr>
          <w:i/>
        </w:rPr>
        <w:t xml:space="preserve">front-end</w:t>
      </w:r>
      <w:r>
        <w:t xml:space="preserve">), constituídos pelo PWA e navegador Web (cliente); de aplicação (</w:t>
      </w:r>
      <w:r>
        <w:rPr>
          <w:i/>
        </w:rPr>
        <w:t xml:space="preserve">back-end</w:t>
      </w:r>
      <w:r>
        <w:t xml:space="preserve">), com a API e Spring Boot; e de dados, pelo SGBD PostgreSQL —, com comunicação no estilo arquitetural Rest sobre HTTPs e servidor de aplicação sem manutenção de estado.</w:t>
      </w:r>
      <w:r/>
    </w:p>
    <w:p>
      <w:pPr>
        <w:pBdr/>
        <w:spacing/>
        <w:ind/>
        <w:rPr/>
      </w:pPr>
      <w:r>
        <w:t xml:space="preserve">O projeto de distribuição está no Apêndice I. </w:t>
      </w:r>
      <w:r/>
    </w:p>
    <w:p>
      <w:pPr>
        <w:pBdr/>
        <w:spacing/>
        <w:ind/>
        <w:rPr/>
      </w:pPr>
      <w:r>
        <w:t xml:space="preserve">O diagrama do sistema distribuído, no Apêndice I, representa os equipamentos </w:t>
      </w:r>
      <w:r>
        <w:t xml:space="preserve">(H1 a H9) e os processos (P1 a P9). Os equipamentos dos clientes — a estação de trabalho (H1) e o smartphone (H4) — não executam o framework Angular: executam o navegador Web (P4 e P5), que carrega o PWA, isto é, o código JavaScript compilado a partir do A</w:t>
      </w:r>
      <w:r>
        <w:t xml:space="preserve">ngular 19, entregue pelo servidor front-end (P3), processo Node.js que também repassa as requisições da API ao servidor back-end (P2). A rede local IEEE 802.3 liga-se à Internet por um roteador de borda (H9), que provê também a rede sem fio IEEE 802.11 ao </w:t>
      </w:r>
      <w:r>
        <w:t xml:space="preserve">smartphone; o smartphone pode ainda alcançar o sistema pela rede móvel 4G/5G, na qual opera o celular gateway de SMS (H8 e P9). Todos os canais com a Internet e com a rede móvel são bidirecionais, pois transportam as requisições e as respectivas respostas.</w:t>
      </w:r>
      <w:r/>
    </w:p>
    <w:p>
      <w:pPr>
        <w:pBdr/>
        <w:spacing/>
        <w:ind/>
        <w:rPr/>
      </w:pPr>
      <w:r/>
      <w:r/>
    </w:p>
    <w:p>
      <w:pPr>
        <w:pBdr/>
        <w:spacing/>
        <w:ind/>
        <w:rPr/>
      </w:pPr>
      <w:r>
        <w:rPr>
          <w:sz w:val="20"/>
          <w:szCs w:val="20"/>
        </w:rPr>
        <w:br w:type="page" w:clear="all"/>
      </w:r>
      <w:r/>
    </w:p>
    <w:p>
      <w:pPr>
        <w:pStyle w:val="1637"/>
        <w:pBdr/>
        <w:spacing/>
        <w:ind/>
        <w:rPr/>
      </w:pPr>
      <w:r/>
      <w:bookmarkStart w:id="142" w:name="_Toc52"/>
      <w:r>
        <w:t xml:space="preserve">7 IMPLEMENTAÇÃO DO SISTEMA DE SOFTWARE</w:t>
      </w:r>
      <w:r/>
      <w:bookmarkEnd w:id="142"/>
      <w:r/>
      <w:r/>
    </w:p>
    <w:p>
      <w:pPr>
        <w:pBdr/>
        <w:spacing/>
        <w:ind/>
        <w:rPr/>
      </w:pPr>
      <w:r>
        <w:t xml:space="preserve">Este capítulo descreve a transposição dos modelos apresentados nos Capítulos 5 e 6 para os artefatos de software que constituem o sistema “Fala, Cidade!”. São apresentados os componentes implementados </w:t>
      </w:r>
      <w:r>
        <w:t xml:space="preserve">e as plataformas em que são disponibilizados, as tecnologias empregadas na codificação de cada um deles, os padrões de projeto aplicados, as convenções adotadas pela equipe e a análise da complexidade algorítmica dos métodos de maior relevância do sistema.</w:t>
      </w:r>
      <w:r/>
    </w:p>
    <w:p>
      <w:pPr>
        <w:pBdr/>
        <w:spacing/>
        <w:ind/>
        <w:rPr/>
      </w:pPr>
      <w:r/>
      <w:r/>
    </w:p>
    <w:p>
      <w:pPr>
        <w:pStyle w:val="1638"/>
        <w:pBdr/>
        <w:spacing/>
        <w:ind/>
        <w:rPr/>
      </w:pPr>
      <w:r/>
      <w:bookmarkStart w:id="143" w:name="_Toc53"/>
      <w:r>
        <w:t xml:space="preserve">7.1 COMPONENTES DO SISTEMA DE SOFTWARE</w:t>
      </w:r>
      <w:r/>
      <w:bookmarkEnd w:id="143"/>
      <w:r/>
      <w:r/>
    </w:p>
    <w:p>
      <w:pPr>
        <w:pBdr/>
        <w:spacing/>
        <w:ind/>
        <w:rPr/>
      </w:pPr>
      <w:r>
        <w:t xml:space="preserve">O sistema é composto por dois componentes de código-fonte e por um componente de persistência, além de quatro serviços de terceiros consumidos em tempo de execução.</w:t>
      </w:r>
      <w:r/>
    </w:p>
    <w:p>
      <w:pPr>
        <w:pBdr/>
        <w:spacing/>
        <w:ind/>
        <w:rPr/>
      </w:pPr>
      <w:r>
        <w:t xml:space="preserve"> Componente de API (fala-cidade-api): responsável pelo atendimento das regras de negócio, pelo controle de autenticação e autorização, pela persistência dos dados</w:t>
      </w:r>
      <w:r>
        <w:t xml:space="preserve"> e pela integração com os serviços externos. É construída como um arquivo Java autocontido em Spring Boot e é disponibilizada em plataforma de servidor com máquina virtual Java, escutando, no ambiente de desenvolvimento, na porta padrão 8080. Por ser a por</w:t>
      </w:r>
      <w:r>
        <w:t xml:space="preserve">ta padrão do servidor embutido, ela será alterada na implantação: a porta é definida pela propriedade server.port, fornecida por variável de ambiente, e o acesso externo ocorrerá exclusivamente pela porta 443 (HTTPS), por meio de proxy reverso que encaminh</w:t>
      </w:r>
      <w:r>
        <w:t xml:space="preserve">ará as requisições à aplicação. Expõe 58 recursos distribuídos em sete controladores — autenticação, autenticação multifator, ocorrências, usuários, contato, departamentos e acesso do departamento —, documentados automaticamente pela especificação OpenAPI.</w:t>
      </w:r>
      <w:r/>
    </w:p>
    <w:p>
      <w:pPr>
        <w:pBdr/>
        <w:spacing/>
        <w:ind/>
        <w:rPr/>
      </w:pPr>
      <w:r>
        <w:t xml:space="preserve">Componente PWA (fala-cidade-web): código que captura as entradas do usuário e responsáv</w:t>
      </w:r>
      <w:r>
        <w:t xml:space="preserve">el pela renderização do mapa geográfico. É construída como um conjunto de artefatos estáticos — documento de marcação, folhas de estilo e módulos de código — e é disponibilizada via um  navegador Web de computadores pessoais ou de dispositivos móveis. Regi</w:t>
      </w:r>
      <w:r>
        <w:t xml:space="preserve">stra um processo de serviço em segundo plano que habilita a instalação do aplicativo na tela inicial do dispositivo e o armazenamento local dos seus artefatos, conforme descrito na Seção 6.5; as abas abertas verificam a existência de versão nova a cada doi</w:t>
      </w:r>
      <w:r>
        <w:t xml:space="preserve">s minutos e sempre que voltam a ficar visíveis, e a versão nova é aplicada na troca de tela seguinte, ou de imediato, se o aplicativo acabou de ser aberto. Todas as suas rotas são carregadas sob demanda, o que reduz o volume transferido no primeiro acesso.</w:t>
      </w:r>
      <w:r/>
    </w:p>
    <w:p>
      <w:pPr>
        <w:pBdr/>
        <w:spacing/>
        <w:ind/>
        <w:rPr/>
      </w:pPr>
      <w:r>
        <w:t xml:space="preserve">Componente de persistência: um banco de dados relacional portável para SGBD PostgreSQL, com acesso somente via conta de administrador.</w:t>
      </w:r>
      <w:r/>
    </w:p>
    <w:p>
      <w:pPr>
        <w:pBdr/>
        <w:spacing/>
        <w:ind/>
        <w:rPr/>
      </w:pPr>
      <w:r>
        <w:t xml:space="preserve">Serviços de terceiros: o serviço de armazenamento e transformação de mídias Cloudinary, acessado pela API; os serviços cartográficos OpenStreetMap, consumido diretamente pelo navegador para a renderização do mapa, e </w:t>
      </w:r>
      <w:r>
        <w:rPr>
          <w:i/>
        </w:rPr>
        <w:t xml:space="preserve">Nominatim,</w:t>
      </w:r>
      <w:r>
        <w:t xml:space="preserve"> utilizado para a geocodificação direta e reversa de endereços; o servidor de correio eletrônico, acessado pelo protocolo SMTP com segurança de transporte para o envio das notificações e dos códigos de verificação; e o </w:t>
      </w:r>
      <w:r>
        <w:rPr>
          <w:i/>
        </w:rPr>
        <w:t xml:space="preserve">gateway </w:t>
      </w:r>
      <w:r>
        <w:t xml:space="preserve">de mensagens SMS, constituído pelo aplicativo SMS Gateway for Android em aparelho celular da equipe, acessado por HTTPs para o envio dos códigos de verificação em duas etapas por SMS.</w:t>
      </w:r>
      <w:r/>
    </w:p>
    <w:p>
      <w:pPr>
        <w:pBdr/>
        <w:spacing/>
        <w:ind/>
        <w:rPr/>
      </w:pPr>
      <w:r/>
      <w:r/>
    </w:p>
    <w:p>
      <w:pPr>
        <w:pStyle w:val="1638"/>
        <w:pBdr/>
        <w:spacing/>
        <w:ind/>
        <w:rPr/>
      </w:pPr>
      <w:r/>
      <w:bookmarkStart w:id="144" w:name="_Toc54"/>
      <w:r>
        <w:t xml:space="preserve">7.2 TECNOLOGIAS DE IMPLEMENTAÇÃO</w:t>
      </w:r>
      <w:r/>
      <w:bookmarkEnd w:id="14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9"/>
        <w:pBdr/>
        <w:spacing/>
        <w:ind/>
        <w:rPr/>
      </w:pPr>
      <w:r/>
      <w:bookmarkStart w:id="145" w:name="_Toc55"/>
      <w:r>
        <w:t xml:space="preserve">7.2.1 Linguagens de Programação e </w:t>
      </w:r>
      <w:r>
        <w:rPr>
          <w:i/>
        </w:rPr>
        <w:t xml:space="preserve">Frameworks </w:t>
      </w:r>
      <w:r>
        <w:t xml:space="preserve">Adotados</w:t>
      </w:r>
      <w:r/>
      <w:bookmarkEnd w:id="145"/>
      <w:r/>
      <w:r/>
    </w:p>
    <w:p>
      <w:pPr>
        <w:pBdr/>
        <w:spacing/>
        <w:ind/>
        <w:rPr/>
      </w:pPr>
      <w:r>
        <w:t xml:space="preserve">O componente da API é codificado na linguagem Java, versão 21, com o f</w:t>
      </w:r>
      <w:r>
        <w:rPr>
          <w:i/>
        </w:rPr>
        <w:t xml:space="preserve">ramework </w:t>
      </w:r>
      <w:r>
        <w:t xml:space="preserve">Spring Boot, versão 3.5.0, e construído pela ferramenta de automação Apache Maven. Os módulos do </w:t>
      </w:r>
      <w:r>
        <w:rPr>
          <w:i/>
        </w:rPr>
        <w:t xml:space="preserve">framework </w:t>
      </w:r>
      <w:r>
        <w:t xml:space="preserve">empregados e as suas respectivas funções são os seguintes: o módulo Web fornece o </w:t>
      </w:r>
      <w:r>
        <w:rPr>
          <w:i/>
        </w:rPr>
        <w:t xml:space="preserve">contêiner de servlets</w:t>
      </w:r>
      <w:r>
        <w:t xml:space="preserve">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w:t>
      </w:r>
      <w:r>
        <w:t xml:space="preserve">otecas complementares adotadas na API são: o controlador JDBC do PostgreSQL, versão 42.6.0, responsável pela comunicação com o SGBD; a biblioteca JJWT, versão 0.11.2, empregada na emissão e na verificação dos JWT com o algoritmo de assinatura HMAC-SHA256; </w:t>
      </w:r>
      <w:r>
        <w:t xml:space="preserve">o cliente Java do serviço Cloudinary, versão 2.0.0, utilizado no envio das mídias e na composição das transformações de privacidade; a biblioteca TOTP, versão 1.7.1, que implementa a geração e a verificação de senhas de uso único baseadas em tempo conforme</w:t>
      </w:r>
      <w:r>
        <w:t xml:space="preserve"> a RFC 6238, utilizada na autenticação multifator; e a biblioteca SpringDoc OpenAPI, versão 2.1.0, que gera automaticamente a especificação da API. A codificação da senha dos usuários emprega o algoritmo BCrypt, disponibilizado pelo módulo de segurança do </w:t>
      </w:r>
      <w:r>
        <w:rPr>
          <w:i/>
        </w:rPr>
        <w:t xml:space="preserve">framework</w:t>
      </w:r>
      <w:r>
        <w:t xml:space="preserve">, e o conjunto de conexões reutilizáveis é gerenciado pela biblioteca HikariCP, configurada com dez conexões máximas e duas conexões ociosas mínimas.</w:t>
      </w:r>
      <w:r/>
    </w:p>
    <w:p>
      <w:pPr>
        <w:pBdr/>
        <w:spacing/>
        <w:ind/>
        <w:rPr/>
      </w:pPr>
      <w:r>
        <w:t xml:space="preserve">O componente PWA usa a linguagem TypeScript, versão 5.7, com o</w:t>
      </w:r>
      <w:r>
        <w:rPr>
          <w:i/>
        </w:rPr>
        <w:t xml:space="preserve"> framework</w:t>
      </w:r>
      <w:r>
        <w:t xml:space="preserve"> Angular, versão 19.2, adotando o modelo de componentes autônomos e a inicialização sem módulos. O compilador da linguagem TypeScript, acionado pela ferramenta de construção do Angul</w:t>
      </w:r>
      <w:r>
        <w:t xml:space="preserve">ar, opera em modo estrito (opção strict), com verificação estrita também dos modelos de apresentação (opção strictTemplates), o que antecipa para o tempo de compilação — a etapa de construção dos artefatos, anterior à sua execução no navegador — a detecção</w:t>
      </w:r>
      <w:r>
        <w:t xml:space="preserve"> de inconsistências entre a lógica dos componentes e a sua marcação. As bibliotecas complementares empregadas são: Leaflet, versão 1.9.4, responsável pela renderização dos mapas inter</w:t>
      </w:r>
      <w:r>
        <w:t xml:space="preserve">ativos e dos marcadores de ocorrência; RxJS, versão 7.8, utilizada na composição das operações assíncronas de comunicação a API; ngx-toastr, versão 18.0, responsável pelas notificações temporárias na interface de usuário; e o módulo de processo de serviço </w:t>
      </w:r>
      <w:r>
        <w:t xml:space="preserve">em segundo plano do próprio Angular, versão 19.2.13, que habilita os recursos da PWA. A estilização é realizada por CSS próprias, organizadas em torno de propriedades personalizadas definidas no elemento raiz do documento, conforme descrito na Seção 6.4.2.</w:t>
      </w:r>
      <w:r/>
    </w:p>
    <w:p>
      <w:pPr>
        <w:pBdr/>
        <w:spacing/>
        <w:ind/>
        <w:rPr/>
      </w:pPr>
      <w:r/>
      <w:r/>
    </w:p>
    <w:p>
      <w:pPr>
        <w:pStyle w:val="1639"/>
        <w:pBdr/>
        <w:spacing/>
        <w:ind/>
        <w:rPr/>
      </w:pPr>
      <w:r/>
      <w:bookmarkStart w:id="146" w:name="_Toc56"/>
      <w:r>
        <w:t xml:space="preserve">7.2.2 </w:t>
      </w:r>
      <w:r>
        <w:rPr>
          <w:i/>
        </w:rPr>
        <w:t xml:space="preserve">Design Patterns</w:t>
      </w:r>
      <w:r>
        <w:t xml:space="preserve"> Aplicados</w:t>
      </w:r>
      <w:r/>
      <w:bookmarkEnd w:id="146"/>
      <w:r/>
      <w:r/>
    </w:p>
    <w:p>
      <w:pPr>
        <w:pBdr/>
        <w:spacing/>
        <w:ind/>
        <w:rPr/>
      </w:pPr>
      <w:r>
        <w:t xml:space="preserve">A codificação do sistema está baseada em boas práticas, conhecidas por padrões de projeto ou </w:t>
      </w:r>
      <w:r>
        <w:rPr>
          <w:i/>
        </w:rPr>
        <w:t xml:space="preserve">design pattern</w:t>
      </w:r>
      <w:r>
        <w:t xml:space="preserve">, de propósitos criacional, estrutural, comportamental e arquitetural, na acepção de Gamma </w:t>
      </w:r>
      <w:r>
        <w:rPr>
          <w:i/>
        </w:rPr>
        <w:t xml:space="preserve">et al</w:t>
      </w:r>
      <w:r>
        <w:t xml:space="preserve">. (2000). </w:t>
      </w:r>
      <w:r/>
    </w:p>
    <w:p>
      <w:pPr>
        <w:pBdr/>
        <w:spacing/>
        <w:ind/>
        <w:rPr/>
      </w:pPr>
      <w:r>
        <w:t xml:space="preserve">Os padrões efetivamente aplicados e as classes que os evidenciam são descritos a seguir.</w:t>
      </w:r>
      <w:r/>
    </w:p>
    <w:p>
      <w:pPr>
        <w:pBdr/>
        <w:spacing/>
        <w:ind/>
        <w:rPr/>
      </w:pPr>
      <w:r>
        <w:t xml:space="preserve">a) </w:t>
      </w:r>
      <w:r>
        <w:rPr>
          <w:i/>
        </w:rPr>
        <w:t xml:space="preserve">Port </w:t>
      </w:r>
      <w:r>
        <w:t xml:space="preserve">e </w:t>
      </w:r>
      <w:r>
        <w:rPr>
          <w:i/>
        </w:rPr>
        <w:t xml:space="preserve">Adapter </w:t>
      </w:r>
      <w:r>
        <w:t xml:space="preserve">(arquitetural): o pacote </w:t>
      </w:r>
      <w:r>
        <w:rPr>
          <w:i/>
        </w:rPr>
        <w:t xml:space="preserve">por</w:t>
      </w:r>
      <w:r>
        <w:t xml:space="preserve">t declara exclusivamente interfaces — as portas — que definem os contratos dos serviços de negócio e do acesso a dados; o pacote </w:t>
      </w:r>
      <w:r>
        <w:rPr>
          <w:i/>
        </w:rPr>
        <w:t xml:space="preserve">implementation</w:t>
      </w:r>
      <w:r>
        <w:t xml:space="preserve"> reúne os adaptadores que co</w:t>
      </w:r>
      <w:r>
        <w:t xml:space="preserve">ncretizam esses contratos. A interface OccurrenceDao e a sua implementação OccurrencePostgresDao ilustram o padrão: a substituição para outro SGBD exigiria a escrita de um novo adaptador, sem qualquer alteração nas classes de serviço que dependem da porta;</w:t>
      </w:r>
      <w:r/>
    </w:p>
    <w:p>
      <w:pPr>
        <w:pBdr/>
        <w:spacing/>
        <w:ind/>
        <w:rPr/>
      </w:pPr>
      <w:r>
        <w:t xml:space="preserve">b) DAO (arquitetural): as classes do pacote de persistência concentram toda a construção de instruções de consulta e o mapeamento entre registros e objetos de domínio, isolando as classes de serviço do modelo relacional.</w:t>
      </w:r>
      <w:r/>
    </w:p>
    <w:p>
      <w:pPr>
        <w:pBdr/>
        <w:spacing/>
        <w:ind/>
        <w:rPr/>
      </w:pPr>
      <w:r>
        <w:t xml:space="preserve">c) DTO (estrut</w:t>
      </w:r>
      <w:r>
        <w:t xml:space="preserve">ural): as classes do pacote domain.dto encapsulam os dados trafegados nas requisições e nas respostas da API, desacoplando o contrato público do sistema da estrutura interna das entidades. A conversão entre as duas representações é responsabilidade do próp</w:t>
      </w:r>
      <w:r>
        <w:t xml:space="preserve">rio objeto de transferência, como nos métodos CreateOccurrenceDto.toOccurrence e RegisterUserDto.toUserModel. Esse padrão é o mecanismo que viabiliza o cumprimento da RN05, pois a resposta enviada ao cliente contém apenas os campos permitidos ao perfil sol</w:t>
      </w:r>
      <w:r>
        <w:t xml:space="preserve">icitante. Na página de acesso do departamento, a classe DepartmentOccurrenceViewDto reúne a ocorrência e o grupo sem os dados do autor, o histórico sem a identificação de quem realizou cada trâmite e a indicação da solicitação de conclusão pendente (RN11);</w:t>
      </w:r>
      <w:r/>
    </w:p>
    <w:p>
      <w:pPr>
        <w:pBdr/>
        <w:spacing/>
        <w:ind/>
        <w:rPr/>
      </w:pPr>
      <w:r>
        <w:t xml:space="preserve">d)  </w:t>
      </w:r>
      <w:r>
        <w:rPr>
          <w:i/>
        </w:rPr>
        <w:t xml:space="preserve">Factory Method</w:t>
      </w:r>
      <w:r>
        <w:t xml:space="preserve"> (criacional): o método estático Priority.fromType, declarado no enumerado de prioridade da classe</w:t>
      </w:r>
      <w:r>
        <w:rPr>
          <w:i/>
        </w:rPr>
        <w:t xml:space="preserve"> Occurrence</w:t>
      </w:r>
      <w:r>
        <w:t xml:space="preserv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w:t>
      </w:r>
      <w:r>
        <w:rPr>
          <w:i/>
        </w:rPr>
        <w:t xml:space="preserve">Constructor</w:t>
      </w:r>
      <w:r>
        <w:t xml:space="preserve"> (criacional): empregado na composição de objetos com grande número de parâmetros opcionais, evitando con</w:t>
      </w:r>
      <w:r>
        <w:t xml:space="preserve">strutores extensos. Ocorre na montagem dos dados do código de resposta rápida da autenticação multifator, na emissão do JWT, na configuração do conjunto de conexões do banco de dados e no encadeamento das transformações de privacidade aplicadas às imagens;</w:t>
      </w:r>
      <w:r/>
    </w:p>
    <w:p>
      <w:pPr>
        <w:pBdr/>
        <w:spacing/>
        <w:ind/>
        <w:rPr/>
      </w:pPr>
      <w:r>
        <w:t xml:space="preserve">f) </w:t>
      </w:r>
      <w:r>
        <w:rPr>
          <w:i/>
        </w:rPr>
        <w:t xml:space="preserve">Chain of Responsibility</w:t>
      </w:r>
      <w:r>
        <w:t xml:space="preserve"> (comportamental): a classe JwtRequestFilter estende o filtro de execução única do </w:t>
      </w:r>
      <w:r>
        <w:rPr>
          <w:i/>
        </w:rPr>
        <w:t xml:space="preserve">framework</w:t>
      </w:r>
      <w:r>
        <w:t xml:space="preserve">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w:t>
      </w:r>
      <w:r>
        <w:rPr>
          <w:i/>
        </w:rPr>
        <w:t xml:space="preserve">Strategy </w:t>
      </w:r>
      <w:r>
        <w:t xml:space="preserve">(comportamental): a codificação da senha é obtida por meio da abstração </w:t>
      </w:r>
      <w:r>
        <w:rPr>
          <w:i/>
        </w:rPr>
        <w:t xml:space="preserve">PasswordEncoder</w:t>
      </w:r>
      <w:r>
        <w:t xml:space="preserve">, injetada nas classes de serviço, o que permite a substituição do algoritmo BCrypt por outro sem alteração do código.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w:t>
      </w:r>
      <w:r>
        <w:rPr>
          <w:i/>
        </w:rPr>
        <w:t xml:space="preserve"> State</w:t>
      </w:r>
      <w:r>
        <w:t xml:space="preserve"> (comportamental): a classe </w:t>
      </w:r>
      <w:r>
        <w:rPr>
          <w:i/>
        </w:rPr>
        <w:t xml:space="preserve">UploadStatus</w:t>
      </w:r>
      <w:r>
        <w:t xml:space="preserve">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w:t>
      </w:r>
      <w:r>
        <w:rPr>
          <w:i/>
        </w:rPr>
        <w:t xml:space="preserve">Facade </w:t>
      </w:r>
      <w:r>
        <w:t xml:space="preserve">(estrutural): o método </w:t>
      </w:r>
      <w:r>
        <w:rPr>
          <w:i/>
        </w:rPr>
        <w:t xml:space="preserve">OccurrenceServiceImpl.changeStatus</w:t>
      </w:r>
      <w:r>
        <w:t xml:space="preserve">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w:t>
      </w:r>
      <w:r>
        <w:rPr>
          <w:i/>
        </w:rPr>
        <w:t xml:space="preserve">Adapter</w:t>
      </w:r>
      <w:r>
        <w:t xml:space="preserve"> (estrutural): a classe C</w:t>
      </w:r>
      <w:r>
        <w:rPr>
          <w:i/>
        </w:rPr>
        <w:t xml:space="preserve">loudinaryMediaUploadServic</w:t>
      </w:r>
      <w:r>
        <w:t xml:space="preserve">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w:t>
      </w:r>
      <w:r>
        <w:rPr>
          <w:i/>
        </w:rPr>
        <w:t xml:space="preserve"> Singleton</w:t>
      </w:r>
      <w:r>
        <w:t xml:space="preserve"> (criacional): todos os componentes gerenciados pelo </w:t>
      </w:r>
      <w:r>
        <w:rPr>
          <w:i/>
        </w:rPr>
        <w:t xml:space="preserve">contêiner </w:t>
      </w:r>
      <w:r>
        <w:t xml:space="preserve">de inversão de controle do </w:t>
      </w:r>
      <w:r>
        <w:rPr>
          <w:i/>
        </w:rPr>
        <w:t xml:space="preserve">framework </w:t>
      </w:r>
      <w:r>
        <w:t xml:space="preserve">são instanciados uma única vez por aplicação. O padrão aparece nos armazenamentos temporários da autenticação multifator — as classes MfaTokenStore e EmailMfaCodeStore, implementadas sobre mapas de acesso concorrente (ConcurrentHashMap</w:t>
      </w:r>
      <w:r>
        <w:t xml:space="preserve">) —, no registro das sessões ativas, pela classe ActiveSessionStore, e no conjunto único de conexões com o SGBD, provido pela classe HikariDataSource, da biblioteca HikariCP, que o Spring Boot instancia uma única vez e injeta nos objetos de acesso a dados.</w:t>
      </w:r>
      <w:r/>
    </w:p>
    <w:p>
      <w:pPr>
        <w:pBdr/>
        <w:spacing/>
        <w:ind/>
        <w:rPr/>
      </w:pPr>
      <w:r>
        <w:t xml:space="preserve">l) </w:t>
      </w:r>
      <w:r>
        <w:rPr>
          <w:i/>
        </w:rPr>
        <w:t xml:space="preserve">Pool </w:t>
      </w:r>
      <w:r>
        <w:t xml:space="preserve">de conexões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Interceptor e Guard</w:t>
      </w:r>
      <w:r>
        <w:t xml:space="preserve"> (comportamental, camada de apresentação): o interceptador de requisições HTTP da PWA anexa automaticamente o </w:t>
      </w:r>
      <w:r>
        <w:rPr>
          <w:i/>
        </w:rPr>
        <w:t xml:space="preserve">token </w:t>
      </w:r>
      <w:r>
        <w:t xml:space="preserve">de autenticação a todas as chamadas destinadas à API — exceto às da página de acesso do departamento, que levam o próprio token no cabeçalho X-Department-Access —, dispensando a repetição dessa lógica em cada serviço; o guarda de rotas veri</w:t>
      </w:r>
      <w:r>
        <w:t xml:space="preserve">fica a existência de sessão válida e, no caso do visitante, a escolha do município (RF08) antes de permitir a ativação das rotas protegidas, transferindo para a definição de rotas uma responsabilidade que, de outro modo, estaria dispersa pelos componentes.</w:t>
      </w:r>
      <w:r/>
    </w:p>
    <w:p>
      <w:pPr>
        <w:pBdr/>
        <w:spacing/>
        <w:ind/>
        <w:rPr/>
      </w:pPr>
      <w:r/>
      <w:r/>
    </w:p>
    <w:p>
      <w:pPr>
        <w:pStyle w:val="1639"/>
        <w:pBdr/>
        <w:spacing/>
        <w:ind/>
        <w:rPr/>
      </w:pPr>
      <w:r/>
      <w:bookmarkStart w:id="147" w:name="_Toc57"/>
      <w:r>
        <w:t xml:space="preserve">7.2.3 Convenções e Guias para Codificação</w:t>
      </w:r>
      <w:r/>
      <w:bookmarkEnd w:id="147"/>
      <w:r/>
      <w:r/>
    </w:p>
    <w:p>
      <w:pPr>
        <w:pBdr/>
        <w:spacing/>
        <w:ind/>
        <w:rPr/>
      </w:pPr>
      <w:r>
        <w:t xml:space="preserve">A codificação da API provida no sistema Fala, Cidade! segue as convençõ</w:t>
      </w:r>
      <w:r>
        <w:t xml:space="preserve">es de nomenclatura da linguagem Java. Os nomes de pacotes são escritos integralmente em letras minúsculas, adotando-se como prefixo o domínio invertido da instituição (br.com.faitec), seguido do nome do sistema, como em br.com.faitec.falacidade.controller.</w:t>
      </w:r>
      <w:r>
        <w:t xml:space="preserve"> As classes e as interfaces recebem nomes em notação PascalCase, e os métodos, os atributos e as variáveis locais, em notação ca</w:t>
      </w:r>
      <w:r>
        <w:t xml:space="preserve">melCase. As constantes são grafadas em letras maiúsculas com separação por sublinhado. Os identificadores do código-fonte — nomes de pacotes, de classes, de interfaces, de métodos, de atributos e de variáveis — são redigidos, como regra, em língua inglesa,</w:t>
      </w:r>
      <w:r>
        <w:t xml:space="preserve"> e os comentários e as mensagens destinadas ao usuário, em língua portuguesa.</w:t>
      </w:r>
      <w:r/>
    </w:p>
    <w:p>
      <w:pPr>
        <w:pBdr/>
        <w:spacing/>
        <w:ind/>
        <w:rPr/>
      </w:pPr>
      <w:r>
        <w:t xml:space="preserve">A codificação da PWA observa o guia de estilo do </w:t>
      </w:r>
      <w:r>
        <w:rPr>
          <w:i/>
        </w:rPr>
        <w:t xml:space="preserve">framework</w:t>
      </w:r>
      <w:r>
        <w:t xml:space="preserve"> Angular. Os arquivos são nomeados em notação </w:t>
      </w:r>
      <w:r>
        <w:rPr>
          <w:i/>
        </w:rPr>
        <w:t xml:space="preserve">kebab-case</w:t>
      </w:r>
      <w:r>
        <w:t xml:space="preserve"> com </w:t>
      </w:r>
      <w:r>
        <w:t xml:space="preserve">sufixo indicativo do seu tipo — a exemplo de occurrence-read.service.ts e create-occurrence.component.ts —, e cada componente reúne, em um diretório próprio, os arquivos de lógica, de marcação e de estilo. As classes seguem a notação PascalCase com sufixo </w:t>
      </w:r>
      <w:r>
        <w:rPr>
          <w:i/>
        </w:rPr>
        <w:t xml:space="preserve">Component</w:t>
      </w:r>
      <w:r>
        <w:t xml:space="preserve">, </w:t>
      </w:r>
      <w:r>
        <w:rPr>
          <w:i/>
        </w:rPr>
        <w:t xml:space="preserve">Service</w:t>
      </w:r>
      <w:r>
        <w:t xml:space="preserve"> ou </w:t>
      </w:r>
      <w:r>
        <w:rPr>
          <w:i/>
        </w:rPr>
        <w:t xml:space="preserve">Guard</w:t>
      </w:r>
      <w:r>
        <w:t xml:space="preserve">. </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w:t>
      </w:r>
      <w:r>
        <w:rPr>
          <w:i/>
        </w:rPr>
        <w:t xml:space="preserve">commits </w:t>
      </w:r>
      <w:r>
        <w:t xml:space="preserve">convencionais, com prefixo indicativo da natureza da alteração — </w:t>
      </w:r>
      <w:r>
        <w:rPr>
          <w:i/>
        </w:rPr>
        <w:t xml:space="preserve">feat</w:t>
      </w:r>
      <w:r>
        <w:t xml:space="preserve"> para novas funcionalidades, </w:t>
      </w:r>
      <w:r>
        <w:rPr>
          <w:i/>
        </w:rPr>
        <w:t xml:space="preserve">fix</w:t>
      </w:r>
      <w:r>
        <w:t xml:space="preserve"> para correções, docs para documentação e </w:t>
      </w:r>
      <w:r>
        <w:rPr>
          <w:i/>
        </w:rPr>
        <w:t xml:space="preserve">refactor</w:t>
      </w:r>
      <w:r>
        <w:t xml:space="preserve"> para reestruturações sem mudança de comportamento —, e os ramos de desenvolvimento observam a nomenclatura descrita na Seção 4.5.2.</w:t>
      </w:r>
      <w:r/>
    </w:p>
    <w:p>
      <w:pPr>
        <w:pBdr/>
        <w:spacing/>
        <w:ind/>
        <w:rPr/>
      </w:pPr>
      <w:r/>
      <w:r/>
    </w:p>
    <w:p>
      <w:pPr>
        <w:pStyle w:val="1639"/>
        <w:pBdr/>
        <w:spacing/>
        <w:ind/>
        <w:rPr/>
      </w:pPr>
      <w:r/>
      <w:bookmarkStart w:id="148" w:name="_Toc58"/>
      <w:r>
        <w:t xml:space="preserve">7.2.4 Estrutura Física do Banco de Dados</w:t>
      </w:r>
      <w:r/>
      <w:bookmarkEnd w:id="148"/>
      <w:r/>
      <w:r/>
    </w:p>
    <w:p>
      <w:pPr>
        <w:pBdr/>
        <w:spacing/>
        <w:ind/>
        <w:rPr/>
      </w:pPr>
      <w:r>
        <w:t xml:space="preserve">A estrutura física do banco de dados é definida por instruções de Data Definition Language (DDL) mantidas em arquivos de script versionados junto ao código-fonte do componente da API e exec</w:t>
      </w:r>
      <w:r>
        <w:t xml:space="preserve">utadas pelo Spring Boot a cada inicialização. Os scripts são idempotentes, isto é, podem ser executados repetidas vezes com o mesmo resultado, sem erro e sem perda dos dados já persistidos. A idempotência é obtida pelas cláusulas condicionais do PostgreSQL</w:t>
      </w:r>
      <w:r>
        <w:t xml:space="preserve">: CREATE TABLE IF NOT EXISTS e CREATE INDEX IF NOT EXISTS na criação dos objetos; ALTER TABLE … ADD COLUMN IF NOT EXISTS e DROP CONSTRAINT IF EXISTS nas migrações das colunas e das restrições acrescentadas em versões posteriores, e blocos DO que só alteram</w:t>
      </w:r>
      <w:r>
        <w:t xml:space="preserve"> uma restrição quando ela ainda se encontra na forma antiga; e, no script de carga inicial (DML), INSERT … ON CONFLICT DO NOTHING, que não duplica os registros já existentes. Na segunda execução, portanto, nenhum objeto é recriado e nenhum dado é alterado.</w:t>
      </w:r>
      <w:r/>
    </w:p>
    <w:p>
      <w:pPr>
        <w:pBdr/>
        <w:spacing/>
        <w:ind/>
        <w:rPr/>
      </w:pPr>
      <w:r>
        <w:t xml:space="preserve">Os </w:t>
      </w:r>
      <w:r>
        <w:rPr>
          <w:i/>
        </w:rPr>
        <w:t xml:space="preserve">scripts</w:t>
      </w:r>
      <w:r>
        <w:t xml:space="preserve"> de criação das tabelas e de carga inicial dos dados, a relação completa dos índices e as permissões concedidas encontram-se no Apêndice D.</w:t>
      </w:r>
      <w:r/>
    </w:p>
    <w:p>
      <w:pPr>
        <w:pBdr/>
        <w:spacing/>
        <w:ind/>
        <w:rPr/>
      </w:pPr>
      <w:r/>
      <w:r/>
    </w:p>
    <w:p>
      <w:pPr>
        <w:pStyle w:val="1638"/>
        <w:pBdr/>
        <w:spacing/>
        <w:ind/>
        <w:rPr/>
      </w:pPr>
      <w:r/>
      <w:bookmarkStart w:id="149" w:name="_Toc59"/>
      <w:r>
        <w:t xml:space="preserve">7.3 ANÁLISE DE COMPLEXIDADE ALGORÍTMICA</w:t>
      </w:r>
      <w:r/>
      <w:bookmarkEnd w:id="149"/>
      <w:r/>
      <w:r/>
    </w:p>
    <w:p>
      <w:pPr>
        <w:pBdr/>
        <w:spacing/>
        <w:ind/>
        <w:rPr/>
      </w:pPr>
      <w:r>
        <w:t xml:space="preserve">Esta seção a</w:t>
      </w:r>
      <w:r>
        <w:t xml:space="preserve">nalisa a complexidade assintótica de três métodos: dois de classes do componente da API, dos pacotes br.com.faitec.falacidade.implementation.dao.postgres e br.com.faitec.falacidade.implementation.service.tracking, e um do componente de estatísticas da PWA.</w:t>
      </w:r>
      <w:r>
        <w:t xml:space="preserve">  A análise é expressa na notação O maiúsculo conforme Cormen </w:t>
      </w:r>
      <w:r>
        <w:rPr>
          <w:i/>
        </w:rPr>
        <w:t xml:space="preserve">et al</w:t>
      </w:r>
      <w:r>
        <w:t xml:space="preserve">. (2012). Em todas as análises, o parâmetro </w:t>
      </w:r>
      <w:r>
        <w:rPr>
          <w:i/>
        </w:rPr>
        <w:t xml:space="preserve">n</w:t>
      </w:r>
      <w:r>
        <w:t xml:space="preserve">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w:t>
      </w:r>
      <w:r>
        <w:rPr>
          <w:i/>
        </w:rPr>
        <w:t xml:space="preserve">findNearby,</w:t>
      </w:r>
      <w:r>
        <w:t xml:space="preserve"> da classe </w:t>
      </w:r>
      <w:r>
        <w:rPr>
          <w:i/>
        </w:rPr>
        <w:t xml:space="preserve">OccurrencePostgresDao</w:t>
      </w:r>
      <w:r/>
    </w:p>
    <w:p>
      <w:pPr>
        <w:pBdr/>
        <w:spacing/>
        <w:ind/>
        <w:rPr/>
      </w:pPr>
      <w:r>
        <w:t xml:space="preserve">Este é o método que sustenta o agrupamento automático de ocorrência</w:t>
      </w:r>
      <w:r>
        <w:t xml:space="preserve">s duplicadas previsto no RF16 e na RN06. Em vez de calcular a distância ortodrômica — o comprimento do menor arco sobre a superfície terrestre que une dois pontos — entre o ponto informado e cada ocorrência armazenada, o que exigiria a avaliação de uma fun</w:t>
      </w:r>
      <w:r>
        <w:t xml:space="preserve">ção trigonométrica sobre a totalidade da tabela e resultaria em custo linear inevitável, o método delimita previamente uma região retangular em torno do ponto. A delimitação converte o raio de 70 m em variação de graus, adotando a aproximação de 111.111 me</w:t>
      </w:r>
      <w:r>
        <w:t xml:space="preserve">tros por grau de latitude e corrigindo a variação de longitude pelo cosseno da latitude, e submete ao SGBD uma consulta com a cláusula de intervalo sobre as duas colunas indexadas. O cálculo é explicado passo a passo, com exemplos numéricos, no Apêndice M.</w:t>
      </w:r>
      <w:r/>
    </w:p>
    <w:p>
      <w:pPr>
        <w:pBdr/>
        <w:spacing/>
        <w:ind/>
        <w:rPr/>
      </w:pPr>
      <w:r>
        <w:t xml:space="preserve">Com o índice composto parcial sobre latitude e longitude, a localização dos registros candidatos é realizada por varredura de intervalo sobre a árvore de busca balanceada, cujo custo é O(log n), seguida da recuperação dos </w:t>
      </w:r>
      <w:r>
        <w:rPr>
          <w:i/>
        </w:rPr>
        <w:t xml:space="preserve">k</w:t>
      </w:r>
      <w:r>
        <w:t xml:space="preserve"> registros contidos no retângulo, de custo O(k). A complexidade resultante é, portanto, O(log n + k). Na ausência do índice, o SGBD recorreria à varredura sequencial da tabela, elevando a complexidade para O(n). Como </w:t>
      </w:r>
      <w:r>
        <w:rPr>
          <w:i/>
        </w:rPr>
        <w:t xml:space="preserve">k </w:t>
      </w:r>
      <w:r>
        <w:t xml:space="preserve">é limitado pela densidade de ocorrências ativas em uma área de aproximadamente 19.600 m2</w:t>
      </w:r>
      <w:r>
        <w:t xml:space="preserve"> , o seu valor permanece pequeno e praticamente constante independentemente do crescimento de</w:t>
      </w:r>
      <w:r>
        <w:rPr>
          <w:i/>
        </w:rPr>
        <w:t xml:space="preserve"> n</w:t>
      </w:r>
      <w:r>
        <w:t xml:space="preserve">, o que faz do termo logarítmico o fator dominante.</w:t>
      </w:r>
      <w:r/>
    </w:p>
    <w:p>
      <w:pPr>
        <w:pBdr/>
        <w:spacing/>
        <w:ind/>
        <w:rPr/>
      </w:pPr>
      <w:r>
        <w:t xml:space="preserve">A região consultada é o quadrado circunscrito à circunferência de 70 m, e não à </w:t>
      </w:r>
      <w:r>
        <w:t xml:space="preserve">própria circunferência, de modo que ocorrências situadas nos cantos do quadrado podem distar até aproximadamente 99 m do ponto informado, valor correspondente ao produto do raio pela raiz quadrada de dois. Por essa razão, o componente de serviço refina o r</w:t>
      </w:r>
      <w:r>
        <w:t xml:space="preserve">esultado com o cálculo exato da distância ortodrômica, pela fórmula de haversine, sobre os k registros retornados, retendo apenas os situados dentro da circunferência e, entre eles, o mais próximo. O refinamento acrescenta custo O(k), e a complexidade tota</w:t>
      </w:r>
      <w:r>
        <w:t xml:space="preserve">l permanece O(log n + k): a consulta ao banco de dados aproveita integralmente o índice de árvore de busca balanceada, e a precisão geométrica é assegurada pela filtragem posterior, sem a avaliação da função de distância sobre todos os registros da tabela;</w:t>
      </w:r>
      <w:r/>
    </w:p>
    <w:p>
      <w:pPr>
        <w:pBdr/>
        <w:spacing/>
        <w:ind/>
        <w:rPr/>
      </w:pPr>
      <w:r>
        <w:t xml:space="preserve">b) Geração e verificação do código de rastreamento anônimo — classe </w:t>
      </w:r>
      <w:r>
        <w:rPr>
          <w:i/>
        </w:rPr>
        <w:t xml:space="preserve">AnonymousTrackingCodeService</w:t>
      </w:r>
      <w:r/>
    </w:p>
    <w:p>
      <w:pPr>
        <w:pBdr/>
        <w:spacing/>
        <w:ind/>
        <w:rPr/>
      </w:pPr>
      <w:r>
        <w:t xml:space="preserve">Os métodos generateCode, hash e matches da classe AnonymousTrackingCodeService, do pacote br.com.faitec.falacidade.implementation.service.tracking, viabilizam</w:t>
      </w:r>
      <w:r>
        <w:t xml:space="preserve"> o acompanhamento de ocorrências anônimas previsto no RF08 sem qualquer vínculo com a identidade do autor, at</w:t>
      </w:r>
      <w:r>
        <w:t xml:space="preserve">endendo à RN05. A geração produz uma sequência de L caracteres sorteados de um alfabeto de 32 símbolos por meio de gerador criptograficamente seguro, do qual foram excluídos os caracteres visualmente ambíguos. Como L é constante e igual a oito, a geração t</w:t>
      </w:r>
      <w:r>
        <w:t xml:space="preserve">em custo O(L), equivalente a O(1). O resumo criptográfico do código pelo algoritmo SHA-256 opera sobre entrada de tamanho fixo e apresenta igualmente custo O(1); apenas o resumo é persistido, de modo que o banco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PWA</w:t>
      </w:r>
      <w:r/>
    </w:p>
    <w:p>
      <w:pPr>
        <w:pBdr/>
        <w:spacing/>
        <w:ind/>
        <w:rPr/>
      </w:pPr>
      <w:r>
        <w:t xml:space="preserve">O painel previsto no RF13 apresenta seis indicadores agregados, um gráfico de barras por categoria, um gráfico de setores </w:t>
      </w:r>
      <w:r>
        <w:t xml:space="preserve">por UF e a relação dos oito bairros com maior incidência, todos calculados sobre o mesmo conjunto de ocorrências submetido aos filtros de período, bairro, categoria e estado. Cada aplicação do filtro percorre integralmente o conjunto e tem custo O(n), onde</w:t>
      </w:r>
      <w:r>
        <w:rPr>
          <w:i/>
        </w:rPr>
        <w:t xml:space="preserve"> n</w:t>
      </w:r>
      <w:r>
        <w:t xml:space="preserve"> é a quantidade de ocorrências carregadas do servidor. O agrupamento por bairro percorre o conjunto filtrado e ordena os </w:t>
      </w:r>
      <w:r>
        <w:rPr>
          <w:i/>
        </w:rPr>
        <w:t xml:space="preserve">b</w:t>
      </w:r>
      <w:r>
        <w:t xml:space="preserve"> bairros distintos resultantes, com custo O(n + b </w:t>
      </w:r>
      <w:r>
        <w:rPr>
          <w:i/>
        </w:rPr>
        <w:t xml:space="preserve">log</w:t>
      </w:r>
      <w:r>
        <w:t xml:space="preserve"> b); como </w:t>
      </w:r>
      <w:r>
        <w:rPr>
          <w:i/>
        </w:rPr>
        <w:t xml:space="preserve">b</w:t>
      </w:r>
      <w:r>
        <w:t xml:space="preserve">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w:t>
      </w:r>
      <w:r>
        <w:rPr>
          <w:i/>
        </w:rPr>
        <w:t xml:space="preserve">ramework</w:t>
      </w:r>
      <w:r>
        <w:t xml:space="preserve">. Como cada uma das onze propriedades reaplica o filtro, o custo efetivo por ciclo é de aproximadamen</w:t>
      </w:r>
      <w:r>
        <w:t xml:space="preserve">te 11n operações, que permanece O(n) em ordem de grandeza mas apresenta constante multiplicativa elevada. Para volumes da ordem de algumas centenas de ocorrências o tempo de resposta é imperceptível ao usuário, porém a escalabilidade da página é limitada. </w:t>
      </w:r>
      <w:r/>
    </w:p>
    <w:p>
      <w:pPr>
        <w:pBdr/>
        <w:spacing/>
        <w:ind/>
        <w:rPr/>
      </w:pPr>
      <w:r>
        <w:t xml:space="preserve">A contagem de ocorrências registradas no dia corrente, empregada no controle de uso abusivo, aplica uma função de extração de data sobre a coluna de data e hora de criação. Essa construção impede o </w:t>
      </w:r>
      <w:r>
        <w:t xml:space="preserve">aproveitamento de índice sobre a referida coluna, resultando em varredura sequencial de custo O(n). A substituição da função por um intervalo fechado entre o início e o fim do dia, associada à criação de índice sobre a coluna, reduziria a complexidade a O(</w:t>
      </w:r>
      <w:r>
        <w:rPr>
          <w:i/>
        </w:rPr>
        <w:t xml:space="preserve">log</w:t>
      </w:r>
      <w:r>
        <w:t xml:space="preserve"> n + k).</w:t>
      </w:r>
      <w:r/>
    </w:p>
    <w:p>
      <w:pPr>
        <w:pStyle w:val="1637"/>
        <w:pageBreakBefore w:val="true"/>
        <w:pBdr/>
        <w:spacing/>
        <w:ind/>
        <w:rPr/>
      </w:pPr>
      <w:r/>
      <w:bookmarkStart w:id="150" w:name="_Toc60"/>
      <w:r>
        <w:t xml:space="preserve">8 PLANO DE TESTES</w:t>
      </w:r>
      <w:r/>
      <w:bookmarkEnd w:id="150"/>
      <w:r/>
      <w:r/>
    </w:p>
    <w:p>
      <w:pPr>
        <w:pBdr/>
        <w:spacing/>
        <w:ind/>
        <w:rPr/>
      </w:pPr>
      <w:r>
        <w:t xml:space="preserve">Este capítulo apresenta um plano de testes elaborado para o sistema “Fala, Cidade!”, que é constituído por um escopo, os casos de testes e a avaliação dos resultados obtidos.</w:t>
      </w:r>
      <w:r/>
    </w:p>
    <w:p>
      <w:pPr>
        <w:pBdr/>
        <w:spacing/>
        <w:ind/>
        <w:rPr/>
      </w:pPr>
      <w:r>
        <w:t xml:space="preserve">A verificação e a validação do sistema de software constituem atividades permanentes do processo de desenv</w:t>
      </w:r>
      <w:r>
        <w:t xml:space="preserve">olvimento, e não uma etapa isolada ao seu término. Segundo Delamaro, Maldonado e Jino (2016), a atividade de teste tem por finalidade revelar a presença de defeitos, e a sua eficácia depende diretamente do critério empregado na seleção dos casos de teste. </w:t>
      </w:r>
      <w:r/>
    </w:p>
    <w:p>
      <w:pPr>
        <w:pBdr/>
        <w:spacing/>
        <w:ind/>
        <w:rPr/>
      </w:pPr>
      <w:r/>
      <w:r/>
    </w:p>
    <w:p>
      <w:pPr>
        <w:pStyle w:val="1638"/>
        <w:pBdr/>
        <w:spacing/>
        <w:ind/>
        <w:rPr/>
      </w:pPr>
      <w:r/>
      <w:bookmarkStart w:id="151" w:name="_Toc61"/>
      <w:r>
        <w:t xml:space="preserve">8.1 FINALIDADE</w:t>
      </w:r>
      <w:r/>
      <w:bookmarkEnd w:id="151"/>
      <w:r/>
      <w:r/>
    </w:p>
    <w:p>
      <w:pPr>
        <w:pBdr/>
        <w:spacing/>
        <w:ind/>
        <w:rPr/>
      </w:pPr>
      <w:r>
        <w:t xml:space="preserve">Este plano de testes apresentado neste documento compreende duas estratégias complementares de verificação, seguidas da validação.</w:t>
      </w:r>
      <w:r/>
    </w:p>
    <w:p>
      <w:pPr>
        <w:pBdr/>
        <w:spacing/>
        <w:ind/>
        <w:rPr/>
      </w:pPr>
      <w:r>
        <w:t xml:space="preserve">a) Testes unitários automatizados: destinam-se à verificação isolada das unidades de código-fonte que concentram as regras de negócio do sistema, notadamente as classes </w:t>
      </w:r>
      <w:r>
        <w:rPr>
          <w:i/>
        </w:rPr>
        <w:t xml:space="preserve">service</w:t>
      </w:r>
      <w:r>
        <w:t xml:space="preserve">, DAOs e DTOs e os componentes de segurança do componente da API. A finalidade desta estratégia é assegurar </w:t>
      </w:r>
      <w:r>
        <w:t xml:space="preserve">que cada unidade produza o resultado especificado para as entradas válidas e rejeite adequadamente as entradas inválidas, bem como constituir uma rede de proteção contra regressões: a execução da bateria a cada alteração revela imediatamente comportamentos</w:t>
      </w:r>
      <w:r>
        <w:t xml:space="preserve"> anteriormente corretos que tenham sido comprometidos. As dependências externas de cada unidade são substituídas por objetos simulados, de modo que a falha de um teste indica defeito na unidade sob verificação e não naquelas em que ela possuir dependência;</w:t>
      </w:r>
      <w:r/>
    </w:p>
    <w:p>
      <w:pPr>
        <w:pBdr/>
        <w:spacing/>
        <w:ind/>
        <w:rPr/>
      </w:pPr>
      <w:r>
        <w:t xml:space="preserve">b) Testes funcionais e de verificação manuais: destinam-se à verificação do sistema integrado sob a perspectiva do usuário, percorrendo os cenários principal e alternativos de c</w:t>
      </w:r>
      <w:r>
        <w:t xml:space="preserve">ada caso de uso especificado no Apêndice C. A finalidade desta estratégia é verificar o atendimento aos requisitos funcionais especificados no Capítulo 5, incluindo os aspectos que escapam à verificação unitária, como a integração entre componentes, o PWA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c) Validação com as partes</w:t>
      </w:r>
      <w:r>
        <w:t xml:space="preserve"> interessadas: distinta da verificação, a validação confirma junto às partes interessadas que o sistema atende às suas necessidades. Na formulação apresentada por Sommerville (2018), a verificação responde se o sistema está sendo construído corretamente — </w:t>
      </w:r>
      <w:r>
        <w:t xml:space="preserve">se faz certo o que foi especificado —, e a validação, se o sistema certo está sendo construído — se faz a coisa certa, o que pressupõe requisitos bem especificados. No Scrum, a validação corresponde à aceitação dos incrementos pelo Product Owner ao final d</w:t>
      </w:r>
      <w:r>
        <w:t xml:space="preserve">e cada sprint, e o não aceite pode exigir novos requisitos ou a alteração dos existentes, registrados no Product Backlog. A apresentação do sistema na Faitec, relatada na Seção 8.5, constituiu a primeira validação junto à comunidade de potenciais usuários.</w:t>
      </w:r>
      <w:r/>
    </w:p>
    <w:p>
      <w:pPr>
        <w:pStyle w:val="1638"/>
        <w:pBdr/>
        <w:spacing/>
        <w:ind/>
        <w:rPr/>
      </w:pPr>
      <w:r/>
      <w:bookmarkStart w:id="152" w:name="_Toc62"/>
      <w:r>
        <w:t xml:space="preserve">8.2 ESCOPO</w:t>
      </w:r>
      <w:r/>
      <w:bookmarkEnd w:id="152"/>
      <w:r/>
      <w:r/>
    </w:p>
    <w:p>
      <w:pPr>
        <w:pBdr/>
        <w:spacing/>
        <w:ind/>
        <w:rPr/>
      </w:pPr>
      <w:r>
        <w:t xml:space="preserve">Esta seção delimita os artefatos que serviram de referência para a derivação dos casos de teste e descreve o ambiente de hardware e de software em que o plano deve ser aplicado.</w:t>
      </w:r>
      <w:r/>
    </w:p>
    <w:p>
      <w:pPr>
        <w:pBdr/>
        <w:spacing/>
        <w:ind/>
        <w:rPr/>
      </w:pPr>
      <w:r/>
      <w:r/>
    </w:p>
    <w:p>
      <w:pPr>
        <w:pStyle w:val="1639"/>
        <w:pBdr/>
        <w:spacing/>
        <w:ind/>
        <w:rPr/>
      </w:pPr>
      <w:r/>
      <w:bookmarkStart w:id="153" w:name="_Toc63"/>
      <w:r>
        <w:t xml:space="preserve">8.2.1 Referências aos Documentos Relevantes</w:t>
      </w:r>
      <w:r/>
      <w:bookmarkEnd w:id="153"/>
      <w:r/>
      <w:r/>
    </w:p>
    <w:p>
      <w:pPr>
        <w:pBdr/>
        <w:spacing/>
        <w:ind/>
        <w:rPr/>
      </w:pPr>
      <w:r>
        <w:t xml:space="preserve">Os casos de teste foram derivados a partir dos artefatos de especificação e de projeto produzidos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3003"/>
        <w:gridCol w:w="6209"/>
      </w:tblGrid>
      <w:tr>
        <w:trPr/>
        <w:tc>
          <w:tcPr>
            <w:tcBorders/>
            <w:tcMar>
              <w:left w:w="108" w:type="dxa"/>
              <w:top w:w="100" w:type="dxa"/>
              <w:right w:w="108" w:type="dxa"/>
              <w:bottom w:w="100" w:type="dxa"/>
            </w:tcMar>
            <w:tcW w:w="3003" w:type="dxa"/>
          </w:tcPr>
          <w:p>
            <w:pPr>
              <w:pBdr/>
              <w:spacing/>
              <w:ind/>
              <w:jc w:val="center"/>
              <w:rPr/>
            </w:pPr>
            <w:r>
              <w:t xml:space="preserve">Tipo do material</w:t>
            </w:r>
            <w:r/>
          </w:p>
        </w:tc>
        <w:tc>
          <w:tcPr>
            <w:tcBorders/>
            <w:tcMar>
              <w:left w:w="108" w:type="dxa"/>
              <w:top w:w="100" w:type="dxa"/>
              <w:right w:w="108" w:type="dxa"/>
              <w:bottom w:w="100" w:type="dxa"/>
            </w:tcMar>
            <w:tcW w:w="6209" w:type="dxa"/>
          </w:tcPr>
          <w:p>
            <w:pPr>
              <w:pBdr/>
              <w:spacing/>
              <w:ind/>
              <w:jc w:val="center"/>
              <w:rPr/>
            </w:pPr>
            <w:r>
              <w:t xml:space="preserve">Referência</w:t>
            </w:r>
            <w:r/>
          </w:p>
        </w:tc>
      </w:tr>
      <w:tr>
        <w:trPr/>
        <w:tc>
          <w:tcPr>
            <w:tcBorders/>
            <w:tcMar>
              <w:left w:w="108" w:type="dxa"/>
              <w:top w:w="100" w:type="dxa"/>
              <w:right w:w="108" w:type="dxa"/>
              <w:bottom w:w="100" w:type="dxa"/>
            </w:tcMar>
            <w:tcW w:w="3003" w:type="dxa"/>
          </w:tcPr>
          <w:p>
            <w:pPr>
              <w:pBdr/>
              <w:spacing/>
              <w:ind/>
              <w:rPr/>
            </w:pPr>
            <w:r>
              <w:t xml:space="preserve">Especificação de requisitos</w:t>
            </w:r>
            <w:r/>
          </w:p>
        </w:tc>
        <w:tc>
          <w:tcPr>
            <w:tcBorders/>
            <w:tcMar>
              <w:left w:w="108" w:type="dxa"/>
              <w:top w:w="100" w:type="dxa"/>
              <w:right w:w="108" w:type="dxa"/>
              <w:bottom w:w="100" w:type="dxa"/>
            </w:tcMar>
            <w:tcW w:w="6209"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3003" w:type="dxa"/>
          </w:tcPr>
          <w:p>
            <w:pPr>
              <w:pBdr/>
              <w:spacing/>
              <w:ind/>
              <w:rPr/>
            </w:pPr>
            <w:r>
              <w:t xml:space="preserve">Modelo de casos de uso</w:t>
            </w:r>
            <w:r/>
          </w:p>
        </w:tc>
        <w:tc>
          <w:tcPr>
            <w:tcBorders/>
            <w:tcMar>
              <w:left w:w="108" w:type="dxa"/>
              <w:top w:w="100" w:type="dxa"/>
              <w:right w:w="108" w:type="dxa"/>
              <w:bottom w:w="100" w:type="dxa"/>
            </w:tcMar>
            <w:tcW w:w="6209"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3003" w:type="dxa"/>
          </w:tcPr>
          <w:p>
            <w:pPr>
              <w:pBdr/>
              <w:spacing/>
              <w:ind/>
              <w:rPr/>
            </w:pPr>
            <w:r>
              <w:t xml:space="preserve">Modelo lógico e dicionário de dados</w:t>
            </w:r>
            <w:r/>
          </w:p>
        </w:tc>
        <w:tc>
          <w:tcPr>
            <w:tcBorders/>
            <w:tcMar>
              <w:left w:w="108" w:type="dxa"/>
              <w:top w:w="100" w:type="dxa"/>
              <w:right w:w="108" w:type="dxa"/>
              <w:bottom w:w="100" w:type="dxa"/>
            </w:tcMar>
            <w:tcW w:w="6209"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3003" w:type="dxa"/>
          </w:tcPr>
          <w:p>
            <w:pPr>
              <w:pBdr/>
              <w:spacing/>
              <w:ind/>
              <w:rPr/>
            </w:pPr>
            <w:r>
              <w:t xml:space="preserve">Diagramas da UML</w:t>
            </w:r>
            <w:r/>
          </w:p>
        </w:tc>
        <w:tc>
          <w:tcPr>
            <w:tcBorders/>
            <w:tcMar>
              <w:left w:w="108" w:type="dxa"/>
              <w:top w:w="100" w:type="dxa"/>
              <w:right w:w="108" w:type="dxa"/>
              <w:bottom w:w="100" w:type="dxa"/>
            </w:tcMar>
            <w:tcW w:w="6209"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3003" w:type="dxa"/>
          </w:tcPr>
          <w:p>
            <w:pPr>
              <w:pBdr/>
              <w:spacing/>
              <w:ind/>
              <w:rPr/>
            </w:pPr>
            <w:r>
              <w:t xml:space="preserve">Requisitos de segurança da informação</w:t>
            </w:r>
            <w:r/>
          </w:p>
        </w:tc>
        <w:tc>
          <w:tcPr>
            <w:tcBorders/>
            <w:tcMar>
              <w:left w:w="108" w:type="dxa"/>
              <w:top w:w="100" w:type="dxa"/>
              <w:right w:w="108" w:type="dxa"/>
              <w:bottom w:w="100" w:type="dxa"/>
            </w:tcMar>
            <w:tcW w:w="6209" w:type="dxa"/>
          </w:tcPr>
          <w:p>
            <w:pPr>
              <w:pBdr/>
              <w:spacing/>
              <w:ind/>
              <w:rPr/>
            </w:pPr>
            <w:r>
              <w:t xml:space="preserve">Seção 5.1.2.4 — política de senhas, autenticação multifator e conformidade com a LGPD.</w:t>
            </w:r>
            <w:r/>
          </w:p>
        </w:tc>
      </w:tr>
      <w:tr>
        <w:trPr/>
        <w:tc>
          <w:tcPr>
            <w:tcBorders/>
            <w:tcMar>
              <w:left w:w="108" w:type="dxa"/>
              <w:top w:w="100" w:type="dxa"/>
              <w:right w:w="108" w:type="dxa"/>
              <w:bottom w:w="100" w:type="dxa"/>
            </w:tcMar>
            <w:tcW w:w="3003" w:type="dxa"/>
          </w:tcPr>
          <w:p>
            <w:pPr>
              <w:pBdr/>
              <w:spacing/>
              <w:ind/>
              <w:rPr/>
            </w:pPr>
            <w:r>
              <w:t xml:space="preserve">Especificação dos casos de teste</w:t>
            </w:r>
            <w:r/>
          </w:p>
        </w:tc>
        <w:tc>
          <w:tcPr>
            <w:tcBorders/>
            <w:tcMar>
              <w:left w:w="108" w:type="dxa"/>
              <w:top w:w="100" w:type="dxa"/>
              <w:right w:w="108" w:type="dxa"/>
              <w:bottom w:w="100" w:type="dxa"/>
            </w:tcMar>
            <w:tcW w:w="6209" w:type="dxa"/>
          </w:tcPr>
          <w:p>
            <w:pPr>
              <w:pBdr/>
              <w:spacing/>
              <w:ind/>
              <w:rPr/>
            </w:pPr>
            <w:r>
              <w:t xml:space="preserve">Apêndice J — descrição dos casos de teste e histórico de execução.</w:t>
            </w:r>
            <w:r/>
          </w:p>
        </w:tc>
      </w:tr>
    </w:tbl>
    <w:p>
      <w:pPr>
        <w:pStyle w:val="1848"/>
        <w:pBdr/>
        <w:spacing/>
        <w:ind/>
        <w:rPr/>
      </w:pPr>
      <w:r/>
      <w:r>
        <w:t xml:space="preserve">QUADRO </w:t>
        <w:fldChar w:fldCharType="begin"/>
        <w:instrText xml:space="preserve">SEQ QUADRO \* ARABIC </w:instrText>
        <w:fldChar w:fldCharType="separate"/>
        <w:t xml:space="preserve">1</w:t>
        <w:fldChar w:fldCharType="end"/>
        <w:t xml:space="preserve"> – Documentos relevantes para testes</w:t>
      </w:r>
      <w:r/>
      <w:r/>
      <w:r/>
    </w:p>
    <w:p>
      <w:pPr>
        <w:pBdr/>
        <w:spacing/>
        <w:ind/>
        <w:rPr/>
      </w:pPr>
      <w:r/>
      <w:r/>
    </w:p>
    <w:p>
      <w:pPr>
        <w:pStyle w:val="1639"/>
        <w:pBdr/>
        <w:spacing/>
        <w:ind/>
        <w:rPr/>
      </w:pPr>
      <w:r/>
      <w:bookmarkStart w:id="154" w:name="_Toc64"/>
      <w:r>
        <w:t xml:space="preserve">8.2.2 Ambiente para a Realização dos Testes</w:t>
      </w:r>
      <w:r/>
      <w:bookmarkEnd w:id="15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jc w:val="center"/>
              <w:rPr/>
            </w:pPr>
            <w:r>
              <w:t xml:space="preserve">Equipamento</w:t>
            </w:r>
            <w:r/>
          </w:p>
        </w:tc>
        <w:tc>
          <w:tcPr>
            <w:tcBorders/>
            <w:tcMar>
              <w:left w:w="108" w:type="dxa"/>
              <w:top w:w="100" w:type="dxa"/>
              <w:right w:w="108" w:type="dxa"/>
              <w:bottom w:w="100" w:type="dxa"/>
            </w:tcMar>
            <w:tcW w:w="3606" w:type="dxa"/>
          </w:tcPr>
          <w:p>
            <w:pPr>
              <w:pBdr/>
              <w:spacing/>
              <w:ind/>
              <w:jc w:val="center"/>
              <w:rPr/>
            </w:pPr>
            <w:r>
              <w:t xml:space="preserve">Marca/modelo/configuração</w:t>
            </w:r>
            <w:r/>
          </w:p>
        </w:tc>
        <w:tc>
          <w:tcPr>
            <w:tcBorders/>
            <w:tcMar>
              <w:left w:w="108" w:type="dxa"/>
              <w:top w:w="100" w:type="dxa"/>
              <w:right w:w="108" w:type="dxa"/>
              <w:bottom w:w="100" w:type="dxa"/>
            </w:tcMar>
            <w:tcW w:w="3606" w:type="dxa"/>
          </w:tcPr>
          <w:p>
            <w:pPr>
              <w:pBdr/>
              <w:spacing/>
              <w:ind/>
              <w:jc w:val="center"/>
              <w:rPr/>
            </w:pPr>
            <w: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e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com tela de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PWA, da captura de geolocalização e dos demais recursos.</w:t>
            </w:r>
            <w:r/>
          </w:p>
        </w:tc>
      </w:tr>
      <w:tr>
        <w:trPr/>
        <w:tc>
          <w:tcPr>
            <w:tcBorders/>
            <w:tcMar>
              <w:left w:w="108" w:type="dxa"/>
              <w:top w:w="100" w:type="dxa"/>
              <w:right w:w="108" w:type="dxa"/>
              <w:bottom w:w="100" w:type="dxa"/>
            </w:tcMar>
            <w:tcW w:w="2000" w:type="dxa"/>
          </w:tcPr>
          <w:p>
            <w:pPr>
              <w:pBdr/>
              <w:spacing/>
              <w:ind/>
              <w:rPr/>
            </w:pPr>
            <w:r>
              <w:t xml:space="preserve">Servidor local de SGBD</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 de computadores</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8"/>
        <w:pBdr/>
        <w:spacing/>
        <w:ind/>
        <w:rPr/>
      </w:pPr>
      <w:r/>
      <w:r>
        <w:t xml:space="preserve">QUADRO </w:t>
        <w:fldChar w:fldCharType="begin"/>
        <w:instrText xml:space="preserve">SEQ QUADRO \* ARABIC </w:instrText>
        <w:fldChar w:fldCharType="separate"/>
        <w:t xml:space="preserve">2</w:t>
        <w:fldChar w:fldCharType="end"/>
        <w:t xml:space="preserve"> – Equipamentos para a realização dos testes</w:t>
      </w:r>
      <w:r/>
      <w:r/>
      <w:r/>
    </w:p>
    <w:p>
      <w:pPr>
        <w:pBdr/>
        <w:spacing/>
        <w:ind/>
        <w:rPr/>
      </w:pPr>
      <w:r/>
      <w:r/>
    </w:p>
    <w:p>
      <w:pPr>
        <w:pBdr/>
        <w:spacing/>
        <w:ind/>
        <w:rPr/>
      </w:pPr>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1962"/>
        <w:gridCol w:w="4650"/>
      </w:tblGrid>
      <w:tr>
        <w:trPr/>
        <w:tc>
          <w:tcPr>
            <w:tcBorders/>
            <w:tcMar>
              <w:left w:w="108" w:type="dxa"/>
              <w:top w:w="100" w:type="dxa"/>
              <w:right w:w="108" w:type="dxa"/>
              <w:bottom w:w="100" w:type="dxa"/>
            </w:tcMar>
            <w:tcW w:w="2600" w:type="dxa"/>
          </w:tcPr>
          <w:p>
            <w:pPr>
              <w:pBdr/>
              <w:spacing/>
              <w:ind/>
              <w:jc w:val="center"/>
              <w:rPr/>
            </w:pPr>
            <w:r>
              <w:t xml:space="preserve">Software/versão</w:t>
            </w:r>
            <w:r/>
          </w:p>
        </w:tc>
        <w:tc>
          <w:tcPr>
            <w:tcBorders/>
            <w:tcMar>
              <w:left w:w="108" w:type="dxa"/>
              <w:top w:w="100" w:type="dxa"/>
              <w:right w:w="108" w:type="dxa"/>
              <w:bottom w:w="100" w:type="dxa"/>
            </w:tcMar>
            <w:tcW w:w="1962" w:type="dxa"/>
          </w:tcPr>
          <w:p>
            <w:pPr>
              <w:pBdr/>
              <w:spacing/>
              <w:ind/>
              <w:jc w:val="center"/>
              <w:rPr/>
            </w:pPr>
            <w:r>
              <w:t xml:space="preserve">Fabricante</w:t>
            </w:r>
            <w:r/>
          </w:p>
        </w:tc>
        <w:tc>
          <w:tcPr>
            <w:tcBorders/>
            <w:tcMar>
              <w:left w:w="108" w:type="dxa"/>
              <w:top w:w="100" w:type="dxa"/>
              <w:right w:w="108" w:type="dxa"/>
              <w:bottom w:w="100" w:type="dxa"/>
            </w:tcMar>
            <w:tcW w:w="4650" w:type="dxa"/>
          </w:tcPr>
          <w:p>
            <w:pPr>
              <w:pBdr/>
              <w:spacing/>
              <w:ind/>
              <w:jc w:val="center"/>
              <w:rPr/>
            </w:pPr>
            <w: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1962" w:type="dxa"/>
          </w:tcPr>
          <w:p>
            <w:pPr>
              <w:pBdr/>
              <w:spacing/>
              <w:ind/>
              <w:rPr/>
            </w:pPr>
            <w:r>
              <w:t xml:space="preserve">JUnit Team</w:t>
            </w:r>
            <w:r/>
          </w:p>
        </w:tc>
        <w:tc>
          <w:tcPr>
            <w:tcBorders/>
            <w:tcMar>
              <w:left w:w="108" w:type="dxa"/>
              <w:top w:w="100" w:type="dxa"/>
              <w:right w:w="108" w:type="dxa"/>
              <w:bottom w:w="100" w:type="dxa"/>
            </w:tcMar>
            <w:tcW w:w="4650" w:type="dxa"/>
          </w:tcPr>
          <w:p>
            <w:pPr>
              <w:pBdr/>
              <w:spacing/>
              <w:ind/>
              <w:rPr/>
            </w:pPr>
            <w:r>
              <w:rPr>
                <w:i/>
              </w:rPr>
              <w:t xml:space="preserve">Framework</w:t>
            </w:r>
            <w:r>
              <w:t xml:space="preserve">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1962" w:type="dxa"/>
          </w:tcPr>
          <w:p>
            <w:pPr>
              <w:pBdr/>
              <w:spacing/>
              <w:ind/>
              <w:rPr/>
            </w:pPr>
            <w:r>
              <w:t xml:space="preserve">Mockito Team</w:t>
            </w:r>
            <w:r/>
          </w:p>
        </w:tc>
        <w:tc>
          <w:tcPr>
            <w:tcBorders/>
            <w:tcMar>
              <w:left w:w="108" w:type="dxa"/>
              <w:top w:w="100" w:type="dxa"/>
              <w:right w:w="108" w:type="dxa"/>
              <w:bottom w:w="100" w:type="dxa"/>
            </w:tcMar>
            <w:tcW w:w="4650"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1962" w:type="dxa"/>
          </w:tcPr>
          <w:p>
            <w:pPr>
              <w:pBdr/>
              <w:spacing/>
              <w:ind/>
              <w:rPr/>
            </w:pPr>
            <w:r>
              <w:t xml:space="preserve">Apache Software Foundation</w:t>
            </w:r>
            <w:r/>
          </w:p>
        </w:tc>
        <w:tc>
          <w:tcPr>
            <w:tcBorders/>
            <w:tcMar>
              <w:left w:w="108" w:type="dxa"/>
              <w:top w:w="100" w:type="dxa"/>
              <w:right w:w="108" w:type="dxa"/>
              <w:bottom w:w="100" w:type="dxa"/>
            </w:tcMar>
            <w:tcW w:w="4650" w:type="dxa"/>
          </w:tcPr>
          <w:p>
            <w:pPr>
              <w:pBdr/>
              <w:spacing/>
              <w:ind/>
              <w:rPr/>
            </w:pPr>
            <w:r>
              <w:t xml:space="preserve">Automação da construção código-fonte,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1962" w:type="dxa"/>
          </w:tcPr>
          <w:p>
            <w:pPr>
              <w:pBdr/>
              <w:spacing/>
              <w:ind/>
              <w:rPr/>
            </w:pPr>
            <w:r>
              <w:t xml:space="preserve">Google</w:t>
            </w:r>
            <w:r/>
          </w:p>
        </w:tc>
        <w:tc>
          <w:tcPr>
            <w:tcBorders/>
            <w:tcMar>
              <w:left w:w="108" w:type="dxa"/>
              <w:top w:w="100" w:type="dxa"/>
              <w:right w:w="108" w:type="dxa"/>
              <w:bottom w:w="100" w:type="dxa"/>
            </w:tcMar>
            <w:tcW w:w="4650" w:type="dxa"/>
          </w:tcPr>
          <w:p>
            <w:pPr>
              <w:pBdr/>
              <w:spacing/>
              <w:ind/>
              <w:rPr/>
            </w:pPr>
            <w:r>
              <w:t xml:space="preserve">Navegador de referência para os testes funcionais e para testes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1962" w:type="dxa"/>
          </w:tcPr>
          <w:p>
            <w:pPr>
              <w:pBdr/>
              <w:spacing/>
              <w:ind/>
              <w:rPr/>
            </w:pPr>
            <w:r>
              <w:t xml:space="preserve">Mozilla Foundation</w:t>
            </w:r>
            <w:r/>
          </w:p>
        </w:tc>
        <w:tc>
          <w:tcPr>
            <w:tcBorders/>
            <w:tcMar>
              <w:left w:w="108" w:type="dxa"/>
              <w:top w:w="100" w:type="dxa"/>
              <w:right w:w="108" w:type="dxa"/>
              <w:bottom w:w="100" w:type="dxa"/>
            </w:tcMar>
            <w:tcW w:w="4650"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1962" w:type="dxa"/>
          </w:tcPr>
          <w:p>
            <w:pPr>
              <w:pBdr/>
              <w:spacing/>
              <w:ind/>
              <w:rPr/>
            </w:pPr>
            <w:r>
              <w:t xml:space="preserve">SpringDoc</w:t>
            </w:r>
            <w:r/>
          </w:p>
        </w:tc>
        <w:tc>
          <w:tcPr>
            <w:tcBorders/>
            <w:tcMar>
              <w:left w:w="108" w:type="dxa"/>
              <w:top w:w="100" w:type="dxa"/>
              <w:right w:w="108" w:type="dxa"/>
              <w:bottom w:w="100" w:type="dxa"/>
            </w:tcMar>
            <w:tcW w:w="4650" w:type="dxa"/>
          </w:tcPr>
          <w:p>
            <w:pPr>
              <w:pBdr/>
              <w:spacing/>
              <w:ind/>
              <w:rPr/>
            </w:pPr>
            <w:r>
              <w:t xml:space="preserve">Exploração e verificação manual dos recursos do componente da API.</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1962" w:type="dxa"/>
          </w:tcPr>
          <w:p>
            <w:pPr>
              <w:pBdr/>
              <w:spacing/>
              <w:ind/>
              <w:rPr/>
            </w:pPr>
            <w:r>
              <w:t xml:space="preserve">DBeaver Corp.</w:t>
            </w:r>
            <w:r/>
          </w:p>
        </w:tc>
        <w:tc>
          <w:tcPr>
            <w:tcBorders/>
            <w:tcMar>
              <w:left w:w="108" w:type="dxa"/>
              <w:top w:w="100" w:type="dxa"/>
              <w:right w:w="108" w:type="dxa"/>
              <w:bottom w:w="100" w:type="dxa"/>
            </w:tcMar>
            <w:tcW w:w="4650" w:type="dxa"/>
          </w:tcPr>
          <w:p>
            <w:pPr>
              <w:pBdr/>
              <w:spacing/>
              <w:ind/>
              <w:rPr/>
            </w:pPr>
            <w:r>
              <w:t xml:space="preserve">Inspeção do estado do banco de dados durante e após a execução dos testes funcionais.</w:t>
            </w:r>
            <w:r/>
          </w:p>
        </w:tc>
      </w:tr>
    </w:tbl>
    <w:p>
      <w:pPr>
        <w:pStyle w:val="1848"/>
        <w:pBdr/>
        <w:spacing/>
        <w:ind/>
        <w:rPr/>
      </w:pPr>
      <w:r/>
      <w:r>
        <w:t xml:space="preserve">QUADRO </w:t>
        <w:fldChar w:fldCharType="begin"/>
        <w:instrText xml:space="preserve">SEQ QUADRO \* ARABIC </w:instrText>
        <w:fldChar w:fldCharType="separate"/>
        <w:t xml:space="preserve">3</w:t>
        <w:fldChar w:fldCharType="end"/>
        <w:t xml:space="preserve"> – Softwares para a realização dos testes</w:t>
      </w:r>
      <w:r/>
      <w:r/>
      <w:r/>
    </w:p>
    <w:p>
      <w:pPr>
        <w:pBdr/>
        <w:spacing/>
        <w:ind/>
        <w:rPr/>
      </w:pPr>
      <w:r/>
      <w:r/>
    </w:p>
    <w:p>
      <w:pPr>
        <w:pStyle w:val="1638"/>
        <w:pBdr/>
        <w:spacing/>
        <w:ind/>
        <w:rPr/>
      </w:pPr>
      <w:r/>
      <w:bookmarkStart w:id="155" w:name="_Toc65"/>
      <w:r>
        <w:t xml:space="preserve">8.3 ESPECIFICAÇÃO DOS CASOS DE TESTES</w:t>
      </w:r>
      <w:r/>
      <w:bookmarkEnd w:id="155"/>
      <w:r/>
      <w:r/>
    </w:p>
    <w:p>
      <w:pPr>
        <w:pBdr/>
        <w:spacing/>
        <w:ind/>
        <w:rPr/>
      </w:pPr>
      <w:r>
        <w:t xml:space="preserve">A descrição completa dos casos de teste, com a identificação, a pré-condição, os dados de entrada, o resultado esperado, o resultado obtido e a situação de cada um, bem como o histórico das execuções realizadas, encontra-se no Apêndice J. </w:t>
      </w:r>
      <w:r/>
    </w:p>
    <w:p>
      <w:pPr>
        <w:pBdr/>
        <w:spacing/>
        <w:ind/>
        <w:rPr/>
      </w:pPr>
      <w:r>
        <w:t xml:space="preserve">O mesmo apêndice contém o registro dos testes funcionais manuais aplicados aos cenários dos casos de uso.</w:t>
      </w:r>
      <w:r/>
    </w:p>
    <w:p>
      <w:pPr>
        <w:pBdr/>
        <w:spacing/>
        <w:ind/>
        <w:rPr/>
      </w:pPr>
      <w:r/>
      <w:r/>
    </w:p>
    <w:p>
      <w:pPr>
        <w:pStyle w:val="1638"/>
        <w:pBdr/>
        <w:spacing/>
        <w:ind/>
        <w:rPr/>
      </w:pPr>
      <w:r/>
      <w:bookmarkStart w:id="156" w:name="_Toc66"/>
      <w:r>
        <w:t xml:space="preserve">8.4 RESULTADOS DOS TESTES</w:t>
      </w:r>
      <w:r/>
      <w:bookmarkEnd w:id="156"/>
      <w:r/>
      <w:r/>
    </w:p>
    <w:p>
      <w:pPr>
        <w:pBdr/>
        <w:spacing/>
        <w:ind/>
        <w:rPr/>
      </w:pPr>
      <w:r>
        <w:t xml:space="preserve">A bateria de testes unitários automatizados executada ao término da Fase 3 co</w:t>
      </w:r>
      <w:r>
        <w:t xml:space="preserve">mpreendeu 232 casos de teste, distribuídos por 81 classes e blocos aninhados, com o registro de nenhuma falha, nenhum erro de execução e nenhum caso ignorado. Os relatórios de execução gerados pela ferramenta de automação da construção estão no Apêndice J.</w:t>
      </w:r>
      <w:r/>
    </w:p>
    <w:p>
      <w:pPr>
        <w:pBdr/>
        <w:spacing/>
        <w:ind/>
        <w:rPr/>
      </w:pPr>
      <w:r>
        <w:t xml:space="preserve">Com a evolução funcional e inclusão dos requisitos RF22 a RF25 e as regras de negócio RN07 a RN1</w:t>
      </w:r>
      <w:r>
        <w:t xml:space="preserve">0 —, a bateria passou a compreender 266 casos de teste, distribuídos por 88 classes e blocos aninhados, executados igualmente sem falhas, sem erros de execução e sem casos ignorados. Registre-se que a apuração desse resultado exige a execução da bateria do</w:t>
      </w:r>
      <w:r>
        <w:rPr>
          <w:i/>
        </w:rPr>
        <w:t xml:space="preserve"> rebuild</w:t>
      </w:r>
      <w:r>
        <w:t xml:space="preserve"> completo dos códigos dos componentes.</w:t>
      </w:r>
      <w:r/>
    </w:p>
    <w:p>
      <w:pPr>
        <w:pBdr/>
        <w:spacing/>
        <w:ind/>
        <w:rPr/>
      </w:pPr>
      <w:r>
        <w:t xml:space="preserve">Com as evoluções registradas entre 28/09/2026 e 20/10/2026 — a verificação em duas etapas por SMS, o cadastro do cidadão em etapas, a unicidade do celular por conta, o encerramento </w:t>
      </w:r>
      <w:r>
        <w:t xml:space="preserve">da sessão de conta excluída ou desativada, o agrupamento automático de ocorrências duplicadas, a exclusão lógica de ocorrência pelo super administrador, o acesso do departamento e a solicitação de conclusão (RF26 e RN11) e as correções da revisão técnica d</w:t>
      </w:r>
      <w:r>
        <w:t xml:space="preserve">e segurança e de desempenho —, a bateria do componente de serviço passou a compreender 421 casos de teste, distribuídos por 122 classes e blocos aninhados pertencentes a 42 classes de teste, executados sem falhas, sem erros de execução e sem casos ignorado</w:t>
      </w:r>
      <w:r>
        <w:t xml:space="preserve">s, a partir da compilação integral do projeto. O componente PWA passou a contar com 38 casos de teste automatizados, escritos com o framework de testes Jasmine e executados pelo Karma — ferramenta que executa os casos de teste em um navegador real, neste p</w:t>
      </w:r>
      <w:r>
        <w:t xml:space="preserve">rojeto o Google Chrome sem interface gráfica —, entre os quais os que verificam as máscaras e as validações da data de nascimento no formato dd/mm/aaaa, do CEP, do telefone, da unidade federativa, do nome e da senha, e o filtro de período das estatísticas.</w:t>
      </w:r>
      <w:r/>
    </w:p>
    <w:p>
      <w:pPr>
        <w:pBdr/>
        <w:spacing/>
        <w:ind/>
        <w:rPr/>
      </w:pPr>
      <w:r>
        <w:t xml:space="preserve">Quanto à cobertura funcional, a totalidade dos 27 requisitos funcionais especificados no Capítulo 5 encontra-se codificada e verificada, percentual superior ao mínimo de 60% dos casos de uso essenciais estabelecidos para a</w:t>
      </w:r>
      <w:bookmarkStart w:id="90" w:name="_GoBack"/>
      <w:r/>
      <w:bookmarkEnd w:id="90"/>
      <w:r>
        <w:t xml:space="preserve">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Entende-se que a verificação da API apresenta densidade adequada, com concentração dos casos exatamente nas unidades que implementam as regras de negócio e nas condições de fronteira, o que confere confiança elevada qua</w:t>
      </w:r>
      <w:r>
        <w:t xml:space="preserve">nto ao comportamento desse componente.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reduzida cobertura de testes automatizados do componente de aplicação Web: os 38 casos hoje existentes concentram-se em unidades pontua</w:t>
      </w:r>
      <w:r>
        <w:t xml:space="preserve">is, como as máscaras e as validações dos campos, e a validação das telas apoia-se predominantemente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Style w:val="1638"/>
        <w:pBdr/>
        <w:spacing/>
        <w:ind/>
        <w:rPr/>
      </w:pPr>
      <w:r/>
      <w:bookmarkStart w:id="157" w:name="_Toc67"/>
      <w:r>
        <w:t xml:space="preserve">8.5 TESTES DO SISTEMA NA FAITEC</w:t>
      </w:r>
      <w:r>
        <w:t xml:space="preserve"> </w:t>
      </w:r>
      <w:r/>
      <w:bookmarkEnd w:id="157"/>
      <w:r/>
      <w:r/>
    </w:p>
    <w:p>
      <w:pPr>
        <w:pBdr/>
        <w:spacing/>
        <w:ind/>
        <w:rPr/>
      </w:pPr>
      <w:r>
        <w:t xml:space="preserve">A versão do sistema desenvolvida até a Fase 3 foi apresentada ao público da Feira de Tecnologia e Empreendedorismo da FAI (Faitec) de 2026, na primeira exposição desta evolução do “Fala, Cidade!” à comunidade de usuários.</w:t>
      </w:r>
      <w:r/>
    </w:p>
    <w:p>
      <w:pPr>
        <w:pBdr/>
        <w:spacing/>
        <w:ind/>
        <w:rPr/>
      </w:pPr>
      <w:r>
        <w:t xml:space="preserve">Como pontos positivos, o público destacou o</w:t>
      </w:r>
      <w:r>
        <w:t xml:space="preserve"> forte impacto social da solução, por democratizar o acesso da população à gestão pública, e a simplicidade do envio de demandas de infraestrutura urbana diretamente à prefeitura, o que confirma a proposta de aproximar o cidadão da administração municipal.</w:t>
      </w:r>
      <w:r/>
    </w:p>
    <w:p>
      <w:pPr>
        <w:pBdr/>
        <w:spacing/>
        <w:ind/>
        <w:rPr/>
      </w:pPr>
      <w:r>
        <w:t xml:space="preserve">Como pontos de melhoria para a futura implantação, foram apontadas a necessidade de tornar a plataforma ainda mais inclusiva para as pessoas com pouca familiaridade com tecnologia e a de otimizar </w:t>
      </w:r>
      <w:r>
        <w:t xml:space="preserve">a triagem dos dados para os gestores públicos. O primeiro ponto reforça as ações de acessibilidade previstas para a Fase 4 (Seção 6.4.4) e orientará o treinamento e os recursos de apoio do plano de implantação (Capítulo 9); o segundo converge com a classif</w:t>
      </w:r>
      <w:r>
        <w:t xml:space="preserve">icação automática das ocorrências a partir das imagens e com a transferência da agregação do painel analítico para o SGBD, registradas como trabalhos futuros no Capítulo 10. Ambos foram incorporados à planilha de controle de riscos do projeto (Apêndice A).</w:t>
      </w:r>
      <w:r/>
    </w:p>
    <w:p>
      <w:pPr>
        <w:pStyle w:val="1637"/>
        <w:pageBreakBefore w:val="true"/>
        <w:pBdr/>
        <w:spacing/>
        <w:ind/>
        <w:rPr/>
      </w:pPr>
      <w:r/>
      <w:bookmarkStart w:id="158" w:name="_Toc68"/>
      <w:r>
        <w:t xml:space="preserve">9 PLANO PARA IMPLANTAÇÃO</w:t>
      </w:r>
      <w:r/>
      <w:bookmarkEnd w:id="158"/>
      <w:r/>
      <w:r/>
    </w:p>
    <w:p>
      <w:pPr>
        <w:pBdr/>
        <w:spacing/>
        <w:ind/>
        <w:rPr/>
      </w:pPr>
      <w:r>
        <w:t xml:space="preserve">O conteúdo deste capítulo corresponde à entrega da Fase 4 do projeto.</w:t>
      </w:r>
      <w:r/>
    </w:p>
    <w:p>
      <w:pPr>
        <w:pBdr/>
        <w:spacing/>
        <w:ind/>
        <w:rPr/>
      </w:pPr>
      <w:r/>
      <w:r/>
    </w:p>
    <w:p>
      <w:pPr>
        <w:pStyle w:val="1638"/>
        <w:pBdr/>
        <w:spacing/>
        <w:ind/>
        <w:rPr/>
      </w:pPr>
      <w:r/>
      <w:bookmarkStart w:id="159" w:name="_Toc69"/>
      <w:r>
        <w:t xml:space="preserve">9.1 METODOLOGIA</w:t>
      </w:r>
      <w:r/>
      <w:bookmarkEnd w:id="159"/>
      <w:r/>
      <w:r/>
    </w:p>
    <w:p>
      <w:pPr>
        <w:pStyle w:val="1639"/>
        <w:pBdr/>
        <w:spacing/>
        <w:ind/>
        <w:rPr/>
      </w:pPr>
      <w:r/>
      <w:bookmarkStart w:id="160" w:name="_Toc70"/>
      <w:r>
        <w:t xml:space="preserve">9.1.1 Descrição da Metodologia</w:t>
      </w:r>
      <w:r/>
      <w:bookmarkEnd w:id="160"/>
      <w:r/>
      <w:r/>
    </w:p>
    <w:p>
      <w:pPr>
        <w:pStyle w:val="1639"/>
        <w:pBdr/>
        <w:spacing/>
        <w:ind/>
        <w:rPr/>
      </w:pPr>
      <w:r/>
      <w:bookmarkStart w:id="161" w:name="_Toc71"/>
      <w:r>
        <w:t xml:space="preserve">9.1.2 Matriz de Responsabilidade</w:t>
      </w:r>
      <w:r/>
      <w:bookmarkEnd w:id="161"/>
      <w:r/>
      <w:r/>
    </w:p>
    <w:p>
      <w:pPr>
        <w:pStyle w:val="1638"/>
        <w:pBdr/>
        <w:spacing/>
        <w:ind/>
        <w:rPr/>
      </w:pPr>
      <w:r/>
      <w:bookmarkStart w:id="162" w:name="_Toc72"/>
      <w:r>
        <w:t xml:space="preserve">9.2 TREINAMENTO PREVISTO</w:t>
      </w:r>
      <w:r/>
      <w:bookmarkEnd w:id="162"/>
      <w:r/>
      <w:r/>
    </w:p>
    <w:p>
      <w:pPr>
        <w:pStyle w:val="1638"/>
        <w:pBdr/>
        <w:spacing/>
        <w:ind/>
        <w:rPr/>
      </w:pPr>
      <w:r/>
      <w:bookmarkStart w:id="163" w:name="_Toc73"/>
      <w:r>
        <w:t xml:space="preserve">9.3 CRONOGRAMA DE IMPLANTAÇÃO</w:t>
      </w:r>
      <w:r/>
      <w:bookmarkEnd w:id="163"/>
      <w:r/>
      <w:r/>
    </w:p>
    <w:p>
      <w:pPr>
        <w:pStyle w:val="1638"/>
        <w:pBdr/>
        <w:spacing/>
        <w:ind/>
        <w:rPr/>
      </w:pPr>
      <w:r/>
      <w:bookmarkStart w:id="164" w:name="_Toc74"/>
      <w:r>
        <w:t xml:space="preserve">9.4 RECURSOS DE APOIO À IMPLANTAÇÃO</w:t>
      </w:r>
      <w:r/>
      <w:bookmarkEnd w:id="164"/>
      <w:r/>
      <w:r/>
    </w:p>
    <w:p>
      <w:pPr>
        <w:pStyle w:val="1638"/>
        <w:pBdr/>
        <w:spacing/>
        <w:ind/>
        <w:rPr/>
      </w:pPr>
      <w:r/>
      <w:bookmarkStart w:id="165" w:name="_Toc75"/>
      <w:r>
        <w:t xml:space="preserve">9.5 VISÃO DA IMPLANTAÇÃO</w:t>
      </w:r>
      <w:r/>
      <w:bookmarkEnd w:id="165"/>
      <w:r/>
      <w:r/>
    </w:p>
    <w:p>
      <w:pPr>
        <w:pBdr/>
        <w:spacing/>
        <w:ind/>
        <w:rPr/>
      </w:pPr>
      <w:r/>
      <w:r/>
    </w:p>
    <w:p>
      <w:pPr>
        <w:pStyle w:val="1637"/>
        <w:pageBreakBefore w:val="true"/>
        <w:pBdr/>
        <w:spacing/>
        <w:ind/>
        <w:rPr/>
      </w:pPr>
      <w:r/>
      <w:bookmarkStart w:id="166" w:name="_Toc76"/>
      <w:r>
        <w:t xml:space="preserve">10 CONCLUSÃO</w:t>
      </w:r>
      <w:r/>
      <w:bookmarkEnd w:id="166"/>
      <w:r/>
      <w:r/>
    </w:p>
    <w:p>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w:t>
      </w:r>
      <w:r>
        <w:t xml:space="preserve"> solução tecnológica robusta voltada para a gestão participativa e zeladoria do espaço urbano. A trajetória percorrida ao longo das fases do ciclo de vida deste projeto demonstra o amadurecimento da proposta, integrando rigor técnico com utilidade social. </w:t>
      </w:r>
      <w:r/>
    </w:p>
    <w:p>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principais,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da Fase 3, os 21 requisitos funcionais então especificados no Capítulo 5 encontravam-se codificados, com implementação parcial apenas do </w:t>
      </w:r>
      <w:r>
        <w:t xml:space="preserve">RF18. Foram executados 232 casos de teste automatizados sem ocorrência de falhas, e a totalidade dos requisitos funcionais foi exercitada pelos testes funcionais manuais, resultado que supera o percentual mínimo estabelecido para a fase. Merecem destaque, </w:t>
      </w:r>
      <w:r>
        <w:t xml:space="preserve">entre os resultados alcançados, a implementação efetiva do mecanismo de detecção de duplicidade por proximidade geográfica com a consequente possibilidade de reforço comunitário do protocolo existente, o tratamento automático de privacidade das mídias anex</w:t>
      </w:r>
      <w:r>
        <w:t xml:space="preserve">adas por meio do desfoque de rostos e de textos identificáveis, a autenticação multifator obrigatória para os perfis com poder de alteração de estado das ocorrências e a disponibilização da PWA, apta à instalação no computador/dispositivo móvel do usuário.</w:t>
      </w:r>
      <w:r/>
    </w:p>
    <w:p>
      <w:pPr>
        <w:pBdr/>
        <w:spacing/>
        <w:ind/>
        <w:rPr/>
      </w:pPr>
      <w:r>
        <w:t xml:space="preserve">Foram igualmente identificados, ao longo da fase, pontos de melhoria como a ausência de testes automatizados para a PWA, a inexistência de medição objetiva de cobertura de código, a oportunidade de transferir a agregação do </w:t>
      </w:r>
      <w:r>
        <w:t xml:space="preserve">painel analítico para o SGBD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w:t>
      </w:r>
      <w:r>
        <w:t xml:space="preserve"> detalhamento de 27 requisitos funcionais, com destaque para a especificação e codificação do agrupamento automático de ocorrências duplicadas (RF16), que utiliza lógica georeferenciada e raio de 70 m, medido em linha reta, para otimizar a base de dados pú</w:t>
      </w:r>
      <w:r>
        <w:t xml:space="preserve">blica, e para o agrupamento de ocorrências similares com atualização coletiva de status (RF12). Adicionalmente, o estrito atendimento aos requisitos de autenticação robusta via JWT e autenticação multifator, combinados à criptografia com o algoritmo BCrypt</w:t>
      </w:r>
      <w:r>
        <w:t xml:space="preserve"> e tráfego via HTTPS/TLS, garantirá a proteção necessária e conformidade com LGPD. O agrupamento automático dos relatos repetidos, sem gerar redundâncias, aliado ao apoio comunitário às ocorrências já registradas, ajudará a promover eficiência às decisões.</w:t>
      </w:r>
      <w:r/>
    </w:p>
    <w:p>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Entre elas, destaca-se a integração co</w:t>
      </w:r>
      <w:r>
        <w:t xml:space="preserve">m um serviço de visão computacional baseado em inteligência artificial — a exemplo dos complementos de classificação automática de imagens oferecidos pelo próprio Cloudinary ou de um modelo de classificação treinado com as fotografias do acervo — para a tr</w:t>
      </w:r>
      <w:r>
        <w:t xml:space="preserve">iagem e a sugestão automática da categoria a partir das imagens enviadas pelos cidadãos, sempre sujeita à confirmação do cidadão ou da equipe, o que atende também ao ponto de melhoria apontado na Faitec quanto à triagem dos dados para os gestores públicos.</w:t>
      </w:r>
      <w:r>
        <w:t xml:space="preserve">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r/>
    </w:p>
    <w:p>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pPr>
        <w:pBdr>
          <w:top w:val="none" w:color="000000" w:sz="4" w:space="0"/>
          <w:left w:val="none" w:color="000000" w:sz="4" w:space="0"/>
          <w:bottom w:val="none" w:color="000000" w:sz="4" w:space="0"/>
          <w:right w:val="none" w:color="000000" w:sz="4" w:space="0"/>
        </w:pBdr>
        <w:spacing/>
        <w:ind/>
        <w:rPr/>
      </w:pPr>
      <w:r/>
      <w:r/>
    </w:p>
    <w:p>
      <w:pPr>
        <w:pBdr/>
        <w:spacing/>
        <w:ind/>
        <w:rPr>
          <w:rFonts w:cs="Arial"/>
          <w:b/>
          <w:bCs/>
          <w:caps/>
        </w:rPr>
      </w:pPr>
      <w:r>
        <w:br w:type="page" w:clear="all"/>
      </w:r>
      <w:r>
        <w:rPr>
          <w:rFonts w:cs="Arial"/>
          <w:b/>
          <w:bCs/>
          <w:caps/>
        </w:rPr>
      </w:r>
      <w:r>
        <w:rPr>
          <w:rFonts w:cs="Arial"/>
          <w:b/>
          <w:bCs/>
          <w:caps/>
        </w:rPr>
      </w:r>
    </w:p>
    <w:p>
      <w:pPr>
        <w:pStyle w:val="1637"/>
        <w:pBdr/>
        <w:spacing/>
        <w:ind/>
        <w:rPr/>
      </w:pPr>
      <w:r/>
      <w:bookmarkStart w:id="167" w:name="_Toc77"/>
      <w:r>
        <w:t xml:space="preserve">REFERÊNCIAS</w:t>
      </w:r>
      <w:r/>
      <w:bookmarkEnd w:id="167"/>
      <w:r/>
      <w:r/>
    </w:p>
    <w:p>
      <w:pPr>
        <w:pBdr/>
        <w:spacing/>
        <w:ind/>
        <w:rPr/>
      </w:pPr>
      <w:r>
        <w:t xml:space="preserve">BERNARDI, J.; BRUDEKI, A. S. </w:t>
      </w:r>
      <w:r>
        <w:rPr>
          <w:b/>
        </w:rPr>
        <w:t xml:space="preserve">Zeladoria Urbana</w:t>
      </w:r>
      <w:r>
        <w:t xml:space="preserve">: a importância da manutenção preventiva e corretiva nos espaços públicos. Curitiba: Editora Acadêmica, 2013.</w:t>
      </w:r>
      <w:r/>
    </w:p>
    <w:p>
      <w:pPr>
        <w:pBdr/>
        <w:spacing/>
        <w:ind/>
        <w:rPr/>
      </w:pPr>
      <w:r>
        <w:t xml:space="preserve">BRASIL. Ministério do Planejamento, Orçamento e Gestão. </w:t>
      </w:r>
      <w:r>
        <w:rPr>
          <w:b/>
        </w:rPr>
        <w:t xml:space="preserve">eMAG</w:t>
      </w:r>
      <w:r>
        <w:t xml:space="preserve">: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13.709, de 14 de agosto de 2018. Lei Geral de Proteção de Dados Pessoais (LGPD). </w:t>
      </w:r>
      <w:r>
        <w:rPr>
          <w:b/>
        </w:rPr>
        <w:t xml:space="preserve">Diário Oficial [da] União</w:t>
      </w:r>
      <w:r>
        <w:t xml:space="preserve">: seção 1, Brasília, DF, 15 ago. 2018. Disponível em: https://www.planalto.gov.br/ccivil_03/_ato2015-2018/2018/lei/l13709.htm. Acesso em: 15 abr. 2026.</w:t>
      </w:r>
      <w:r/>
    </w:p>
    <w:p>
      <w:pPr>
        <w:pBdr/>
        <w:spacing/>
        <w:ind/>
        <w:rPr/>
      </w:pPr>
      <w:r>
        <w:t xml:space="preserve">CORMEN, T. H.; LEISERSON, C. E.; RIVEST, R. L.; STEIN, C. </w:t>
      </w:r>
      <w:r>
        <w:rPr>
          <w:b/>
        </w:rPr>
        <w:t xml:space="preserve">Algoritmos</w:t>
      </w:r>
      <w:r>
        <w:t xml:space="preserve">: teoria e prática. 3. ed. Rio de Janeiro: Elsevier, 2012.</w:t>
      </w:r>
      <w:r/>
    </w:p>
    <w:p>
      <w:pPr>
        <w:pBdr/>
        <w:spacing/>
        <w:ind/>
        <w:rPr/>
      </w:pPr>
      <w:r>
        <w:t xml:space="preserve">COULOURIS, G.; DOLLIMORE, J.; KINDBERG, T.; BLAIR, G. </w:t>
      </w:r>
      <w:r>
        <w:rPr>
          <w:b/>
        </w:rPr>
        <w:t xml:space="preserve">Sistemas Distribuídos</w:t>
      </w:r>
      <w:r>
        <w:t xml:space="preserve">: conceitos e projeto. 5. ed. Porto Alegre: Bookman, 2013.</w:t>
      </w:r>
      <w:r/>
    </w:p>
    <w:p>
      <w:pPr>
        <w:pBdr/>
        <w:spacing/>
        <w:ind/>
        <w:rPr/>
      </w:pPr>
      <w:r>
        <w:t xml:space="preserve">DELAMARO, M. E.; MALDONADO, J. C.; JINO, M. </w:t>
      </w:r>
      <w:r>
        <w:rPr>
          <w:b/>
        </w:rPr>
        <w:t xml:space="preserve">Introdução ao teste de software</w:t>
      </w:r>
      <w:r>
        <w:t xml:space="preserve">. 2. ed. Rio de Janeiro: Elsevier, 2016.</w:t>
      </w:r>
      <w:r/>
    </w:p>
    <w:p>
      <w:pPr>
        <w:pBdr/>
        <w:spacing/>
        <w:ind/>
        <w:rPr/>
      </w:pPr>
      <w:r>
        <w:t xml:space="preserve">E-OUVE. Sistema de Atendimento ao Cidadão. </w:t>
      </w:r>
      <w:r>
        <w:rPr>
          <w:b/>
        </w:rPr>
        <w:t xml:space="preserve">Desenvolvido por WebNets Soluções</w:t>
      </w:r>
      <w:r>
        <w:t xml:space="preserve">. Disponível em: https://eouve.com.br/. Acesso em: 20 mai. 2026.</w:t>
      </w:r>
      <w:r/>
    </w:p>
    <w:p>
      <w:pPr>
        <w:pBdr/>
        <w:spacing/>
        <w:ind/>
        <w:rPr/>
      </w:pPr>
      <w:r>
        <w:t xml:space="preserve">FIELDING, R. T. </w:t>
      </w:r>
      <w:r>
        <w:rPr>
          <w:b/>
        </w:rPr>
        <w:t xml:space="preserve">Architectural Styles and the Design of Network-based Software Architectures</w:t>
      </w:r>
      <w:r>
        <w:t xml:space="preserve">. 2000. Tese (Doutorado em Ciência da Computação) – Universidade da Califórnia, Irvine, Estados Unidos, 2000.</w:t>
      </w:r>
      <w:r/>
    </w:p>
    <w:p>
      <w:pPr>
        <w:pBdr/>
        <w:spacing/>
        <w:ind/>
        <w:rPr/>
      </w:pPr>
      <w:r>
        <w:t xml:space="preserve">GAMMA, E.; HELM, R.; JOHNSON, R.; VLISSIDES, J. </w:t>
      </w:r>
      <w:r>
        <w:rPr>
          <w:b/>
        </w:rPr>
        <w:t xml:space="preserve">Padrões de Projeto</w:t>
      </w:r>
      <w:r>
        <w:t xml:space="preserve">: soluções reutilizáveis de software orientado a objetos. Porto Alegre: Bookman, 2000.</w:t>
      </w:r>
      <w:r/>
    </w:p>
    <w:p>
      <w:pPr>
        <w:pBdr/>
        <w:spacing/>
        <w:ind/>
        <w:rPr/>
      </w:pPr>
      <w:r>
        <w:t xml:space="preserve">HEEKS, R. </w:t>
      </w:r>
      <w:r>
        <w:rPr>
          <w:b/>
        </w:rPr>
        <w:t xml:space="preserve">Implementing and managing eGovernmen</w:t>
      </w:r>
      <w:r>
        <w:t xml:space="preserve">t: an international text. Londres: SAGE Publications, 2006.</w:t>
      </w:r>
      <w:r/>
    </w:p>
    <w:p>
      <w:pPr>
        <w:pBdr/>
        <w:spacing/>
        <w:ind/>
        <w:rPr/>
      </w:pPr>
      <w:r>
        <w:t xml:space="preserve">LEMOS, A. </w:t>
      </w:r>
      <w:r>
        <w:rPr>
          <w:b/>
        </w:rPr>
        <w:t xml:space="preserve">A Cidade e as Redes</w:t>
      </w:r>
      <w:r>
        <w:t xml:space="preserve">: os novos desafios da gestão urbana na era digital. 2. ed. Salvador: Edufba, 2015.</w:t>
      </w:r>
      <w:r/>
    </w:p>
    <w:p>
      <w:pPr>
        <w:pBdr/>
        <w:spacing/>
        <w:ind/>
        <w:rPr/>
      </w:pPr>
      <w:r>
        <w:t xml:space="preserve">NIELSEN, J. </w:t>
      </w:r>
      <w:r>
        <w:rPr>
          <w:b/>
        </w:rPr>
        <w:t xml:space="preserve">Usability Engineering.</w:t>
      </w:r>
      <w:r>
        <w:t xml:space="preserve"> San Diego: Academic Press, 1994.</w:t>
      </w:r>
      <w:r/>
    </w:p>
    <w:p>
      <w:pPr>
        <w:pBdr/>
        <w:spacing/>
        <w:ind/>
        <w:rPr/>
      </w:pPr>
      <w:r>
        <w:t xml:space="preserve">OLIVEIRA, J. Participação social e tecnologia: impactos das plataformas digitais na gestão pública. In: CONFERÊNCIA DE TECNOLOGIA E CIDADANIA, 2020. </w:t>
      </w:r>
      <w:r>
        <w:rPr>
          <w:b/>
        </w:rPr>
        <w:t xml:space="preserve">Anais</w:t>
      </w:r>
      <w:r>
        <w:t xml:space="preserve"> [...]. [S. l.: s. n.], 2020.</w:t>
      </w:r>
      <w:r/>
    </w:p>
    <w:p>
      <w:pPr>
        <w:pBdr/>
        <w:spacing/>
        <w:ind/>
        <w:rPr/>
      </w:pPr>
      <w:r>
        <w:t xml:space="preserve">ORGANIZAÇÃO DAS NAÇÕES UNIDAS (ONU). </w:t>
      </w:r>
      <w:r>
        <w:rPr>
          <w:b/>
        </w:rPr>
        <w:t xml:space="preserve">Transformando Nosso Mundo</w:t>
      </w:r>
      <w:r>
        <w:t xml:space="preserve">: a Agenda 2030 para o Desenvolvimento Sustentável. Nova York: ONU, 2015. Disponível em: https://brasil.un.org/pt-br/sdgs. Acesso em: 25 ago. 2026.</w:t>
      </w:r>
      <w:r/>
    </w:p>
    <w:p>
      <w:pPr>
        <w:pBdr/>
        <w:spacing/>
        <w:ind/>
        <w:rPr/>
      </w:pPr>
      <w:r>
        <w:t xml:space="preserve">ORGANIZAÇÃO DAS NAÇÕES UNIDAS (ONU). </w:t>
      </w:r>
      <w:r>
        <w:rPr>
          <w:b/>
        </w:rPr>
        <w:t xml:space="preserve">Nações Unidas sobre Cidades Resilientes e Desenvolvimento Sustentáve</w:t>
      </w:r>
      <w:r>
        <w:t xml:space="preserve">l. Nova York: ONU, 2020.</w:t>
      </w:r>
      <w:r/>
    </w:p>
    <w:p>
      <w:pPr>
        <w:pBdr/>
        <w:spacing/>
        <w:ind/>
        <w:rPr/>
      </w:pPr>
      <w:r>
        <w:t xml:space="preserve">OSTERWALDER, A.; PIGNEUR, Y. </w:t>
      </w:r>
      <w:r>
        <w:rPr>
          <w:b/>
        </w:rPr>
        <w:t xml:space="preserve">Business Model Generation</w:t>
      </w:r>
      <w:r>
        <w:t xml:space="preserve">: inovação em modelos de negócios. Rio de Janeiro: Alta Books, 2011.</w:t>
      </w:r>
      <w:r/>
    </w:p>
    <w:p>
      <w:pPr>
        <w:pBdr/>
        <w:spacing w:line="240" w:lineRule="auto"/>
        <w:ind/>
        <w:jc w:val="left"/>
        <w:rPr/>
      </w:pPr>
      <w:r>
        <w:t xml:space="preserve">PEREIRA, J. C. (Org.). </w:t>
      </w:r>
      <w:r>
        <w:rPr>
          <w:b/>
          <w:bCs/>
        </w:rPr>
        <w:t xml:space="preserve">Diretrizes para Elaboração de Trabalhos Científicos</w:t>
      </w:r>
      <w:r>
        <w:t xml:space="preserve">. 9. ed. Santa Rita do Sapucaí: FAI – Centro de Ensino Superior em Gestão, Tecnologia e Educação, 2025. </w:t>
      </w:r>
      <w:r>
        <w:rPr>
          <w:i/>
          <w:iCs/>
        </w:rPr>
        <w:t xml:space="preserve">E-book.</w:t>
      </w:r>
      <w:r>
        <w:t xml:space="preserve"> Disponível em: www.fai-mg.br/biblioteca.   </w:t>
      </w:r>
      <w:r/>
    </w:p>
    <w:p>
      <w:pPr>
        <w:pBdr/>
        <w:spacing/>
        <w:ind/>
        <w:rPr/>
      </w:pPr>
      <w:r>
        <w:t xml:space="preserve">PIRES, A. Aplicativos de participação cidadã e sua influência na gestão pública. </w:t>
      </w:r>
      <w:r>
        <w:rPr>
          <w:b/>
        </w:rPr>
        <w:t xml:space="preserve">Revista de Tecnologia Urbana</w:t>
      </w:r>
      <w:r>
        <w:t xml:space="preserve">, [S. l.], 2019.</w:t>
      </w:r>
      <w:r/>
    </w:p>
    <w:p>
      <w:pPr>
        <w:pBdr/>
        <w:spacing/>
        <w:ind/>
        <w:rPr/>
      </w:pPr>
      <w:r>
        <w:t xml:space="preserve">PRESSMAN, R. S.; MAXIM, B. R. </w:t>
      </w:r>
      <w:r>
        <w:rPr>
          <w:b/>
        </w:rPr>
        <w:t xml:space="preserve">Engenharia de Software</w:t>
      </w:r>
      <w:r>
        <w:t xml:space="preserve">: uma abordagem profissional. 9. ed. Porto Alegre: AMGH, 2021.</w:t>
      </w:r>
      <w:r/>
    </w:p>
    <w:p>
      <w:pPr>
        <w:pBdr/>
        <w:spacing/>
        <w:ind/>
        <w:rPr/>
      </w:pPr>
      <w:r>
        <w:t xml:space="preserve">REZENDE, D. A. </w:t>
      </w:r>
      <w:r>
        <w:rPr>
          <w:b/>
        </w:rPr>
        <w:t xml:space="preserve">Planejamento de Estratégias e Informações de Cidades Digitais</w:t>
      </w:r>
      <w:r>
        <w:t xml:space="preserve">: orientações para prefeituras e municípios. São Paulo: Atlas, 2012.</w:t>
      </w:r>
      <w:r/>
    </w:p>
    <w:p>
      <w:pPr>
        <w:pBdr/>
        <w:spacing/>
        <w:ind/>
        <w:rPr/>
      </w:pPr>
      <w:r>
        <w:t xml:space="preserve">SANTOS, C. </w:t>
      </w:r>
      <w:r>
        <w:rPr>
          <w:b/>
        </w:rPr>
        <w:t xml:space="preserve">Sistemas de ouvidoria digital no Brasil</w:t>
      </w:r>
      <w:r>
        <w:t xml:space="preserve">: avanços e desafios. Revista de Administração Pública, [S. l.], 2020.</w:t>
      </w:r>
      <w:r/>
    </w:p>
    <w:p>
      <w:pPr>
        <w:pBdr/>
        <w:spacing/>
        <w:ind/>
        <w:rPr/>
      </w:pPr>
      <w:r>
        <w:t xml:space="preserve">SCHWABER, K.; SUTHERLAND, J. </w:t>
      </w:r>
      <w:r>
        <w:rPr>
          <w:b/>
        </w:rPr>
        <w:t xml:space="preserve">O Guia do Scrum</w:t>
      </w:r>
      <w:r>
        <w:t xml:space="preserve">: as regras do jogo. [S. l.: s. n.], 2020. Disponível em: https://scrumguides.org. Acesso em: 15 abr. 2026.</w:t>
      </w:r>
      <w:r/>
    </w:p>
    <w:p>
      <w:pPr>
        <w:pBdr/>
        <w:spacing/>
        <w:ind/>
        <w:rPr/>
      </w:pPr>
      <w:r>
        <w:t xml:space="preserve">SERVIÇO BRASILEIRO DE APOIO ÀS MICRO E PEQUENAS EMPRESAS (SEBRAE). </w:t>
      </w:r>
      <w:r>
        <w:rPr>
          <w:b/>
        </w:rPr>
        <w:t xml:space="preserve">Sebrae Canvas</w:t>
      </w:r>
      <w:r>
        <w:t xml:space="preserve">: ferramenta para elaboração do modelo de negócio. Disponível em: https://sebraecanvas.com/. Acesso em: 25 ago. 2026.</w:t>
      </w:r>
      <w:r/>
    </w:p>
    <w:p>
      <w:pPr>
        <w:pBdr/>
        <w:spacing/>
        <w:ind/>
        <w:rPr/>
      </w:pPr>
      <w:r>
        <w:t xml:space="preserve">SILVA, F. Cidades inteligentes e tecnologia: uma nova abordagem para gestão pública. </w:t>
      </w:r>
      <w:r>
        <w:rPr>
          <w:b/>
        </w:rPr>
        <w:t xml:space="preserve">Revista Brasileira de Administração Pública</w:t>
      </w:r>
      <w:r>
        <w:t xml:space="preserve">, [S. l.], 2021.</w:t>
      </w:r>
      <w:r/>
    </w:p>
    <w:p>
      <w:pPr>
        <w:pBdr/>
        <w:spacing/>
        <w:ind/>
        <w:rPr/>
      </w:pPr>
      <w:r>
        <w:t xml:space="preserve">SOMMERVILLE, I. </w:t>
      </w:r>
      <w:r>
        <w:rPr>
          <w:b/>
        </w:rPr>
        <w:t xml:space="preserve">Engenharia de Software</w:t>
      </w:r>
      <w:r>
        <w:t xml:space="preserve">. 10. ed. São Paulo: Pearson, 2018.</w:t>
      </w:r>
      <w:r/>
    </w:p>
    <w:p>
      <w:pPr>
        <w:pBdr/>
        <w:spacing/>
        <w:ind/>
        <w:rPr/>
      </w:pPr>
      <w:r>
        <w:t xml:space="preserve">WORLD WIDE WEB CONSORTIUM (W3C). Web Content Accessibility Guidelines (WCAG) 2.1. </w:t>
      </w:r>
      <w:r>
        <w:rPr>
          <w:b/>
        </w:rPr>
        <w:t xml:space="preserve">W3C Recommendation,</w:t>
      </w:r>
      <w:r>
        <w:t xml:space="preserve"> 5 jun. 2018. Disponível em: https://www.w3.org/TR/WCAG21/. Acesso em: 25 ago. 2026.</w:t>
      </w:r>
      <w:r/>
    </w:p>
    <w:p>
      <w:pPr>
        <w:pBdr/>
        <w:spacing/>
        <w:ind/>
        <w:rPr/>
      </w:pPr>
      <w:r/>
      <w:r/>
    </w:p>
    <w:p>
      <w:pPr>
        <w:pStyle w:val="1637"/>
        <w:pBdr/>
        <w:spacing/>
        <w:ind/>
        <w:rPr/>
      </w:pPr>
      <w:r/>
      <w:bookmarkStart w:id="168" w:name="_Toc78"/>
      <w:r>
        <w:br w:type="page" w:clear="all"/>
      </w:r>
      <w:r>
        <w:t xml:space="preserve">OBRAS CONSULTADAS</w:t>
      </w:r>
      <w:r>
        <w:t xml:space="preserve"> </w:t>
      </w:r>
      <w:r/>
      <w:bookmarkEnd w:id="168"/>
      <w:r/>
      <w:r/>
    </w:p>
    <w:p>
      <w:pPr>
        <w:pBdr/>
        <w:spacing/>
        <w:ind/>
        <w:rPr/>
      </w:pPr>
      <w:r>
        <w:t xml:space="preserve">ANDERSON, D. J. </w:t>
      </w:r>
      <w:r>
        <w:rPr>
          <w:b/>
        </w:rPr>
        <w:t xml:space="preserve">Kanban</w:t>
      </w:r>
      <w:r>
        <w:t xml:space="preserve">: mudança evolutiva de sucesso para seu negócio de tecnologia. São Paulo: Blue Hole Press, 2011.</w:t>
      </w:r>
      <w:r/>
    </w:p>
    <w:p>
      <w:pPr>
        <w:pBdr/>
        <w:spacing/>
        <w:ind/>
        <w:rPr/>
      </w:pPr>
      <w:r>
        <w:t xml:space="preserve">CHACON, S.; STRAUB, B. </w:t>
      </w:r>
      <w:r>
        <w:rPr>
          <w:b/>
        </w:rPr>
        <w:t xml:space="preserve">Pro Git</w:t>
      </w:r>
      <w:r>
        <w:t xml:space="preserve">. 2. ed. Nova Iorque: Apress, 2014. Disponível em: https://git-scm.com/book/en/v2. Acesso em: 20 abr. 2026.</w:t>
      </w:r>
      <w:r/>
    </w:p>
    <w:p>
      <w:pPr>
        <w:pBdr/>
        <w:spacing/>
        <w:ind/>
        <w:rPr/>
      </w:pPr>
      <w:r>
        <w:t xml:space="preserve">COCKBURN, A. </w:t>
      </w:r>
      <w:r>
        <w:rPr>
          <w:b/>
        </w:rPr>
        <w:t xml:space="preserve">Hexagonal Architecture</w:t>
      </w:r>
      <w:r>
        <w:t xml:space="preserve">. 2005. Disponível em: https://alistair.cockburn.us/hexagonal-architecture/. Acesso em: 25 ago. 2026.</w:t>
      </w:r>
      <w:r/>
    </w:p>
    <w:p>
      <w:pPr>
        <w:pBdr/>
        <w:spacing/>
        <w:ind/>
        <w:rPr/>
      </w:pPr>
      <w:r>
        <w:t xml:space="preserve">DEITEL, P. J.; DEITEL, H. M. </w:t>
      </w:r>
      <w:r>
        <w:rPr>
          <w:b/>
        </w:rPr>
        <w:t xml:space="preserve">Java</w:t>
      </w:r>
      <w:r>
        <w:t xml:space="preserve">: como programar. 10. ed. São Paulo: Pearson Education do Brasil, 2017.</w:t>
      </w:r>
      <w:r/>
    </w:p>
    <w:p>
      <w:pPr>
        <w:pBdr/>
        <w:spacing/>
        <w:ind/>
        <w:rPr/>
      </w:pPr>
      <w:r>
        <w:t xml:space="preserve">FOWLER, M. </w:t>
      </w:r>
      <w:r>
        <w:rPr>
          <w:b/>
        </w:rPr>
        <w:t xml:space="preserve">Patterns of Enterprise Application Architecture</w:t>
      </w:r>
      <w:r>
        <w:t xml:space="preserve">. Boston: Addison-Wesley, 2002.</w:t>
      </w:r>
      <w:r/>
    </w:p>
    <w:p>
      <w:pPr>
        <w:pBdr/>
        <w:spacing/>
        <w:ind/>
        <w:rPr/>
      </w:pPr>
      <w:r>
        <w:t xml:space="preserve">FREEMAN, E.; ROBSON, E. </w:t>
      </w:r>
      <w:r>
        <w:rPr>
          <w:b/>
        </w:rPr>
        <w:t xml:space="preserve">Use a Cabeça! Programação em HTML5</w:t>
      </w:r>
      <w:r>
        <w:t xml:space="preserve">. Rio de Janeiro: Alta Books, 2014.</w:t>
      </w:r>
      <w:r/>
    </w:p>
    <w:p>
      <w:pPr>
        <w:pBdr/>
        <w:spacing/>
        <w:ind/>
        <w:rPr/>
      </w:pPr>
      <w:r>
        <w:t xml:space="preserve">MARTIN, R. C. </w:t>
      </w:r>
      <w:r>
        <w:rPr>
          <w:b/>
        </w:rPr>
        <w:t xml:space="preserve">Arquitetura Limpa</w:t>
      </w:r>
      <w:r>
        <w:t xml:space="preserve">: o guia do artesão para estrutura e design de software. Rio de Janeiro: Alta Books, 2019.</w:t>
      </w:r>
      <w:r/>
    </w:p>
    <w:p>
      <w:pPr>
        <w:pBdr/>
        <w:spacing/>
        <w:ind/>
        <w:rPr/>
      </w:pPr>
      <w:r>
        <w:t xml:space="preserve">OBJECT MANAGEMENT GROUP. </w:t>
      </w:r>
      <w:r>
        <w:rPr>
          <w:b/>
        </w:rPr>
        <w:t xml:space="preserve">Unified Modeling Language</w:t>
      </w:r>
      <w:r>
        <w:t xml:space="preserve">: OMG UML. 2.5.1. ed. USA: OMG, 2017. E-book. Disponível em: http://www.omg.org/spec/UML/2.5.1/. Acesso em: 20 abr. 2026.</w:t>
      </w:r>
      <w:r/>
    </w:p>
    <w:p>
      <w:pPr>
        <w:pBdr/>
        <w:spacing/>
        <w:ind/>
        <w:rPr/>
      </w:pPr>
      <w:r>
        <w:t xml:space="preserve">SCHWABER, K.; BEEDLE, M. </w:t>
      </w:r>
      <w:r>
        <w:rPr>
          <w:b/>
        </w:rPr>
        <w:t xml:space="preserve">Agile Software Development with Scrum</w:t>
      </w:r>
      <w:r>
        <w:t xml:space="preserve">. 1. ed. Upper Saddle River: Pearson, 2012.</w:t>
      </w:r>
      <w:r/>
    </w:p>
    <w:p>
      <w:pPr>
        <w:pBdr/>
        <w:spacing/>
        <w:ind/>
        <w:rPr/>
      </w:pPr>
      <w:r/>
      <w:r/>
    </w:p>
    <w:p>
      <w:pPr>
        <w:pStyle w:val="1637"/>
        <w:pageBreakBefore w:val="true"/>
        <w:pBdr/>
        <w:spacing/>
        <w:ind/>
        <w:rPr/>
      </w:pPr>
      <w:r/>
      <w:bookmarkStart w:id="169" w:name="_Toc79"/>
      <w:r>
        <w:t xml:space="preserve">APÊNDICE A – GESTÃO DO PROJETO</w:t>
      </w:r>
      <w:r/>
      <w:bookmarkEnd w:id="169"/>
      <w:r/>
      <w:r/>
    </w:p>
    <w:p>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pPr>
        <w:pStyle w:val="1637"/>
        <w:pageBreakBefore w:val="true"/>
        <w:pBdr/>
        <w:spacing/>
        <w:ind/>
        <w:rPr/>
      </w:pPr>
      <w:r/>
      <w:bookmarkStart w:id="170" w:name="_Toc80"/>
      <w:r>
        <w:t xml:space="preserve">APÊNDICE B – RELATÓRIO DE DESEMPENHO</w:t>
      </w:r>
      <w:r/>
      <w:bookmarkEnd w:id="170"/>
      <w:r/>
      <w:r/>
    </w:p>
    <w:p>
      <w:pPr>
        <w:pBdr/>
        <w:spacing/>
        <w:ind/>
        <w:rPr/>
      </w:pPr>
      <w:r>
        <w:t xml:space="preserve">Os relatórios de desempenho estão disponíveis na pasta “ApêndiceB” que acompanha este documento.</w:t>
      </w:r>
      <w:r/>
    </w:p>
    <w:p>
      <w:pPr>
        <w:pStyle w:val="1637"/>
        <w:pageBreakBefore w:val="true"/>
        <w:pBdr/>
        <w:spacing/>
        <w:ind/>
        <w:rPr/>
      </w:pPr>
      <w:r/>
      <w:bookmarkStart w:id="171" w:name="_Toc81"/>
      <w:r>
        <w:t xml:space="preserve">APÊNDICE C – VISÃO FUNCIONAL</w:t>
      </w:r>
      <w:r/>
      <w:bookmarkEnd w:id="171"/>
      <w:r/>
      <w:r/>
    </w:p>
    <w:p>
      <w:pPr>
        <w:pBdr/>
        <w:spacing/>
        <w:ind/>
        <w:rPr/>
      </w:pPr>
      <w:r>
        <w:t xml:space="preserve">O modelo de casos de uso está disponível na pasta “ApêndiceC” que acompanha</w:t>
      </w:r>
      <w:r>
        <w:t xml:space="preserve"> este documento, organizada em três subpastas: “1.Arquivos”, com o arquivo único da ferramenta CASE Ideas Modeler (FalaCidade_DiagramasUML_v4.simp), que contém os diagramas de casos de uso e os demais diagramas da UML elaborados no projeto; “2.FigurasdosDi</w:t>
      </w:r>
      <w:r>
        <w:t xml:space="preserve">agramadeCasosdeUso”, com as imagens do diagrama geral e dos diagramas de cada módulo, correspondentes aos diagramas daquele arquivo; e “3.FluxosdeEvento”, com a descrição dos fluxos de eventos por cenário de caso de uso, um documento por módulo do sistema.</w:t>
      </w:r>
      <w:r/>
    </w:p>
    <w:p>
      <w:pPr>
        <w:pStyle w:val="1637"/>
        <w:pageBreakBefore w:val="true"/>
        <w:pBdr/>
        <w:spacing/>
        <w:ind/>
        <w:rPr/>
      </w:pPr>
      <w:r/>
      <w:bookmarkStart w:id="172" w:name="_Toc82"/>
      <w:r>
        <w:t xml:space="preserve">APÊNDICE D – VISÃO DOS DADOS</w:t>
      </w:r>
      <w:r/>
      <w:bookmarkEnd w:id="172"/>
      <w:r/>
      <w:r/>
    </w:p>
    <w:p>
      <w:pPr>
        <w:pBdr/>
        <w:spacing/>
        <w:ind/>
        <w:rPr/>
      </w:pPr>
      <w:r>
        <w:t xml:space="preserve">O modelo conceitual dos dados (representado por meio do modelo entidade-relacionamento), o modelo lógi</w:t>
      </w:r>
      <w:r>
        <w:t xml:space="preserve">co dos dados, o dicionário de dados do modelo lógico e o modelo físico estão disponíveis na pasta “ApêndiceD” que acompanha este documento. O modelo entidade-relacionamento é fornecido no formato editável do diagrams.net (FalaCidade_DER_v4.drawio) e em ima</w:t>
      </w:r>
      <w:r>
        <w:t xml:space="preserve">gem (FalaCidade_DER_v4.png); o dicionário de dados, em planilha (FalaCidade_DicionarioDados_v4.xlsx) e em PDF (FalaCidade_DicionarioDados_v4.pdf);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pPr>
        <w:pBdr/>
        <w:spacing/>
        <w:ind/>
        <w:rPr/>
      </w:pPr>
      <w:r/>
      <w:r/>
    </w:p>
    <w:p>
      <w:pPr>
        <w:pStyle w:val="1637"/>
        <w:pageBreakBefore w:val="true"/>
        <w:pBdr/>
        <w:spacing/>
        <w:ind/>
        <w:rPr/>
      </w:pPr>
      <w:r/>
      <w:bookmarkStart w:id="173" w:name="_Toc83"/>
      <w:r>
        <w:t xml:space="preserve">APÊNDICE E – MODELO INICIAL DA INTERFACE DE USUÁRIO</w:t>
      </w:r>
      <w:r/>
      <w:bookmarkEnd w:id="173"/>
      <w:r/>
      <w:r/>
    </w:p>
    <w:p>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pPr>
        <w:pBdr/>
        <w:spacing/>
        <w:ind/>
        <w:rPr>
          <w:rFonts w:cs="Arial"/>
        </w:rPr>
      </w:pPr>
      <w:r>
        <w:rPr>
          <w:rFonts w:cs="Arial"/>
        </w:rPr>
      </w:r>
      <w:r>
        <w:rPr>
          <w:rFonts w:cs="Arial"/>
        </w:rPr>
      </w:r>
      <w:r>
        <w:rPr>
          <w:rFonts w:cs="Arial"/>
        </w:rPr>
      </w:r>
    </w:p>
    <w:p>
      <w:pPr>
        <w:pStyle w:val="1637"/>
        <w:pageBreakBefore w:val="true"/>
        <w:pBdr/>
        <w:spacing/>
        <w:ind/>
        <w:rPr/>
      </w:pPr>
      <w:r/>
      <w:bookmarkStart w:id="174" w:name="_Toc84"/>
      <w:r>
        <w:t xml:space="preserve">APÊNDICE F – VISÕES ESTRUTURAL E COMPORTAMENTAL</w:t>
      </w:r>
      <w:r/>
      <w:bookmarkEnd w:id="174"/>
      <w:r/>
      <w:r/>
    </w:p>
    <w:p>
      <w:pPr>
        <w:pBdr/>
        <w:spacing/>
        <w:ind/>
        <w:rPr/>
      </w:pPr>
      <w:r>
        <w:t xml:space="preserve">As imagens dos diagramas elaborados por meio da UML estão disponíveis na pasta “Apênd</w:t>
      </w:r>
      <w:r>
        <w:t xml:space="preserve">iceF” que acompanha este documento, organizadas em uma subpasta por tipo de diagrama: “DiagramaDePacotes”, com os diagramas de pacotes do back-end e do front-end; “DiagramaDeClasses”, com o diagrama de classes, no qual constam os atributos, as operações e </w:t>
      </w:r>
      <w:r>
        <w:t xml:space="preserve">os relacionamentos de cada classe;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pPr>
        <w:pBdr/>
        <w:spacing/>
        <w:ind/>
        <w:rPr/>
      </w:pPr>
      <w:r/>
      <w:r/>
    </w:p>
    <w:p>
      <w:pPr>
        <w:pBdr/>
        <w:spacing/>
        <w:ind/>
        <w:rPr>
          <w:rFonts w:cs="Arial"/>
        </w:rPr>
      </w:pPr>
      <w:r>
        <w:rPr>
          <w:rFonts w:cs="Arial"/>
        </w:rPr>
      </w:r>
      <w:r>
        <w:rPr>
          <w:rFonts w:cs="Arial"/>
        </w:rPr>
      </w:r>
      <w:r>
        <w:rPr>
          <w:rFonts w:cs="Arial"/>
        </w:rPr>
      </w:r>
    </w:p>
    <w:p>
      <w:pPr>
        <w:pStyle w:val="1637"/>
        <w:pageBreakBefore w:val="true"/>
        <w:pBdr/>
        <w:spacing/>
        <w:ind/>
        <w:rPr/>
      </w:pPr>
      <w:r/>
      <w:bookmarkStart w:id="175" w:name="_Toc85"/>
      <w:r>
        <w:t xml:space="preserve">APÊNDICE G – ENTREVISTAS COM USUÁRIOS</w:t>
      </w:r>
      <w:r/>
      <w:bookmarkEnd w:id="175"/>
      <w:r/>
      <w:r/>
    </w:p>
    <w:p>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p>
      <w:pPr>
        <w:pStyle w:val="1637"/>
        <w:pageBreakBefore w:val="true"/>
        <w:pBdr/>
        <w:spacing/>
        <w:ind/>
        <w:rPr/>
      </w:pPr>
      <w:r/>
      <w:bookmarkStart w:id="176" w:name="_Toc86"/>
      <w:r>
        <w:t xml:space="preserve">APÊNDICE H – MODELO DE NEGÓCIO</w:t>
      </w:r>
      <w:r/>
      <w:bookmarkEnd w:id="176"/>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7"/>
        <w:pageBreakBefore w:val="true"/>
        <w:pBdr/>
        <w:spacing/>
        <w:ind/>
        <w:rPr/>
      </w:pPr>
      <w:r/>
      <w:bookmarkStart w:id="177" w:name="_Toc87"/>
      <w:r>
        <w:t xml:space="preserve">APÊNDICE I – PROJETO DO SISTEMA DISTRIBUÍDO</w:t>
      </w:r>
      <w:r/>
      <w:bookmarkEnd w:id="177"/>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7"/>
        <w:pageBreakBefore w:val="true"/>
        <w:pBdr/>
        <w:spacing/>
        <w:ind/>
        <w:rPr/>
      </w:pPr>
      <w:r/>
      <w:bookmarkStart w:id="178" w:name="_Toc88"/>
      <w:r>
        <w:t xml:space="preserve">APÊNDICE J – CASOS DE TESTES</w:t>
      </w:r>
      <w:r/>
      <w:bookmarkEnd w:id="178"/>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7"/>
        <w:pageBreakBefore w:val="true"/>
        <w:pBdr/>
        <w:spacing/>
        <w:ind/>
        <w:rPr/>
      </w:pPr>
      <w:r/>
      <w:bookmarkStart w:id="179" w:name="_Toc89"/>
      <w:r>
        <w:t xml:space="preserve">APÊNDICE K – RECURSOS DE APOIO À IMPLANTAÇÃO</w:t>
      </w:r>
      <w:r/>
      <w:bookmarkEnd w:id="179"/>
      <w:r/>
      <w:r/>
    </w:p>
    <w:p>
      <w:pPr>
        <w:pBdr/>
        <w:spacing/>
        <w:ind/>
        <w:rPr/>
      </w:pPr>
      <w:r>
        <w:t xml:space="preserve">Os documentos de apoio ao usuário final estão disponíveis na pasta “ApêndiceK” que acompanha este documento.</w:t>
      </w:r>
      <w:r/>
    </w:p>
    <w:p>
      <w:pPr>
        <w:pStyle w:val="1637"/>
        <w:pageBreakBefore w:val="true"/>
        <w:pBdr/>
        <w:spacing/>
        <w:ind/>
        <w:rPr/>
      </w:pPr>
      <w:r/>
      <w:bookmarkStart w:id="180" w:name="_Toc90"/>
      <w:r>
        <w:t xml:space="preserve">APÊNDICE L – ATIVIDADES DE EXTENSÃO À COMUNIDADE</w:t>
      </w:r>
      <w:r/>
      <w:bookmarkEnd w:id="180"/>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p>
      <w:pPr>
        <w:pStyle w:val="1637"/>
        <w:pageBreakBefore w:val="true"/>
        <w:pBdr/>
        <w:spacing/>
        <w:ind/>
        <w:rPr/>
      </w:pPr>
      <w:r/>
      <w:bookmarkStart w:id="181" w:name="_Toc91"/>
      <w:r>
        <w:t xml:space="preserve">APÊNDICE M – CÁLCULO DA REGIÃO DE BUSCA DO AGRUPAMENTO DE OCORRÊNCIAS</w:t>
      </w:r>
      <w:r/>
      <w:bookmarkEnd w:id="181"/>
      <w:r/>
      <w:r/>
    </w:p>
    <w:p>
      <w:pPr>
        <w:pBdr/>
        <w:spacing/>
        <w:ind/>
        <w:rPr/>
      </w:pPr>
      <w:r>
        <w:t xml:space="preserve">Este apêndice detalha o cálculo realizado pelo método findNearby, da classe OccurrencePostgresDao, e pelo método as</w:t>
      </w:r>
      <w:r>
        <w:t xml:space="preserve">signGroup, da classe OccurrenceServiceImpl, para identificar a ocorrência ativa da mesma categoria situada a até 70 metros, em linha reta, do ponto informado no registro de uma nova ocorrência (RF16 e RN06), conforme a análise de complexidade da Seção 7.3.</w:t>
      </w:r>
      <w:r/>
    </w:p>
    <w:p>
      <w:pPr>
        <w:pBdr/>
        <w:spacing/>
        <w:ind/>
        <w:rPr/>
      </w:pPr>
      <w:r>
        <w:t xml:space="preserve">Passo 1 — conversão do raio em graus de latitude. A circunferência da Terra, medida ao longo de um meridiano, tem aproximadamente 40.000 km; dividida pel</w:t>
      </w:r>
      <w:r>
        <w:t xml:space="preserve">os 360 graus, resulta em cerca de 111.111 metros por grau de latitude, valor praticamente constante em qualquer ponto do globo. A variação de latitude correspondente ao raio r é, portanto, Δlat = r ÷ 111.111. Para r = 70 m: Δlat = 70 ÷ 111.111 ≈ 0,000630°.</w:t>
      </w:r>
      <w:r/>
    </w:p>
    <w:p>
      <w:pPr>
        <w:pBdr/>
        <w:spacing/>
        <w:ind/>
        <w:rPr/>
      </w:pPr>
      <w:r>
        <w:t xml:space="preserve">Passo 2 — conversão do raio em graus de longitude. Os meridianos convergem para os polos, e a distância correspondente a um grau de longitude diminui com a latitude φ do ponto, na proporção do cosseno: um grau de longitude mede 111.111 × </w:t>
      </w:r>
      <w:r>
        <w:t xml:space="preserve">cos φ metros. A variação de longitude é, portanto, Δlon = r ÷ (111.111 × cos φ). No centro de Santa Rita do Sapucaí (φ = −22,2522°, λ = −45,7034°), cos φ ≈ 0,92553, de modo que um grau de longitude mede cerca de 102.836 m e Δlon = 70 ÷ 102.836 ≈ 0,000681°.</w:t>
      </w:r>
      <w:r/>
    </w:p>
    <w:p>
      <w:pPr>
        <w:pBdr/>
        <w:spacing/>
        <w:ind/>
        <w:rPr/>
      </w:pPr>
      <w:r>
        <w:t xml:space="preserve">Passo 3 — delimitação do quadrado de busca. Os limites da consulta são o ponto informado menos e mais as variações calculadas: latitude entre −22,252830° e −22,251570°, e longitude entre −45,704081° e −45,702719°. A consulta ao banco de d</w:t>
      </w:r>
      <w:r>
        <w:t xml:space="preserve">ados seleciona as ocorrências ativas da mesma categoria cujas coordenadas estejam nesses intervalos (cláusula BETWEEN sobre as colunas latitude e longitude), o que permite ao SGBD percorrer apenas o trecho correspondente do índice, em vez de toda a tabela.</w:t>
      </w:r>
      <w:r/>
    </w:p>
    <w:p>
      <w:pPr>
        <w:pBdr/>
        <w:spacing/>
        <w:ind/>
        <w:rPr/>
      </w:pPr>
      <w:r>
        <w:t xml:space="preserve">Passo 4 — refinamento pela distância exata. O quadrado contém pontos que estão fora do círculo </w:t>
      </w:r>
      <w:r>
        <w:t xml:space="preserve">de 70 m: nos seus cantos, a distância chega a 70 × √2 ≈ 99 m. Por isso, para cada ocorrência retornada, o componente de serviço calcula a distância ortodrômica pela fórmula de haversine, com o raio médio da Terra R = 6.371.000 m: a = sen²(Δφ ÷ 2) + cos φ1 </w:t>
      </w:r>
      <w:r>
        <w:t xml:space="preserve">× cos φ2 × sen²(Δλ ÷ 2) e d = 2 × R × arcsen(√a), em que Δφ e Δλ são as diferenças de latitude e de longitude, em radianos. Permanecem apenas as ocorrências com d ≤ 70 m e, entre elas, a mais próxima define o grupo ao qual a nova ocorrência será vinculada.</w:t>
      </w:r>
      <w:r/>
    </w:p>
    <w:p>
      <w:pPr>
        <w:pBdr/>
        <w:spacing/>
        <w:ind/>
        <w:rPr/>
      </w:pPr>
      <w:r>
        <w:t xml:space="preserve">Exemplo 1 — ocorrência agrupada. Uma ocorrência existente em (−22,2518°, −45,7</w:t>
      </w:r>
      <w:r>
        <w:t xml:space="preserve">030°) está 44,4 m ao norte (0,0004° × 111.111) e 41,1 m a leste (0,0004° × 102.836) do ponto informado. As coordenadas estão dentro do quadrado do Passo 3, e a fórmula de haversine resulta em d ≈ 60,6 m, inferior a 70 m: a nova ocorrência é agrupada a ela.</w:t>
      </w:r>
      <w:r/>
    </w:p>
    <w:p>
      <w:pPr>
        <w:pBdr/>
        <w:spacing/>
        <w:ind/>
        <w:rPr/>
      </w:pPr>
      <w:r>
        <w:t xml:space="preserve">Exemplo 2 — ocorrência no canto do quadrado. Uma ocorrência em </w:t>
      </w:r>
      <w:r>
        <w:t xml:space="preserve">(−22,25163°, −45,70280°) está 63,3 m ao norte e 61,7 m a leste. Ela é retornada pela consulta, pois está dentro do quadrado, mas a distância exata é d ≈ 88,5 m, superior a 70 m: o refinamento do Passo 4 a descarta, e a nova ocorrência não é agrupada a ela.</w:t>
      </w:r>
      <w:r/>
    </w:p>
    <w:p>
      <w:pPr>
        <w:pBdr/>
        <w:spacing/>
        <w:ind/>
        <w:rPr/>
      </w:pPr>
      <w:r>
        <w:t xml:space="preserve">Exemplo 3 — ocorrência fora da região. Uma ocorrência em (−22,2510°, −45,7034°) está 133,3 m ao norte, fora do intervalo de latitude do Passo 3; não é sequer retornada pela consulta ao banco de dados, sem que a sua distância precise ser calculada.</w:t>
      </w:r>
      <w:r/>
    </w:p>
    <w:p>
      <w:pPr>
        <w:pBdr/>
        <w:spacing/>
        <w:ind/>
        <w:rPr/>
      </w:pPr>
      <w:r>
        <w:t xml:space="preserve">O mesmo procedimento vale para qualquer município: som</w:t>
      </w:r>
      <w:r>
        <w:t xml:space="preserve">ente o cosseno da latitude, no Passo 2, varia com a localização. A aproximação de 111.111 metros por grau introduz erro inferior a 1% na delimitação do quadrado, sem efeito sobre o resultado, já que a decisão final é tomada pela distância exata do Passo 4.</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xviii</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pPr>
          <w:pStyle w:val="1826"/>
          <w:pBdr/>
          <w:spacing/>
          <w:ind/>
          <w:jc w:val="right"/>
          <w:rPr/>
        </w:pPr>
        <w:r>
          <w:fldChar w:fldCharType="begin"/>
        </w:r>
        <w:r>
          <w:instrText xml:space="preserve"> PAGE   \* MERGEFORMAT </w:instrText>
        </w:r>
        <w:r>
          <w:fldChar w:fldCharType="separate"/>
        </w:r>
        <w:r>
          <w:t xml:space="preserve">110</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2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88707A"/>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9">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1">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3">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4">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8">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2">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4">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1">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3"/>
  </w:num>
  <w:num w:numId="3">
    <w:abstractNumId w:val="27"/>
  </w:num>
  <w:num w:numId="4">
    <w:abstractNumId w:val="10"/>
  </w:num>
  <w:num w:numId="5">
    <w:abstractNumId w:val="2"/>
  </w:num>
  <w:num w:numId="6">
    <w:abstractNumId w:val="20"/>
  </w:num>
  <w:num w:numId="7">
    <w:abstractNumId w:val="8"/>
  </w:num>
  <w:num w:numId="8">
    <w:abstractNumId w:val="31"/>
  </w:num>
  <w:num w:numId="9">
    <w:abstractNumId w:val="7"/>
  </w:num>
  <w:num w:numId="10">
    <w:abstractNumId w:val="0"/>
  </w:num>
  <w:num w:numId="11">
    <w:abstractNumId w:val="23"/>
  </w:num>
  <w:num w:numId="12">
    <w:abstractNumId w:val="22"/>
  </w:num>
  <w:num w:numId="13">
    <w:abstractNumId w:val="40"/>
  </w:num>
  <w:num w:numId="14">
    <w:abstractNumId w:val="15"/>
  </w:num>
  <w:num w:numId="15">
    <w:abstractNumId w:val="13"/>
  </w:num>
  <w:num w:numId="16">
    <w:abstractNumId w:val="18"/>
  </w:num>
  <w:num w:numId="17">
    <w:abstractNumId w:val="35"/>
  </w:num>
  <w:num w:numId="18">
    <w:abstractNumId w:val="28"/>
  </w:num>
  <w:num w:numId="19">
    <w:abstractNumId w:val="24"/>
  </w:num>
  <w:num w:numId="20">
    <w:abstractNumId w:val="9"/>
  </w:num>
  <w:num w:numId="21">
    <w:abstractNumId w:val="32"/>
  </w:num>
  <w:num w:numId="22">
    <w:abstractNumId w:val="1"/>
  </w:num>
  <w:num w:numId="23">
    <w:abstractNumId w:val="26"/>
  </w:num>
  <w:num w:numId="24">
    <w:abstractNumId w:val="21"/>
  </w:num>
  <w:num w:numId="25">
    <w:abstractNumId w:val="41"/>
  </w:num>
  <w:num w:numId="26">
    <w:abstractNumId w:val="42"/>
  </w:num>
  <w:num w:numId="27">
    <w:abstractNumId w:val="6"/>
  </w:num>
  <w:num w:numId="28">
    <w:abstractNumId w:val="39"/>
  </w:num>
  <w:num w:numId="29">
    <w:abstractNumId w:val="29"/>
  </w:num>
  <w:num w:numId="30">
    <w:abstractNumId w:val="19"/>
  </w:num>
  <w:num w:numId="31">
    <w:abstractNumId w:val="16"/>
  </w:num>
  <w:num w:numId="32">
    <w:abstractNumId w:val="37"/>
  </w:num>
  <w:num w:numId="33">
    <w:abstractNumId w:val="30"/>
  </w:num>
  <w:num w:numId="34">
    <w:abstractNumId w:val="34"/>
  </w:num>
  <w:num w:numId="35">
    <w:abstractNumId w:val="38"/>
  </w:num>
  <w:num w:numId="36">
    <w:abstractNumId w:val="12"/>
  </w:num>
  <w:num w:numId="37">
    <w:abstractNumId w:val="11"/>
  </w:num>
  <w:num w:numId="38">
    <w:abstractNumId w:val="25"/>
  </w:num>
  <w:num w:numId="39">
    <w:abstractNumId w:val="4"/>
  </w:num>
  <w:num w:numId="40">
    <w:abstractNumId w:val="36"/>
  </w:num>
  <w:num w:numId="41">
    <w:abstractNumId w:val="17"/>
  </w:num>
  <w:num w:numId="42">
    <w:abstractNumId w:val="3"/>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6" w:default="1">
    <w:name w:val="Normal"/>
    <w:qFormat/>
    <w:pPr>
      <w:pBdr/>
      <w:spacing w:after="240" w:line="360" w:lineRule="auto"/>
      <w:ind/>
      <w:jc w:val="both"/>
    </w:pPr>
    <w:rPr>
      <w:sz w:val="24"/>
      <w:szCs w:val="22"/>
    </w:rPr>
  </w:style>
  <w:style w:type="paragraph" w:styleId="1637">
    <w:name w:val="Heading 1"/>
    <w:basedOn w:val="1636"/>
    <w:next w:val="1636"/>
    <w:link w:val="1789"/>
    <w:qFormat/>
    <w:pPr>
      <w:keepNext w:val="true"/>
      <w:pBdr/>
      <w:spacing/>
      <w:ind/>
      <w:outlineLvl w:val="0"/>
    </w:pPr>
    <w:rPr>
      <w:b/>
      <w:bCs/>
    </w:rPr>
  </w:style>
  <w:style w:type="paragraph" w:styleId="1638">
    <w:name w:val="Heading 2"/>
    <w:basedOn w:val="1636"/>
    <w:next w:val="1636"/>
    <w:link w:val="1790"/>
    <w:qFormat/>
    <w:pPr>
      <w:keepNext w:val="true"/>
      <w:pBdr/>
      <w:spacing/>
      <w:ind/>
      <w:outlineLvl w:val="1"/>
    </w:pPr>
    <w:rPr>
      <w:rFonts w:cs="Arial"/>
      <w:bCs/>
      <w:iCs/>
      <w:caps/>
    </w:rPr>
  </w:style>
  <w:style w:type="paragraph" w:styleId="1639">
    <w:name w:val="Heading 3"/>
    <w:basedOn w:val="1636"/>
    <w:next w:val="1636"/>
    <w:link w:val="1791"/>
    <w:qFormat/>
    <w:pPr>
      <w:keepNext w:val="true"/>
      <w:pBdr/>
      <w:spacing/>
      <w:ind/>
      <w:outlineLvl w:val="2"/>
    </w:pPr>
    <w:rPr>
      <w:rFonts w:cs="Arial"/>
      <w:b/>
      <w:bCs/>
      <w:szCs w:val="26"/>
    </w:rPr>
  </w:style>
  <w:style w:type="paragraph" w:styleId="1640">
    <w:name w:val="Heading 4"/>
    <w:basedOn w:val="1636"/>
    <w:next w:val="1636"/>
    <w:link w:val="1792"/>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41">
    <w:name w:val="Heading 5"/>
    <w:basedOn w:val="1636"/>
    <w:next w:val="1636"/>
    <w:link w:val="1793"/>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2">
    <w:name w:val="Heading 6"/>
    <w:basedOn w:val="1636"/>
    <w:next w:val="1636"/>
    <w:link w:val="17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3">
    <w:name w:val="Heading 7"/>
    <w:basedOn w:val="1636"/>
    <w:next w:val="1636"/>
    <w:link w:val="17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4">
    <w:name w:val="Heading 8"/>
    <w:basedOn w:val="1636"/>
    <w:next w:val="1636"/>
    <w:link w:val="17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5">
    <w:name w:val="Heading 9"/>
    <w:basedOn w:val="1636"/>
    <w:next w:val="1636"/>
    <w:link w:val="17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6" w:default="1">
    <w:name w:val="Default Paragraph Font"/>
    <w:uiPriority w:val="1"/>
    <w:semiHidden/>
    <w:unhideWhenUsed/>
    <w:pPr>
      <w:pBdr/>
      <w:spacing/>
      <w:ind/>
    </w:pPr>
  </w:style>
  <w:style w:type="table" w:styleId="164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8" w:default="1">
    <w:name w:val="No List"/>
    <w:uiPriority w:val="99"/>
    <w:semiHidden/>
    <w:unhideWhenUsed/>
    <w:pPr>
      <w:pBdr/>
      <w:spacing/>
      <w:ind/>
    </w:pPr>
  </w:style>
  <w:style w:type="character" w:styleId="1649" w:customStyle="1">
    <w:name w:val="Heading 1 Char"/>
    <w:basedOn w:val="1646"/>
    <w:uiPriority w:val="9"/>
    <w:pPr>
      <w:pBdr/>
      <w:spacing/>
      <w:ind/>
    </w:pPr>
    <w:rPr>
      <w:rFonts w:ascii="Arial" w:hAnsi="Arial" w:eastAsia="Arial" w:cs="Arial"/>
      <w:color w:val="365f91" w:themeColor="accent1" w:themeShade="BF"/>
      <w:sz w:val="40"/>
      <w:szCs w:val="40"/>
    </w:rPr>
  </w:style>
  <w:style w:type="character" w:styleId="1650" w:customStyle="1">
    <w:name w:val="Heading 2 Char"/>
    <w:basedOn w:val="1646"/>
    <w:uiPriority w:val="9"/>
    <w:pPr>
      <w:pBdr/>
      <w:spacing/>
      <w:ind/>
    </w:pPr>
    <w:rPr>
      <w:rFonts w:ascii="Arial" w:hAnsi="Arial" w:eastAsia="Arial" w:cs="Arial"/>
      <w:color w:val="365f91" w:themeColor="accent1" w:themeShade="BF"/>
      <w:sz w:val="32"/>
      <w:szCs w:val="32"/>
    </w:rPr>
  </w:style>
  <w:style w:type="character" w:styleId="1651" w:customStyle="1">
    <w:name w:val="Heading 3 Char"/>
    <w:basedOn w:val="1646"/>
    <w:uiPriority w:val="9"/>
    <w:pPr>
      <w:pBdr/>
      <w:spacing/>
      <w:ind/>
    </w:pPr>
    <w:rPr>
      <w:rFonts w:ascii="Arial" w:hAnsi="Arial" w:eastAsia="Arial" w:cs="Arial"/>
      <w:color w:val="365f91" w:themeColor="accent1" w:themeShade="BF"/>
      <w:sz w:val="28"/>
      <w:szCs w:val="28"/>
    </w:rPr>
  </w:style>
  <w:style w:type="character" w:styleId="1652" w:customStyle="1">
    <w:name w:val="Heading 4 Char"/>
    <w:basedOn w:val="1646"/>
    <w:uiPriority w:val="9"/>
    <w:pPr>
      <w:pBdr/>
      <w:spacing/>
      <w:ind/>
    </w:pPr>
    <w:rPr>
      <w:rFonts w:ascii="Arial" w:hAnsi="Arial" w:eastAsia="Arial" w:cs="Arial"/>
      <w:i/>
      <w:iCs/>
      <w:color w:val="365f91" w:themeColor="accent1" w:themeShade="BF"/>
    </w:rPr>
  </w:style>
  <w:style w:type="character" w:styleId="1653" w:customStyle="1">
    <w:name w:val="Heading 5 Char"/>
    <w:basedOn w:val="1646"/>
    <w:uiPriority w:val="9"/>
    <w:pPr>
      <w:pBdr/>
      <w:spacing/>
      <w:ind/>
    </w:pPr>
    <w:rPr>
      <w:rFonts w:ascii="Arial" w:hAnsi="Arial" w:eastAsia="Arial" w:cs="Arial"/>
      <w:color w:val="365f91" w:themeColor="accent1" w:themeShade="BF"/>
    </w:rPr>
  </w:style>
  <w:style w:type="character" w:styleId="1654" w:customStyle="1">
    <w:name w:val="Heading 6 Char"/>
    <w:basedOn w:val="1646"/>
    <w:uiPriority w:val="9"/>
    <w:pPr>
      <w:pBdr/>
      <w:spacing/>
      <w:ind/>
    </w:pPr>
    <w:rPr>
      <w:rFonts w:ascii="Arial" w:hAnsi="Arial" w:eastAsia="Arial" w:cs="Arial"/>
      <w:i/>
      <w:iCs/>
      <w:color w:val="595959" w:themeColor="text1" w:themeTint="A6"/>
    </w:rPr>
  </w:style>
  <w:style w:type="character" w:styleId="1655" w:customStyle="1">
    <w:name w:val="Heading 7 Char"/>
    <w:basedOn w:val="1646"/>
    <w:uiPriority w:val="9"/>
    <w:pPr>
      <w:pBdr/>
      <w:spacing/>
      <w:ind/>
    </w:pPr>
    <w:rPr>
      <w:rFonts w:ascii="Arial" w:hAnsi="Arial" w:eastAsia="Arial" w:cs="Arial"/>
      <w:color w:val="595959" w:themeColor="text1" w:themeTint="A6"/>
    </w:rPr>
  </w:style>
  <w:style w:type="character" w:styleId="1656" w:customStyle="1">
    <w:name w:val="Heading 8 Char"/>
    <w:basedOn w:val="1646"/>
    <w:uiPriority w:val="9"/>
    <w:pPr>
      <w:pBdr/>
      <w:spacing/>
      <w:ind/>
    </w:pPr>
    <w:rPr>
      <w:rFonts w:ascii="Arial" w:hAnsi="Arial" w:eastAsia="Arial" w:cs="Arial"/>
      <w:i/>
      <w:iCs/>
      <w:color w:val="272727" w:themeColor="text1" w:themeTint="D8"/>
    </w:rPr>
  </w:style>
  <w:style w:type="character" w:styleId="1657" w:customStyle="1">
    <w:name w:val="Heading 9 Char"/>
    <w:basedOn w:val="1646"/>
    <w:uiPriority w:val="9"/>
    <w:pPr>
      <w:pBdr/>
      <w:spacing/>
      <w:ind/>
    </w:pPr>
    <w:rPr>
      <w:rFonts w:ascii="Arial" w:hAnsi="Arial" w:eastAsia="Arial" w:cs="Arial"/>
      <w:i/>
      <w:iCs/>
      <w:color w:val="272727" w:themeColor="text1" w:themeTint="D8"/>
    </w:rPr>
  </w:style>
  <w:style w:type="character" w:styleId="1658" w:customStyle="1">
    <w:name w:val="Title Char"/>
    <w:basedOn w:val="1646"/>
    <w:uiPriority w:val="10"/>
    <w:pPr>
      <w:pBdr/>
      <w:spacing/>
      <w:ind/>
    </w:pPr>
    <w:rPr>
      <w:rFonts w:ascii="Arial" w:hAnsi="Arial" w:eastAsia="Arial" w:cs="Arial"/>
      <w:spacing w:val="-10"/>
      <w:sz w:val="56"/>
      <w:szCs w:val="56"/>
    </w:rPr>
  </w:style>
  <w:style w:type="character" w:styleId="1659" w:customStyle="1">
    <w:name w:val="Subtitle Char"/>
    <w:basedOn w:val="1646"/>
    <w:uiPriority w:val="11"/>
    <w:pPr>
      <w:pBdr/>
      <w:spacing/>
      <w:ind/>
    </w:pPr>
    <w:rPr>
      <w:color w:val="595959" w:themeColor="text1" w:themeTint="A6"/>
      <w:spacing w:val="15"/>
      <w:sz w:val="28"/>
      <w:szCs w:val="28"/>
    </w:rPr>
  </w:style>
  <w:style w:type="character" w:styleId="1660" w:customStyle="1">
    <w:name w:val="Quote Char"/>
    <w:basedOn w:val="1646"/>
    <w:uiPriority w:val="29"/>
    <w:pPr>
      <w:pBdr/>
      <w:spacing/>
      <w:ind/>
    </w:pPr>
    <w:rPr>
      <w:i/>
      <w:iCs/>
      <w:color w:val="404040" w:themeColor="text1" w:themeTint="BF"/>
    </w:rPr>
  </w:style>
  <w:style w:type="character" w:styleId="1661" w:customStyle="1">
    <w:name w:val="Intense Quote Char"/>
    <w:basedOn w:val="1646"/>
    <w:uiPriority w:val="30"/>
    <w:pPr>
      <w:pBdr/>
      <w:spacing/>
      <w:ind/>
    </w:pPr>
    <w:rPr>
      <w:i/>
      <w:iCs/>
      <w:color w:val="365f91" w:themeColor="accent1" w:themeShade="BF"/>
    </w:rPr>
  </w:style>
  <w:style w:type="character" w:styleId="1662" w:customStyle="1">
    <w:name w:val="Footnote Text Char"/>
    <w:basedOn w:val="1646"/>
    <w:uiPriority w:val="99"/>
    <w:semiHidden/>
    <w:pPr>
      <w:pBdr/>
      <w:spacing/>
      <w:ind/>
    </w:pPr>
    <w:rPr>
      <w:sz w:val="20"/>
      <w:szCs w:val="20"/>
    </w:rPr>
  </w:style>
  <w:style w:type="character" w:styleId="1663" w:customStyle="1">
    <w:name w:val="Endnote Text Char"/>
    <w:basedOn w:val="1646"/>
    <w:uiPriority w:val="99"/>
    <w:semiHidden/>
    <w:pPr>
      <w:pBdr/>
      <w:spacing/>
      <w:ind/>
    </w:pPr>
    <w:rPr>
      <w:sz w:val="20"/>
      <w:szCs w:val="20"/>
    </w:rPr>
  </w:style>
  <w:style w:type="table" w:styleId="1664" w:customStyle="1">
    <w:name w:val="Table Grid Light"/>
    <w:basedOn w:val="164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1"/>
    <w:basedOn w:val="164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2"/>
    <w:basedOn w:val="1647"/>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3"/>
    <w:basedOn w:val="164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Plain Table 4"/>
    <w:basedOn w:val="164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Plain Table 5"/>
    <w:basedOn w:val="164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1 Light"/>
    <w:basedOn w:val="1647"/>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1"/>
    <w:basedOn w:val="1647"/>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2"/>
    <w:basedOn w:val="1647"/>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3"/>
    <w:basedOn w:val="1647"/>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4"/>
    <w:basedOn w:val="1647"/>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1 Light - Accent 5"/>
    <w:basedOn w:val="1647"/>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1 Light - Accent 6"/>
    <w:basedOn w:val="1647"/>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2"/>
    <w:basedOn w:val="164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1"/>
    <w:basedOn w:val="1647"/>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2"/>
    <w:basedOn w:val="1647"/>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3"/>
    <w:basedOn w:val="1647"/>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4"/>
    <w:basedOn w:val="1647"/>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2 - Accent 5"/>
    <w:basedOn w:val="1647"/>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2 - Accent 6"/>
    <w:basedOn w:val="1647"/>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3"/>
    <w:basedOn w:val="164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1"/>
    <w:basedOn w:val="1647"/>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2"/>
    <w:basedOn w:val="1647"/>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3"/>
    <w:basedOn w:val="1647"/>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4"/>
    <w:basedOn w:val="1647"/>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3 - Accent 5"/>
    <w:basedOn w:val="1647"/>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3 - Accent 6"/>
    <w:basedOn w:val="1647"/>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Grid Table 4"/>
    <w:basedOn w:val="1647"/>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1"/>
    <w:basedOn w:val="1647"/>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2"/>
    <w:basedOn w:val="1647"/>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3"/>
    <w:basedOn w:val="1647"/>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4"/>
    <w:basedOn w:val="1647"/>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Grid Table 4 - Accent 5"/>
    <w:basedOn w:val="1647"/>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4 - Accent 6"/>
    <w:basedOn w:val="1647"/>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5 Dark"/>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Accent 1"/>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 Accent 2"/>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3"/>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Accent 4"/>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Grid Table 5 Dark - Accent 5"/>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5 Dark - Accent 6"/>
    <w:basedOn w:val="164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6 Colorful"/>
    <w:basedOn w:val="1647"/>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1"/>
    <w:basedOn w:val="1647"/>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2"/>
    <w:basedOn w:val="1647"/>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3"/>
    <w:basedOn w:val="1647"/>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4"/>
    <w:basedOn w:val="1647"/>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Grid Table 6 Colorful - Accent 5"/>
    <w:basedOn w:val="1647"/>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6 Colorful - Accent 6"/>
    <w:basedOn w:val="1647"/>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7 Colorful"/>
    <w:basedOn w:val="1647"/>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1"/>
    <w:basedOn w:val="1647"/>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2"/>
    <w:basedOn w:val="1647"/>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3"/>
    <w:basedOn w:val="1647"/>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4"/>
    <w:basedOn w:val="1647"/>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Grid Table 7 Colorful - Accent 5"/>
    <w:basedOn w:val="1647"/>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Grid Table 7 Colorful - Accent 6"/>
    <w:basedOn w:val="1647"/>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List Table 1 Light"/>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1"/>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2"/>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3"/>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4"/>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1 Light - Accent 5"/>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1 Light - Accent 6"/>
    <w:basedOn w:val="1647"/>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2"/>
    <w:basedOn w:val="1647"/>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1"/>
    <w:basedOn w:val="1647"/>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2"/>
    <w:basedOn w:val="1647"/>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3"/>
    <w:basedOn w:val="1647"/>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4"/>
    <w:basedOn w:val="1647"/>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2 - Accent 5"/>
    <w:basedOn w:val="1647"/>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2 - Accent 6"/>
    <w:basedOn w:val="1647"/>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List Table 3"/>
    <w:basedOn w:val="164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1"/>
    <w:basedOn w:val="1647"/>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2"/>
    <w:basedOn w:val="1647"/>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3"/>
    <w:basedOn w:val="1647"/>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4"/>
    <w:basedOn w:val="1647"/>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3 - Accent 5"/>
    <w:basedOn w:val="1647"/>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3 - Accent 6"/>
    <w:basedOn w:val="1647"/>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st Table 4"/>
    <w:basedOn w:val="164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1"/>
    <w:basedOn w:val="1647"/>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2"/>
    <w:basedOn w:val="1647"/>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3"/>
    <w:basedOn w:val="1647"/>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4"/>
    <w:basedOn w:val="1647"/>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st Table 4 - Accent 5"/>
    <w:basedOn w:val="1647"/>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4 - Accent 6"/>
    <w:basedOn w:val="1647"/>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List Table 5 Dark"/>
    <w:basedOn w:val="1647"/>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1"/>
    <w:basedOn w:val="1647"/>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2"/>
    <w:basedOn w:val="1647"/>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3"/>
    <w:basedOn w:val="1647"/>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4"/>
    <w:basedOn w:val="1647"/>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st Table 5 Dark - Accent 5"/>
    <w:basedOn w:val="1647"/>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5 Dark - Accent 6"/>
    <w:basedOn w:val="1647"/>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List Table 6 Colorful"/>
    <w:basedOn w:val="1647"/>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1"/>
    <w:basedOn w:val="1647"/>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2"/>
    <w:basedOn w:val="1647"/>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3"/>
    <w:basedOn w:val="1647"/>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4"/>
    <w:basedOn w:val="1647"/>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List Table 6 Colorful - Accent 5"/>
    <w:basedOn w:val="1647"/>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6 Colorful - Accent 6"/>
    <w:basedOn w:val="1647"/>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List Table 7 Colorful"/>
    <w:basedOn w:val="1647"/>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1"/>
    <w:basedOn w:val="1647"/>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2"/>
    <w:basedOn w:val="1647"/>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3"/>
    <w:basedOn w:val="1647"/>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4"/>
    <w:basedOn w:val="1647"/>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st Table 7 Colorful - Accent 5"/>
    <w:basedOn w:val="1647"/>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st Table 7 Colorful - Accent 6"/>
    <w:basedOn w:val="1647"/>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1"/>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2"/>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3"/>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4"/>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Lined - Accent 5"/>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Lined - Accent 6"/>
    <w:basedOn w:val="164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w:basedOn w:val="1647"/>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1"/>
    <w:basedOn w:val="1647"/>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2"/>
    <w:basedOn w:val="1647"/>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3"/>
    <w:basedOn w:val="1647"/>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4"/>
    <w:basedOn w:val="1647"/>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amp; Lined - Accent 5"/>
    <w:basedOn w:val="1647"/>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amp; Lined - Accent 6"/>
    <w:basedOn w:val="1647"/>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w:basedOn w:val="1647"/>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1"/>
    <w:basedOn w:val="1647"/>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2"/>
    <w:basedOn w:val="1647"/>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3"/>
    <w:basedOn w:val="1647"/>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4"/>
    <w:basedOn w:val="1647"/>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Bordered - Accent 5"/>
    <w:basedOn w:val="1647"/>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customStyle="1">
    <w:name w:val="Bordered - Accent 6"/>
    <w:basedOn w:val="1647"/>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9" w:customStyle="1">
    <w:name w:val="Título 1 Char"/>
    <w:basedOn w:val="1646"/>
    <w:link w:val="1637"/>
    <w:uiPriority w:val="9"/>
    <w:pPr>
      <w:pBdr/>
      <w:spacing/>
      <w:ind/>
    </w:pPr>
    <w:rPr>
      <w:rFonts w:ascii="Arial" w:hAnsi="Arial" w:eastAsia="Arial" w:cs="Arial"/>
      <w:color w:val="365f91" w:themeColor="accent1" w:themeShade="BF"/>
      <w:sz w:val="40"/>
      <w:szCs w:val="40"/>
    </w:rPr>
  </w:style>
  <w:style w:type="character" w:styleId="1790" w:customStyle="1">
    <w:name w:val="Título 2 Char"/>
    <w:basedOn w:val="1646"/>
    <w:link w:val="1638"/>
    <w:pPr>
      <w:pBdr/>
      <w:spacing/>
      <w:ind/>
    </w:pPr>
    <w:rPr>
      <w:rFonts w:ascii="Arial" w:hAnsi="Arial" w:eastAsia="Arial" w:cs="Arial"/>
      <w:color w:val="365f91" w:themeColor="accent1" w:themeShade="BF"/>
      <w:sz w:val="32"/>
      <w:szCs w:val="32"/>
    </w:rPr>
  </w:style>
  <w:style w:type="character" w:styleId="1791" w:customStyle="1">
    <w:name w:val="Título 3 Char"/>
    <w:basedOn w:val="1646"/>
    <w:link w:val="1639"/>
    <w:pPr>
      <w:pBdr/>
      <w:spacing/>
      <w:ind/>
    </w:pPr>
    <w:rPr>
      <w:rFonts w:cs="Arial"/>
      <w:b/>
      <w:bCs/>
      <w:sz w:val="24"/>
      <w:szCs w:val="26"/>
    </w:rPr>
  </w:style>
  <w:style w:type="character" w:styleId="1792" w:customStyle="1">
    <w:name w:val="Título 4 Char"/>
    <w:basedOn w:val="1646"/>
    <w:link w:val="1640"/>
    <w:uiPriority w:val="9"/>
    <w:pPr>
      <w:pBdr/>
      <w:spacing/>
      <w:ind/>
    </w:pPr>
    <w:rPr>
      <w:rFonts w:ascii="Arial" w:hAnsi="Arial" w:eastAsia="Arial" w:cs="Arial"/>
      <w:i/>
      <w:iCs/>
      <w:color w:val="365f91" w:themeColor="accent1" w:themeShade="BF"/>
    </w:rPr>
  </w:style>
  <w:style w:type="character" w:styleId="1793" w:customStyle="1">
    <w:name w:val="Título 5 Char"/>
    <w:basedOn w:val="1646"/>
    <w:link w:val="1641"/>
    <w:uiPriority w:val="9"/>
    <w:pPr>
      <w:pBdr/>
      <w:spacing/>
      <w:ind/>
    </w:pPr>
    <w:rPr>
      <w:rFonts w:ascii="Arial" w:hAnsi="Arial" w:eastAsia="Arial" w:cs="Arial"/>
      <w:color w:val="365f91" w:themeColor="accent1" w:themeShade="BF"/>
    </w:rPr>
  </w:style>
  <w:style w:type="character" w:styleId="1794" w:customStyle="1">
    <w:name w:val="Título 6 Char"/>
    <w:basedOn w:val="1646"/>
    <w:link w:val="1642"/>
    <w:uiPriority w:val="9"/>
    <w:pPr>
      <w:pBdr/>
      <w:spacing/>
      <w:ind/>
    </w:pPr>
    <w:rPr>
      <w:rFonts w:ascii="Arial" w:hAnsi="Arial" w:eastAsia="Arial" w:cs="Arial"/>
      <w:i/>
      <w:iCs/>
      <w:color w:val="595959" w:themeColor="text1" w:themeTint="A6"/>
    </w:rPr>
  </w:style>
  <w:style w:type="character" w:styleId="1795" w:customStyle="1">
    <w:name w:val="Título 7 Char"/>
    <w:basedOn w:val="1646"/>
    <w:link w:val="1643"/>
    <w:uiPriority w:val="9"/>
    <w:pPr>
      <w:pBdr/>
      <w:spacing/>
      <w:ind/>
    </w:pPr>
    <w:rPr>
      <w:rFonts w:ascii="Arial" w:hAnsi="Arial" w:eastAsia="Arial" w:cs="Arial"/>
      <w:color w:val="595959" w:themeColor="text1" w:themeTint="A6"/>
    </w:rPr>
  </w:style>
  <w:style w:type="character" w:styleId="1796" w:customStyle="1">
    <w:name w:val="Título 8 Char"/>
    <w:basedOn w:val="1646"/>
    <w:link w:val="1644"/>
    <w:uiPriority w:val="9"/>
    <w:pPr>
      <w:pBdr/>
      <w:spacing/>
      <w:ind/>
    </w:pPr>
    <w:rPr>
      <w:rFonts w:ascii="Arial" w:hAnsi="Arial" w:eastAsia="Arial" w:cs="Arial"/>
      <w:i/>
      <w:iCs/>
      <w:color w:val="272727" w:themeColor="text1" w:themeTint="D8"/>
    </w:rPr>
  </w:style>
  <w:style w:type="character" w:styleId="1797" w:customStyle="1">
    <w:name w:val="Título 9 Char"/>
    <w:basedOn w:val="1646"/>
    <w:link w:val="1645"/>
    <w:uiPriority w:val="9"/>
    <w:pPr>
      <w:pBdr/>
      <w:spacing/>
      <w:ind/>
    </w:pPr>
    <w:rPr>
      <w:rFonts w:ascii="Arial" w:hAnsi="Arial" w:eastAsia="Arial" w:cs="Arial"/>
      <w:i/>
      <w:iCs/>
      <w:color w:val="272727" w:themeColor="text1" w:themeTint="D8"/>
    </w:rPr>
  </w:style>
  <w:style w:type="paragraph" w:styleId="1798">
    <w:name w:val="Title"/>
    <w:basedOn w:val="1636"/>
    <w:next w:val="1636"/>
    <w:link w:val="1799"/>
    <w:uiPriority w:val="10"/>
    <w:qFormat/>
    <w:pPr>
      <w:pBdr/>
      <w:spacing w:after="80" w:line="240" w:lineRule="auto"/>
      <w:ind/>
      <w:contextualSpacing w:val="true"/>
    </w:pPr>
    <w:rPr>
      <w:rFonts w:ascii="Arial" w:hAnsi="Arial" w:eastAsia="Arial" w:cs="Arial"/>
      <w:spacing w:val="-10"/>
      <w:sz w:val="56"/>
      <w:szCs w:val="56"/>
    </w:rPr>
  </w:style>
  <w:style w:type="character" w:styleId="1799" w:customStyle="1">
    <w:name w:val="Título Char"/>
    <w:basedOn w:val="1646"/>
    <w:link w:val="1798"/>
    <w:uiPriority w:val="10"/>
    <w:pPr>
      <w:pBdr/>
      <w:spacing/>
      <w:ind/>
    </w:pPr>
    <w:rPr>
      <w:rFonts w:ascii="Arial" w:hAnsi="Arial" w:eastAsia="Arial" w:cs="Arial"/>
      <w:spacing w:val="-10"/>
      <w:sz w:val="56"/>
      <w:szCs w:val="56"/>
    </w:rPr>
  </w:style>
  <w:style w:type="paragraph" w:styleId="1800">
    <w:name w:val="Subtitle"/>
    <w:basedOn w:val="1636"/>
    <w:next w:val="1636"/>
    <w:link w:val="1801"/>
    <w:uiPriority w:val="11"/>
    <w:qFormat/>
    <w:pPr>
      <w:numPr>
        <w:ilvl w:val="1"/>
      </w:numPr>
      <w:pBdr/>
      <w:spacing/>
      <w:ind/>
    </w:pPr>
    <w:rPr>
      <w:color w:val="595959" w:themeColor="text1" w:themeTint="A6"/>
      <w:spacing w:val="15"/>
      <w:sz w:val="28"/>
      <w:szCs w:val="28"/>
    </w:rPr>
  </w:style>
  <w:style w:type="character" w:styleId="1801" w:customStyle="1">
    <w:name w:val="Subtítulo Char"/>
    <w:basedOn w:val="1646"/>
    <w:link w:val="1800"/>
    <w:uiPriority w:val="11"/>
    <w:pPr>
      <w:pBdr/>
      <w:spacing/>
      <w:ind/>
    </w:pPr>
    <w:rPr>
      <w:color w:val="595959" w:themeColor="text1" w:themeTint="A6"/>
      <w:spacing w:val="15"/>
      <w:sz w:val="28"/>
      <w:szCs w:val="28"/>
    </w:rPr>
  </w:style>
  <w:style w:type="paragraph" w:styleId="1802">
    <w:name w:val="Quote"/>
    <w:basedOn w:val="1636"/>
    <w:next w:val="1636"/>
    <w:link w:val="1803"/>
    <w:uiPriority w:val="29"/>
    <w:qFormat/>
    <w:pPr>
      <w:pBdr/>
      <w:spacing w:before="160"/>
      <w:ind/>
      <w:jc w:val="center"/>
    </w:pPr>
    <w:rPr>
      <w:i/>
      <w:iCs/>
      <w:color w:val="404040" w:themeColor="text1" w:themeTint="BF"/>
    </w:rPr>
  </w:style>
  <w:style w:type="character" w:styleId="1803" w:customStyle="1">
    <w:name w:val="Citação Char"/>
    <w:basedOn w:val="1646"/>
    <w:link w:val="1802"/>
    <w:uiPriority w:val="29"/>
    <w:pPr>
      <w:pBdr/>
      <w:spacing/>
      <w:ind/>
    </w:pPr>
    <w:rPr>
      <w:i/>
      <w:iCs/>
      <w:color w:val="404040" w:themeColor="text1" w:themeTint="BF"/>
    </w:rPr>
  </w:style>
  <w:style w:type="character" w:styleId="1804">
    <w:name w:val="Intense Emphasis"/>
    <w:basedOn w:val="1646"/>
    <w:uiPriority w:val="21"/>
    <w:qFormat/>
    <w:pPr>
      <w:pBdr/>
      <w:spacing/>
      <w:ind/>
    </w:pPr>
    <w:rPr>
      <w:i/>
      <w:iCs/>
      <w:color w:val="365f91" w:themeColor="accent1" w:themeShade="BF"/>
    </w:rPr>
  </w:style>
  <w:style w:type="paragraph" w:styleId="1805">
    <w:name w:val="Intense Quote"/>
    <w:basedOn w:val="1636"/>
    <w:next w:val="1636"/>
    <w:link w:val="1806"/>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6" w:customStyle="1">
    <w:name w:val="Citação Intensa Char"/>
    <w:basedOn w:val="1646"/>
    <w:link w:val="1805"/>
    <w:uiPriority w:val="30"/>
    <w:pPr>
      <w:pBdr/>
      <w:spacing/>
      <w:ind/>
    </w:pPr>
    <w:rPr>
      <w:i/>
      <w:iCs/>
      <w:color w:val="365f91" w:themeColor="accent1" w:themeShade="BF"/>
    </w:rPr>
  </w:style>
  <w:style w:type="character" w:styleId="1807">
    <w:name w:val="Intense Reference"/>
    <w:basedOn w:val="1646"/>
    <w:uiPriority w:val="32"/>
    <w:qFormat/>
    <w:pPr>
      <w:pBdr/>
      <w:spacing/>
      <w:ind/>
    </w:pPr>
    <w:rPr>
      <w:b/>
      <w:bCs/>
      <w:smallCaps/>
      <w:color w:val="365f91" w:themeColor="accent1" w:themeShade="BF"/>
      <w:spacing w:val="5"/>
    </w:rPr>
  </w:style>
  <w:style w:type="character" w:styleId="1808">
    <w:name w:val="Subtle Emphasis"/>
    <w:basedOn w:val="1646"/>
    <w:uiPriority w:val="19"/>
    <w:qFormat/>
    <w:pPr>
      <w:pBdr/>
      <w:spacing/>
      <w:ind/>
    </w:pPr>
    <w:rPr>
      <w:i/>
      <w:iCs/>
      <w:color w:val="404040" w:themeColor="text1" w:themeTint="BF"/>
    </w:rPr>
  </w:style>
  <w:style w:type="character" w:styleId="1809">
    <w:name w:val="Emphasis"/>
    <w:basedOn w:val="1646"/>
    <w:uiPriority w:val="20"/>
    <w:qFormat/>
    <w:pPr>
      <w:pBdr/>
      <w:spacing/>
      <w:ind/>
    </w:pPr>
    <w:rPr>
      <w:i/>
      <w:iCs/>
    </w:rPr>
  </w:style>
  <w:style w:type="character" w:styleId="1810">
    <w:name w:val="Subtle Reference"/>
    <w:basedOn w:val="1646"/>
    <w:uiPriority w:val="31"/>
    <w:qFormat/>
    <w:pPr>
      <w:pBdr/>
      <w:spacing/>
      <w:ind/>
    </w:pPr>
    <w:rPr>
      <w:smallCaps/>
      <w:color w:val="5a5a5a" w:themeColor="text1" w:themeTint="A5"/>
    </w:rPr>
  </w:style>
  <w:style w:type="character" w:styleId="1811">
    <w:name w:val="Book Title"/>
    <w:basedOn w:val="1646"/>
    <w:uiPriority w:val="33"/>
    <w:qFormat/>
    <w:pPr>
      <w:pBdr/>
      <w:spacing/>
      <w:ind/>
    </w:pPr>
    <w:rPr>
      <w:b/>
      <w:bCs/>
      <w:i/>
      <w:iCs/>
      <w:spacing w:val="5"/>
    </w:rPr>
  </w:style>
  <w:style w:type="character" w:styleId="1812" w:customStyle="1">
    <w:name w:val="Header Char"/>
    <w:basedOn w:val="1646"/>
    <w:uiPriority w:val="99"/>
    <w:pPr>
      <w:pBdr/>
      <w:spacing/>
      <w:ind/>
    </w:pPr>
  </w:style>
  <w:style w:type="character" w:styleId="1813" w:customStyle="1">
    <w:name w:val="Footer Char"/>
    <w:basedOn w:val="1646"/>
    <w:uiPriority w:val="99"/>
    <w:pPr>
      <w:pBdr/>
      <w:spacing/>
      <w:ind/>
    </w:pPr>
  </w:style>
  <w:style w:type="paragraph" w:styleId="1814">
    <w:name w:val="footnote text"/>
    <w:basedOn w:val="1636"/>
    <w:link w:val="1815"/>
    <w:uiPriority w:val="99"/>
    <w:semiHidden/>
    <w:unhideWhenUsed/>
    <w:pPr>
      <w:pBdr/>
      <w:spacing w:after="0" w:line="240" w:lineRule="auto"/>
      <w:ind/>
    </w:pPr>
    <w:rPr>
      <w:sz w:val="20"/>
      <w:szCs w:val="20"/>
    </w:rPr>
  </w:style>
  <w:style w:type="character" w:styleId="1815" w:customStyle="1">
    <w:name w:val="Texto de nota de rodapé Char"/>
    <w:basedOn w:val="1646"/>
    <w:link w:val="1814"/>
    <w:uiPriority w:val="99"/>
    <w:semiHidden/>
    <w:pPr>
      <w:pBdr/>
      <w:spacing/>
      <w:ind/>
    </w:pPr>
    <w:rPr>
      <w:sz w:val="20"/>
      <w:szCs w:val="20"/>
    </w:rPr>
  </w:style>
  <w:style w:type="character" w:styleId="1816">
    <w:name w:val="footnote reference"/>
    <w:basedOn w:val="1646"/>
    <w:uiPriority w:val="99"/>
    <w:semiHidden/>
    <w:unhideWhenUsed/>
    <w:pPr>
      <w:pBdr/>
      <w:spacing/>
      <w:ind/>
    </w:pPr>
    <w:rPr>
      <w:vertAlign w:val="superscript"/>
    </w:rPr>
  </w:style>
  <w:style w:type="paragraph" w:styleId="1817">
    <w:name w:val="endnote text"/>
    <w:basedOn w:val="1636"/>
    <w:link w:val="1818"/>
    <w:uiPriority w:val="99"/>
    <w:semiHidden/>
    <w:unhideWhenUsed/>
    <w:pPr>
      <w:pBdr/>
      <w:spacing w:after="0" w:line="240" w:lineRule="auto"/>
      <w:ind/>
    </w:pPr>
    <w:rPr>
      <w:sz w:val="20"/>
      <w:szCs w:val="20"/>
    </w:rPr>
  </w:style>
  <w:style w:type="character" w:styleId="1818" w:customStyle="1">
    <w:name w:val="Texto de nota de fim Char"/>
    <w:basedOn w:val="1646"/>
    <w:link w:val="1817"/>
    <w:uiPriority w:val="99"/>
    <w:semiHidden/>
    <w:pPr>
      <w:pBdr/>
      <w:spacing/>
      <w:ind/>
    </w:pPr>
    <w:rPr>
      <w:sz w:val="20"/>
      <w:szCs w:val="20"/>
    </w:rPr>
  </w:style>
  <w:style w:type="character" w:styleId="1819">
    <w:name w:val="endnote reference"/>
    <w:basedOn w:val="1646"/>
    <w:uiPriority w:val="99"/>
    <w:semiHidden/>
    <w:unhideWhenUsed/>
    <w:pPr>
      <w:pBdr/>
      <w:spacing/>
      <w:ind/>
    </w:pPr>
    <w:rPr>
      <w:vertAlign w:val="superscript"/>
    </w:rPr>
  </w:style>
  <w:style w:type="character" w:styleId="1820">
    <w:name w:val="Placeholder Text"/>
    <w:basedOn w:val="1646"/>
    <w:uiPriority w:val="99"/>
    <w:semiHidden/>
    <w:pPr>
      <w:pBdr/>
      <w:spacing/>
      <w:ind/>
    </w:pPr>
    <w:rPr>
      <w:color w:val="666666"/>
    </w:rPr>
  </w:style>
  <w:style w:type="paragraph" w:styleId="1821">
    <w:name w:val="TOC Heading"/>
    <w:uiPriority w:val="39"/>
    <w:unhideWhenUsed/>
    <w:pPr>
      <w:pBdr/>
      <w:spacing/>
      <w:ind/>
    </w:pPr>
  </w:style>
  <w:style w:type="paragraph" w:styleId="1822">
    <w:name w:val="HTML Preformatted"/>
    <w:basedOn w:val="1636"/>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3" w:customStyle="1">
    <w:name w:val="Default"/>
    <w:pPr>
      <w:pBdr/>
      <w:spacing/>
      <w:ind/>
    </w:pPr>
    <w:rPr>
      <w:rFonts w:ascii="INKKGO+TimesNewRoman" w:hAnsi="INKKGO+TimesNewRoman" w:cs="INKKGO+TimesNewRoman"/>
      <w:color w:val="000000"/>
      <w:sz w:val="24"/>
      <w:szCs w:val="24"/>
    </w:rPr>
  </w:style>
  <w:style w:type="paragraph" w:styleId="1824">
    <w:name w:val="Footer"/>
    <w:basedOn w:val="1636"/>
    <w:link w:val="1845"/>
    <w:uiPriority w:val="99"/>
    <w:pPr>
      <w:pBdr/>
      <w:tabs>
        <w:tab w:val="center" w:leader="none" w:pos="4419"/>
        <w:tab w:val="right" w:leader="none" w:pos="8838"/>
      </w:tabs>
      <w:spacing/>
      <w:ind/>
    </w:pPr>
  </w:style>
  <w:style w:type="character" w:styleId="1825">
    <w:name w:val="page number"/>
    <w:basedOn w:val="1646"/>
    <w:semiHidden/>
    <w:pPr>
      <w:pBdr/>
      <w:spacing/>
      <w:ind/>
    </w:pPr>
  </w:style>
  <w:style w:type="paragraph" w:styleId="1826">
    <w:name w:val="Header"/>
    <w:basedOn w:val="1636"/>
    <w:link w:val="1842"/>
    <w:uiPriority w:val="99"/>
    <w:pPr>
      <w:pBdr/>
      <w:tabs>
        <w:tab w:val="center" w:leader="none" w:pos="4419"/>
        <w:tab w:val="right" w:leader="none" w:pos="8838"/>
      </w:tabs>
      <w:spacing/>
      <w:ind/>
    </w:pPr>
  </w:style>
  <w:style w:type="paragraph" w:styleId="1827">
    <w:name w:val="toc 1"/>
    <w:basedOn w:val="1636"/>
    <w:next w:val="1636"/>
    <w:uiPriority w:val="39"/>
    <w:pPr>
      <w:pBdr/>
      <w:spacing/>
      <w:ind/>
    </w:pPr>
    <w:rPr>
      <w:b/>
    </w:rPr>
  </w:style>
  <w:style w:type="paragraph" w:styleId="1828">
    <w:name w:val="toc 2"/>
    <w:basedOn w:val="1636"/>
    <w:next w:val="1636"/>
    <w:uiPriority w:val="39"/>
    <w:pPr>
      <w:pBdr/>
      <w:spacing/>
      <w:ind w:left="240"/>
    </w:pPr>
  </w:style>
  <w:style w:type="paragraph" w:styleId="1829">
    <w:name w:val="toc 3"/>
    <w:basedOn w:val="1636"/>
    <w:next w:val="1636"/>
    <w:uiPriority w:val="39"/>
    <w:pPr>
      <w:pBdr/>
      <w:spacing/>
      <w:ind w:left="480"/>
    </w:pPr>
    <w:rPr>
      <w:b/>
    </w:rPr>
  </w:style>
  <w:style w:type="character" w:styleId="1830">
    <w:name w:val="Hyperlink"/>
    <w:basedOn w:val="1646"/>
    <w:uiPriority w:val="99"/>
    <w:pPr>
      <w:pBdr/>
      <w:spacing/>
      <w:ind/>
    </w:pPr>
    <w:rPr>
      <w:color w:val="0000ff"/>
      <w:u w:val="single"/>
    </w:rPr>
  </w:style>
  <w:style w:type="character" w:styleId="1831">
    <w:name w:val="FollowedHyperlink"/>
    <w:basedOn w:val="1646"/>
    <w:semiHidden/>
    <w:pPr>
      <w:pBdr/>
      <w:spacing/>
      <w:ind/>
    </w:pPr>
    <w:rPr>
      <w:color w:val="800080"/>
      <w:u w:val="single"/>
    </w:rPr>
  </w:style>
  <w:style w:type="paragraph" w:styleId="1832" w:customStyle="1">
    <w:name w:val="Estilo Fonte 12+Negrito+Centralizado"/>
    <w:basedOn w:val="1636"/>
    <w:pPr>
      <w:pBdr/>
      <w:spacing/>
      <w:ind/>
      <w:jc w:val="center"/>
    </w:pPr>
    <w:rPr>
      <w:b/>
      <w:bCs/>
      <w:szCs w:val="20"/>
    </w:rPr>
  </w:style>
  <w:style w:type="paragraph" w:styleId="1833" w:customStyle="1">
    <w:name w:val="CAPA"/>
    <w:basedOn w:val="1636"/>
    <w:pPr>
      <w:pBdr/>
      <w:spacing w:line="240" w:lineRule="auto"/>
      <w:ind/>
      <w:jc w:val="center"/>
    </w:pPr>
    <w:rPr>
      <w:b/>
      <w:sz w:val="28"/>
      <w:szCs w:val="20"/>
    </w:rPr>
  </w:style>
  <w:style w:type="paragraph" w:styleId="1834">
    <w:name w:val="toc 4"/>
    <w:basedOn w:val="1636"/>
    <w:next w:val="1636"/>
    <w:semiHidden/>
    <w:pPr>
      <w:pBdr/>
      <w:spacing/>
      <w:ind w:left="720"/>
      <w:jc w:val="left"/>
    </w:pPr>
  </w:style>
  <w:style w:type="paragraph" w:styleId="1835">
    <w:name w:val="toc 5"/>
    <w:basedOn w:val="1636"/>
    <w:next w:val="1636"/>
    <w:semiHidden/>
    <w:pPr>
      <w:pBdr/>
      <w:spacing/>
      <w:ind w:left="960"/>
      <w:jc w:val="left"/>
    </w:pPr>
  </w:style>
  <w:style w:type="paragraph" w:styleId="1836">
    <w:name w:val="toc 6"/>
    <w:basedOn w:val="1636"/>
    <w:next w:val="1636"/>
    <w:semiHidden/>
    <w:pPr>
      <w:pBdr/>
      <w:spacing/>
      <w:ind w:left="1200"/>
      <w:jc w:val="left"/>
    </w:pPr>
  </w:style>
  <w:style w:type="paragraph" w:styleId="1837">
    <w:name w:val="toc 7"/>
    <w:basedOn w:val="1636"/>
    <w:next w:val="1636"/>
    <w:semiHidden/>
    <w:pPr>
      <w:pBdr/>
      <w:spacing/>
      <w:ind w:left="1440"/>
      <w:jc w:val="left"/>
    </w:pPr>
  </w:style>
  <w:style w:type="paragraph" w:styleId="1838">
    <w:name w:val="toc 8"/>
    <w:basedOn w:val="1636"/>
    <w:next w:val="1636"/>
    <w:semiHidden/>
    <w:pPr>
      <w:pBdr/>
      <w:spacing/>
      <w:ind w:left="1680"/>
      <w:jc w:val="left"/>
    </w:pPr>
  </w:style>
  <w:style w:type="paragraph" w:styleId="1839">
    <w:name w:val="toc 9"/>
    <w:basedOn w:val="1636"/>
    <w:next w:val="1636"/>
    <w:semiHidden/>
    <w:pPr>
      <w:pBdr/>
      <w:spacing/>
      <w:ind w:left="1920"/>
      <w:jc w:val="left"/>
    </w:pPr>
  </w:style>
  <w:style w:type="paragraph" w:styleId="1840">
    <w:name w:val="No Spacing"/>
    <w:uiPriority w:val="1"/>
    <w:qFormat/>
    <w:pPr>
      <w:pBdr/>
      <w:spacing/>
      <w:ind/>
      <w:jc w:val="both"/>
    </w:pPr>
    <w:rPr>
      <w:sz w:val="24"/>
      <w:szCs w:val="24"/>
    </w:rPr>
  </w:style>
  <w:style w:type="table" w:styleId="1841">
    <w:name w:val="Table Grid"/>
    <w:basedOn w:val="1647"/>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2" w:customStyle="1">
    <w:name w:val="Cabeçalho Char"/>
    <w:basedOn w:val="1646"/>
    <w:link w:val="1826"/>
    <w:uiPriority w:val="99"/>
    <w:pPr>
      <w:pBdr/>
      <w:spacing/>
      <w:ind/>
    </w:pPr>
    <w:rPr>
      <w:sz w:val="24"/>
      <w:szCs w:val="22"/>
    </w:rPr>
  </w:style>
  <w:style w:type="paragraph" w:styleId="1843">
    <w:name w:val="Balloon Text"/>
    <w:basedOn w:val="1636"/>
    <w:link w:val="1844"/>
    <w:uiPriority w:val="99"/>
    <w:semiHidden/>
    <w:unhideWhenUsed/>
    <w:pPr>
      <w:pBdr/>
      <w:spacing/>
      <w:ind/>
    </w:pPr>
    <w:rPr>
      <w:rFonts w:ascii="Tahoma" w:hAnsi="Tahoma" w:cs="Tahoma"/>
      <w:sz w:val="16"/>
      <w:szCs w:val="16"/>
    </w:rPr>
  </w:style>
  <w:style w:type="character" w:styleId="1844" w:customStyle="1">
    <w:name w:val="Texto de balão Char"/>
    <w:basedOn w:val="1646"/>
    <w:link w:val="1843"/>
    <w:uiPriority w:val="99"/>
    <w:semiHidden/>
    <w:pPr>
      <w:pBdr/>
      <w:spacing/>
      <w:ind/>
    </w:pPr>
    <w:rPr>
      <w:rFonts w:ascii="Tahoma" w:hAnsi="Tahoma" w:cs="Tahoma"/>
      <w:sz w:val="16"/>
      <w:szCs w:val="16"/>
    </w:rPr>
  </w:style>
  <w:style w:type="character" w:styleId="1845" w:customStyle="1">
    <w:name w:val="Rodapé Char"/>
    <w:basedOn w:val="1646"/>
    <w:link w:val="1824"/>
    <w:uiPriority w:val="99"/>
    <w:pPr>
      <w:pBdr/>
      <w:spacing/>
      <w:ind/>
    </w:pPr>
    <w:rPr>
      <w:sz w:val="24"/>
      <w:szCs w:val="22"/>
    </w:rPr>
  </w:style>
  <w:style w:type="character" w:styleId="1846">
    <w:name w:val="Strong"/>
    <w:basedOn w:val="1646"/>
    <w:uiPriority w:val="22"/>
    <w:qFormat/>
    <w:pPr>
      <w:pBdr/>
      <w:spacing/>
      <w:ind/>
    </w:pPr>
    <w:rPr>
      <w:rFonts w:ascii="Arial" w:hAnsi="Arial"/>
      <w:bCs/>
      <w:sz w:val="20"/>
    </w:rPr>
  </w:style>
  <w:style w:type="paragraph" w:styleId="1847">
    <w:name w:val="List Paragraph"/>
    <w:basedOn w:val="1636"/>
    <w:uiPriority w:val="34"/>
    <w:qFormat/>
    <w:pPr>
      <w:pBdr/>
      <w:spacing/>
      <w:ind w:left="720"/>
      <w:contextualSpacing w:val="true"/>
    </w:pPr>
  </w:style>
  <w:style w:type="paragraph" w:styleId="1848">
    <w:name w:val="Caption"/>
    <w:basedOn w:val="1636"/>
    <w:next w:val="1636"/>
    <w:uiPriority w:val="35"/>
    <w:unhideWhenUsed/>
    <w:qFormat/>
    <w:pPr>
      <w:pBdr/>
      <w:spacing w:after="200" w:line="240" w:lineRule="auto"/>
      <w:ind/>
    </w:pPr>
    <w:rPr>
      <w:bCs/>
      <w:sz w:val="20"/>
      <w:szCs w:val="18"/>
    </w:rPr>
  </w:style>
  <w:style w:type="paragraph" w:styleId="1849">
    <w:name w:val="table of figures"/>
    <w:basedOn w:val="1636"/>
    <w:next w:val="1636"/>
    <w:uiPriority w:val="99"/>
    <w:unhideWhenUsed/>
    <w:pPr>
      <w:pBdr/>
      <w:spacing w:after="0"/>
      <w:ind/>
    </w:pPr>
  </w:style>
  <w:style w:type="character" w:styleId="1850" w:customStyle="1">
    <w:name w:val="Menção Pendente1"/>
    <w:basedOn w:val="1646"/>
    <w:uiPriority w:val="99"/>
    <w:semiHidden/>
    <w:unhideWhenUsed/>
    <w:pPr>
      <w:pBdr/>
      <w:spacing/>
      <w:ind/>
    </w:pPr>
    <w:rPr>
      <w:color w:val="605e5c"/>
      <w:shd w:val="clear" w:color="auto" w:fill="e1dfdd"/>
    </w:rPr>
  </w:style>
  <w:style w:type="paragraph" w:styleId="1851">
    <w:name w:val="Revision"/>
    <w:hidden/>
    <w:uiPriority w:val="99"/>
    <w:semiHidden/>
    <w:pPr>
      <w:pBdr/>
      <w:spacing/>
      <w:ind/>
    </w:pPr>
    <w:rPr>
      <w:sz w:val="24"/>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FC53C-8ACE-49D1-87F6-23D013D1E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526</cp:revision>
  <dcterms:created xsi:type="dcterms:W3CDTF">2026-06-10T17:27:00Z</dcterms:created>
  <dcterms:modified xsi:type="dcterms:W3CDTF">2026-10-21T13:55:57Z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