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:rsidR="002C4D28" w:rsidRDefault="008762B3" w:rsidP="008762B3">
      <w:pPr>
        <w:pStyle w:val="Normal2"/>
        <w:spacing w:after="180" w:line="288" w:lineRule="auto"/>
        <w:rPr>
          <w:rFonts w:ascii="Arial" w:eastAsia="Times New Roman" w:hAnsi="Arial" w:cs="Arial"/>
          <w:sz w:val="24"/>
          <w:szCs w:val="24"/>
        </w:rPr>
      </w:pPr>
      <w:r/>
      <w:r>
        <w:rPr>
          <w:b/>
        </w:rPr>
        <w:t>APÊNDICE C – DESCRIÇÃO DOS FLUXOS DE EVENTOS POR CENÁRIO DE CASO DE USO</w:t>
      </w:r>
    </w:p>
    <w:p w:rsidR="002C4D28" w:rsidRDefault="002C4D28" w:rsidP="008762B3">
      <w:pPr>
        <w:pStyle w:val="Normal2"/>
        <w:spacing w:after="180" w:line="288" w:lineRule="auto"/>
      </w:pPr>
    </w:p>
    <w:p>
      <w:r>
        <w:rPr>
          <w:b/>
        </w:rPr>
        <w:t>Subsistema (nome do módulo): Autenticação</w:t>
      </w:r>
      <w:r>
        <w:br/>
        <w:t>Projeto “Fala, Cidade!” — Sistema de Informação para Reporte de Ocorrências e Apoio à Gestão de Zeladoria Pública. Versão 1 — Fase 3.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de cidadão concluído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visitante possui um endereço de correio eletrônico válido e ainda não cadastrado no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Conta criada com o perfil CITIZEN e situação ativa; senha armazenada sob resumo criptográfico; mensagem de boas-vindas expedida.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opção “Cadastrar” na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formulário de cadastro com os campos nome completo, endereço de correio eletrônico, município, senha e confirmação de senha.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preenche os campos e marca o aceite dos termos de uso e da política de privacidade.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valida o formato dos campos, a política de complexidade da senha (mínimo de oito caracteres, com letra, número e caractere especial) e a igualdade entre senha e confirmação.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verifica que o endereço de correio eletrônico ainda não está vinculado a outra conta.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calcula o resumo criptográfico BCrypt da senha e persiste a conta com o perfil CITIZEN.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expede a mensagem de boas-vindas em linha de execução assíncrona e apresenta a confirmação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8. O cidadão é conduzido à tela de autenticação.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1 – Fluxo de eventos do cenário “Cadastro de cidadão concluído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Cadastro recusado por endereço de correio eletrônico já existente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Existe conta previamente cadastrada com o mesmo endereço de correio eletrônico.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 conta adicional é criada; os dados informados são preservados no formulário.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preenche o formulário de cadastro com endereço de correio eletrônico já utilizado e confirma o envio.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consulta o repositório de usuários pelo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identifica a violação da restrição de unicidade e recusa a operação.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apresenta a mensagem “Este e-mail já está cadastrado”, sem revelar quaisquer dados da conta existente.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cidadão corrige o endereço informado ou aciona a opção de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2 – Fluxo de eventos do cenário “Cadastro recusado por endereço de correio eletrônico já existente”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cidadão com credenciais válidas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no sistema.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JSON Web Token assinado é emitido, com validade de dez horas, e o cidadão acessa a tela inicial.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informa o endereço de correio eletrônico e a senha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recupera a conta ativa correspondente ao endereço informado.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compara a senha informada com o resumo criptográfico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emite o token assinado pelo algoritmo HS256, contendo o identificador, o nome, o endereço de correio eletrônico e o perfil do usuário.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apresenta a tela inicial com as ocorrências recentes e o mapa do município.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cidadão passa a operar as funcionalidades correspondentes ao seu perfil.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3 – Fluxo de eventos do cenário “Autenticação de cidadão com credenciais válidas”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de funcionário com segundo fator obrigatório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Responsável da Prefeitura;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conta possui o perfil EMPLOYEE ou ADMINISTRATOR, para os quais a autenticação multifator é obrigatória (RNF16).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Token emitido somente após a validação do segundo fator.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funcionário informa as suas credenciais e aciona “Entrar”.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valida as credenciais e identifica o perfil como EMPLOYEE ou ADMINISTRATOR.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interrompe a emissão do token e solicita o segundo fator, expedindo o código de seis dígitos por correio eletrônico ou solicitando o código do aplicativo autenticador.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funcionário informa o código de seis dígitos.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valida o código dentro da janela de tempo corrente e emite o token assinado.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apresenta o painel administrativo.</w:t>
            </w:r>
          </w:p>
        </w:tc>
      </w:tr>
    </w:tbl>
    <w:p>
      <w:r>
        <w:rPr>
          <w:sz w:val="18"/>
        </w:rPr>
        <w:t>QUADRO 4 – Fluxo de eventos do cenário “Autenticação de funcionário com segundo fator obrigatório”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Autenticar usuário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Autenticação recusada por credencial inválida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Nenhum token é emitido; a tentativa é registrada no log da aplicação.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usuário informa endereço de correio eletrônico inexistente ou senha incorreta.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não localiza a conta ou constata a divergência entre a senha informada e o resumo armazenado.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autenticação e apresenta a mensagem genérica “E-mail ou senha inválidos”, sem indicar qual dos dois está incorreto.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usuário repete a tentativa ou aciona 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5 – Fluxo de eventos do cenário “Autenticação recusada por credencial inválida”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de senha concluída com sucesso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Cidadão; Serviço de correio eletrônico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conta ativa e acesso à caixa postal cadastrada.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Senha substituída pelo novo resumo criptográfico; token de redefinição marcado como utilizado.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“Esqueci minha senha” e informa o endereço de correio eletrônico cadastrado.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responde de forma idêntica para endereços existentes e inexistentes, de modo a não revelar a existência do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Existindo a conta, o sistema gera um token aleatório de uso único, com prazo de validade determinado, e o expede por correio eletrônico.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acessa o endereço recebido e informa a nova senha e a sua confirmação.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verifica que o token existe, não expirou e ainda não foi utilizado.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6. O sistema valida a política de complexidade, grava o novo resumo criptográfico e marca o token como utilizado.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7. O sistema apresenta a confirmação e conduz o cidadão à tela de autenticação.</w:t>
            </w:r>
          </w:p>
        </w:tc>
      </w:tr>
    </w:tbl>
    <w:p>
      <w:r>
        <w:rPr>
          <w:sz w:val="18"/>
        </w:rPr>
        <w:t>QUADRO 6 – Fluxo de eventos do cenário “Redefinição de senha concluída com sucesso”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Recuperar senha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Redefinição recusada por token expirado ou já utilizado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possui em mãos um token vencido ou previamente consumido.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 senha permanece inalterada.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acessa o endereço de redefinição e informa a nova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localiza o token e constata que a data de validade expirou ou que o indicador de uso está marcado.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sistema recusa a operação e informa a necessidade de solicitar nova redefinição.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cidadão solicita nova recuperação de senha.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</w:tbl>
    <w:p>
      <w:r>
        <w:rPr>
          <w:sz w:val="18"/>
        </w:rPr>
        <w:t>QUADRO 7 – Fluxo de eventos do cenário “Redefinição recusada por token expirado ou já utilizado”</w:t>
      </w:r>
    </w:p>
    <w:p/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Aceitar termos de uso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Aceite dos termos no ato do cadastro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Ator(es)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Cidadão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O cidadão encontra-se na tela de cadastro.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Indicador de aceite gravado com valor verdadeiro, em conformidade com a LGPD.</w:t>
            </w:r>
          </w:p>
        </w:tc>
      </w:tr>
      <w:tr w:rsidR="002C4D28" w:rsidRPr="00A42FB0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Ator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/>
                <w:sz w:val="20"/>
              </w:rPr>
              <w:t>Sistema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1. O cidadão aciona a ligação para a leitura dos termos de uso e da política de privacidade.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2. O sistema apresenta o texto integral dos termos e da política.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3. O cidadão marca a caixa de aceite e confirma o cadastro.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4. O sistema verifica a marcação do aceite; na sua ausência, recusa o cadastro e informa a obrigatoriedade.</w:t>
            </w:r>
          </w:p>
        </w:tc>
      </w:tr>
      <w:tr w:rsidR="002C4D28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/>
            <w:r>
              <w:rPr>
                <w:b w:val="0"/>
                <w:sz w:val="20"/>
              </w:rPr>
              <w:t>5. O sistema grava o indicador de aceite junto à conta criada.</w:t>
            </w:r>
          </w:p>
        </w:tc>
      </w:tr>
    </w:tbl>
    <w:p>
      <w:r>
        <w:rPr>
          <w:sz w:val="18"/>
        </w:rPr>
        <w:t>QUADRO 8 – Fluxo de eventos do cenário “Aceite dos termos no ato do cadastro”</w:t>
      </w:r>
    </w:p>
    <w:sectPr w:rsidR="002C4D28" w:rsidSect="002C4D28">
      <w:headerReference w:type="default" r:id="rId7"/>
      <w:pgSz w:w="11906" w:h="16838"/>
      <w:pgMar w:top="1701" w:right="1134" w:bottom="1134" w:left="1701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345F5" w:rsidRDefault="001345F5" w:rsidP="00A42FB0">
      <w:pPr>
        <w:spacing w:line="240" w:lineRule="auto"/>
      </w:pPr>
      <w:r>
        <w:separator/>
      </w:r>
    </w:p>
  </w:endnote>
  <w:endnote w:type="continuationSeparator" w:id="0">
    <w:p w:rsidR="001345F5" w:rsidRDefault="001345F5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345F5" w:rsidRDefault="001345F5" w:rsidP="00A42FB0">
      <w:pPr>
        <w:spacing w:line="240" w:lineRule="auto"/>
      </w:pPr>
      <w:r>
        <w:separator/>
      </w:r>
    </w:p>
  </w:footnote>
  <w:footnote w:type="continuationSeparator" w:id="0">
    <w:p w:rsidR="001345F5" w:rsidRDefault="001345F5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1534839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:rsidR="007D4BC7" w:rsidRPr="00587C54" w:rsidRDefault="004F2A4B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587C54">
          <w:rPr>
            <w:rFonts w:ascii="Arial" w:hAnsi="Arial" w:cs="Arial"/>
            <w:sz w:val="20"/>
            <w:szCs w:val="20"/>
          </w:rPr>
          <w:fldChar w:fldCharType="begin"/>
        </w:r>
        <w:r w:rsidRPr="00587C54">
          <w:rPr>
            <w:rFonts w:ascii="Arial" w:hAnsi="Arial" w:cs="Arial"/>
            <w:sz w:val="20"/>
            <w:szCs w:val="20"/>
          </w:rPr>
          <w:instrText xml:space="preserve"> PAGE   \* MERGEFORMAT </w:instrText>
        </w:r>
        <w:r w:rsidRPr="00587C54">
          <w:rPr>
            <w:rFonts w:ascii="Arial" w:hAnsi="Arial" w:cs="Arial"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Pr="00587C54">
          <w:rPr>
            <w:rFonts w:ascii="Arial" w:hAnsi="Arial" w:cs="Arial"/>
            <w:noProof/>
            <w:sz w:val="20"/>
            <w:szCs w:val="20"/>
          </w:rPr>
          <w:fldChar w:fldCharType="end"/>
        </w:r>
        <w:r w:rsidR="00587C54">
          <w:rPr>
            <w:rFonts w:ascii="Arial" w:hAnsi="Arial" w:cs="Arial"/>
            <w:noProof/>
            <w:sz w:val="20"/>
            <w:szCs w:val="20"/>
          </w:rPr>
          <w:t>/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begin"/>
        </w:r>
        <w:r w:rsidR="00587C54">
          <w:rPr>
            <w:rFonts w:ascii="Arial" w:hAnsi="Arial" w:cs="Arial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separate"/>
        </w:r>
        <w:r w:rsidR="00F44E27">
          <w:rPr>
            <w:rFonts w:ascii="Arial" w:hAnsi="Arial" w:cs="Arial"/>
            <w:noProof/>
            <w:sz w:val="20"/>
            <w:szCs w:val="20"/>
          </w:rPr>
          <w:t>1</w:t>
        </w:r>
        <w:r w:rsidR="00587C54">
          <w:rPr>
            <w:rFonts w:ascii="Arial" w:hAnsi="Arial" w:cs="Arial"/>
            <w:noProof/>
            <w:sz w:val="20"/>
            <w:szCs w:val="20"/>
          </w:rPr>
          <w:fldChar w:fldCharType="end"/>
        </w:r>
      </w:p>
    </w:sdtContent>
  </w:sdt>
  <w:p w:rsidR="007D4BC7" w:rsidRDefault="007D4BC7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1345F5"/>
    <w:rsid w:val="002C4D28"/>
    <w:rsid w:val="00451BA1"/>
    <w:rsid w:val="004F2A4B"/>
    <w:rsid w:val="004F58B4"/>
    <w:rsid w:val="00587C54"/>
    <w:rsid w:val="005A0F3A"/>
    <w:rsid w:val="005F2E6A"/>
    <w:rsid w:val="007051ED"/>
    <w:rsid w:val="007D4BC7"/>
    <w:rsid w:val="008762B3"/>
    <w:rsid w:val="00A42FB0"/>
    <w:rsid w:val="00AC4967"/>
    <w:rsid w:val="00BF6EBD"/>
    <w:rsid w:val="00CA3C37"/>
    <w:rsid w:val="00CE4B37"/>
    <w:rsid w:val="00D97532"/>
    <w:rsid w:val="00E763E4"/>
    <w:rsid w:val="00F44E27"/>
    <w:rsid w:val="00F5766E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C83E8A"/>
  <w15:docId w15:val="{F397906E-9901-49ED-9343-EA51C3F56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38</Words>
  <Characters>210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EGS</cp:lastModifiedBy>
  <cp:revision>16</cp:revision>
  <dcterms:created xsi:type="dcterms:W3CDTF">2022-01-30T15:50:00Z</dcterms:created>
  <dcterms:modified xsi:type="dcterms:W3CDTF">2026-08-03T16:24:00Z</dcterms:modified>
</cp:coreProperties>
</file>