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400" w:line="360" w:lineRule="auto"/>
        <w:ind/>
        <w:jc w:val="center"/>
        <w:rPr/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RELATÓRIO DE ATIVIDADE DE EXTENSÃO À COMUNIDADE</w:t>
      </w:r>
      <w:r/>
    </w:p>
    <w:p>
      <w:pPr>
        <w:pBdr/>
        <w:spacing w:after="480" w:line="360" w:lineRule="auto"/>
        <w:ind/>
        <w:jc w:val="center"/>
        <w:rPr/>
      </w:pPr>
      <w:r>
        <w:rPr>
          <w:rFonts w:ascii="Arial" w:hAnsi="Arial" w:eastAsia="Arial" w:cs="Arial"/>
          <w:sz w:val="24"/>
          <w:szCs w:val="24"/>
        </w:rPr>
        <w:t xml:space="preserve">Correção colaborativa da base cartográfica de Santa Rita do Sapucaí (MG) no OpenStreetMap</w:t>
      </w:r>
      <w:r/>
    </w:p>
    <w:p>
      <w:pPr>
        <w:pStyle w:val="706"/>
        <w:pBdr/>
        <w:spacing w:after="160" w:before="320" w:line="360" w:lineRule="auto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1 IDENTIFICAÇÃO</w:t>
      </w:r>
      <w:r/>
    </w:p>
    <w:p>
      <w:pPr>
        <w:pBdr/>
        <w:spacing w:after="160" w:line="360" w:lineRule="auto"/>
        <w:ind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Projeto: FalaCidade — plataforma de registro e acompanhamento de ocorrências urbanas.</w:t>
      </w:r>
      <w:r/>
    </w:p>
    <w:p>
      <w:pPr>
        <w:pBdr/>
        <w:spacing w:after="160" w:line="360" w:lineRule="auto"/>
        <w:ind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Atividade: correção e complementação dos nomes de logradouros do município de Santa Rita do Sapucaí (MG) na base cartográfica colaborativa OpenStreetMap, com base no registro oficial da Prefeitura Municipal.</w:t>
      </w:r>
      <w:r/>
    </w:p>
    <w:p>
      <w:pPr>
        <w:pBdr/>
        <w:spacing w:after="160" w:line="360" w:lineRule="auto"/>
        <w:ind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Responsável pela execução: Rodrigo Romano, conta OpenStreetMap "RPRomano" (uid 24582444).</w:t>
      </w:r>
      <w:r/>
    </w:p>
    <w:p>
      <w:pPr>
        <w:pBdr/>
        <w:spacing w:after="160" w:line="360" w:lineRule="auto"/>
        <w:ind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Data de realização: 22 de setembro de 2026.</w:t>
      </w:r>
      <w:r/>
    </w:p>
    <w:p>
      <w:pPr>
        <w:pBdr/>
        <w:spacing w:after="160" w:line="360" w:lineRule="auto"/>
        <w:ind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Carga horária: </w:t>
      </w:r>
      <w:r>
        <w:rPr>
          <w:rFonts w:ascii="Arial" w:hAnsi="Arial" w:eastAsia="Arial" w:cs="Arial"/>
          <w:sz w:val="24"/>
          <w:szCs w:val="24"/>
          <w:lang w:val="pt-BR"/>
        </w:rPr>
        <w:t xml:space="preserve">1</w:t>
      </w:r>
      <w:r>
        <w:rPr>
          <w:rFonts w:ascii="Arial" w:hAnsi="Arial" w:eastAsia="Arial" w:cs="Arial"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sz w:val="24"/>
          <w:szCs w:val="24"/>
        </w:rPr>
        <w:t xml:space="preserve">horas (preencher).</w:t>
      </w:r>
      <w:r/>
    </w:p>
    <w:p>
      <w:pPr>
        <w:pBdr/>
        <w:spacing w:after="160" w:line="360" w:lineRule="auto"/>
        <w:ind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Área geográfica: latitudes −22,2339 a −22,2219 e longitudes −45,7167 a −45,7033, correspondentes aos bairros ao norte da sede municipal.</w:t>
      </w:r>
      <w:r/>
    </w:p>
    <w:p>
      <w:pPr>
        <w:pStyle w:val="706"/>
        <w:pBdr/>
        <w:spacing w:after="160" w:before="320" w:line="360" w:lineRule="auto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2 JUSTIFICATIVA E VÍNCULO COM O PROJETO</w:t>
      </w:r>
      <w:r/>
    </w:p>
    <w:p>
      <w:pPr>
        <w:pBdr/>
        <w:spacing w:after="160" w:line="360" w:lineRule="auto"/>
        <w:ind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O requisito RF09 do FalaCidade permite que o cid</w:t>
      </w:r>
      <w:r>
        <w:rPr>
          <w:rFonts w:ascii="Arial" w:hAnsi="Arial" w:eastAsia="Arial" w:cs="Arial"/>
          <w:sz w:val="24"/>
          <w:szCs w:val="24"/>
        </w:rPr>
        <w:t xml:space="preserve">adão marque no mapa o local da ocorrência; a aplicação então consulta o serviço de geocodificação reversa Nominatim e preenche automaticamente logradouro, bairro e município do formulário de registro. O Nominatim responde a partir da base do OpenStreetMap.</w:t>
      </w:r>
      <w:r/>
    </w:p>
    <w:p>
      <w:pPr>
        <w:pBdr/>
        <w:spacing w:after="160" w:line="360" w:lineRule="auto"/>
        <w:ind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Durante os testes de campo verificou-se que parte dos logradouros do município estava registrada na base com denominação divergente da oficia</w:t>
      </w:r>
      <w:r>
        <w:rPr>
          <w:rFonts w:ascii="Arial" w:hAnsi="Arial" w:eastAsia="Arial" w:cs="Arial"/>
          <w:sz w:val="24"/>
          <w:szCs w:val="24"/>
        </w:rPr>
        <w:t xml:space="preserve">l, e que outros trechos não possuíam denominação alguma. Como consequência, o endereço preenchido automaticamente reproduzia a divergência, e a ocorrência seria encaminhada ao departamento responsável com um endereço que a equipe de campo não reconheceria.</w:t>
      </w:r>
      <w:r/>
    </w:p>
    <w:p>
      <w:pPr>
        <w:pBdr/>
        <w:spacing w:after="160" w:line="360" w:lineRule="auto"/>
        <w:ind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A correção foi executada diretamente na base de origem. O benef</w:t>
      </w:r>
      <w:r>
        <w:rPr>
          <w:rFonts w:ascii="Arial" w:hAnsi="Arial" w:eastAsia="Arial" w:cs="Arial"/>
          <w:sz w:val="24"/>
          <w:szCs w:val="24"/>
        </w:rPr>
        <w:t xml:space="preserve">ício, portanto, não se limita ao projeto: qualquer aplicação que consulte o OpenStreetMap no território do município passa a receber a denominação oficial — o que caracteriza a atividade como contribuição à comunidade, e não como ajuste interno do sistema.</w:t>
      </w:r>
      <w:r/>
    </w:p>
    <w:p>
      <w:pPr>
        <w:pStyle w:val="706"/>
        <w:pBdr/>
        <w:spacing w:after="160" w:before="320" w:line="360" w:lineRule="auto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3 MÉTODO</w:t>
      </w:r>
      <w:r/>
    </w:p>
    <w:p>
      <w:pPr>
        <w:pBdr/>
        <w:spacing w:after="160" w:line="360" w:lineRule="auto"/>
        <w:ind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As alterações foram feitas pelo editor iD, versão 2.42.2, na interface oficial do OpenStreetMap. A conferência do traçado das vias apoiou-se na imagem</w:t>
      </w:r>
      <w:r>
        <w:rPr>
          <w:rFonts w:ascii="Arial" w:hAnsi="Arial" w:eastAsia="Arial" w:cs="Arial"/>
          <w:sz w:val="24"/>
          <w:szCs w:val="24"/>
        </w:rPr>
        <w:t xml:space="preserve"> aérea Bing Maps Aerial; a denominação dos logradouros teve por fonte o registro da Prefeitura Municipal, declarado na própria base pela etiqueta source:name=Prefeitura Municipal, e o conhecimento local do executor, declarado em source=local knowledge;gps.</w:t>
      </w:r>
      <w:r/>
    </w:p>
    <w:p>
      <w:pPr>
        <w:pBdr/>
        <w:spacing w:after="160" w:line="360" w:lineRule="auto"/>
        <w:ind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Parte das vias recebeu ainda a etiqueta old_name, destinada a preservar a denominação anterior para que a busca pelo nome antigo continue localizando o logradouro.</w:t>
      </w:r>
      <w:r/>
    </w:p>
    <w:p>
      <w:pPr>
        <w:pBdr/>
        <w:spacing w:after="160" w:line="360" w:lineRule="auto"/>
        <w:ind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O trabalho foi registrado em dois conjuntos de alteraçõ</w:t>
      </w:r>
      <w:r>
        <w:rPr>
          <w:rFonts w:ascii="Arial" w:hAnsi="Arial" w:eastAsia="Arial" w:cs="Arial"/>
          <w:sz w:val="24"/>
          <w:szCs w:val="24"/>
        </w:rPr>
        <w:t xml:space="preserve">es ("changesets"), que é a unidade de versionamento do OpenStreetMap: o número 189415583, com vinte e uma alterações, e o número 189416255, com uma alteração complementar de acentuação. Ambos são públicos, permanentes e atribuídos nominalmente ao executor.</w:t>
      </w:r>
      <w:r/>
    </w:p>
    <w:p>
      <w:pPr>
        <w:pStyle w:val="706"/>
        <w:pBdr/>
        <w:spacing w:after="160" w:before="320" w:line="360" w:lineRule="auto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4 RESULTADOS</w:t>
      </w:r>
      <w:r/>
    </w:p>
    <w:p>
      <w:pPr>
        <w:pBdr/>
        <w:spacing w:after="160" w:line="360" w:lineRule="auto"/>
        <w:ind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Foram vinte e duas alterações sobre vinte e um objetos — a via 215164422 foi alterada nos</w:t>
      </w:r>
      <w:r>
        <w:rPr>
          <w:rFonts w:ascii="Arial" w:hAnsi="Arial" w:eastAsia="Arial" w:cs="Arial"/>
          <w:sz w:val="24"/>
          <w:szCs w:val="24"/>
        </w:rPr>
        <w:t xml:space="preserve"> dois conjuntos. Os objetos são dezenove logradouros e dois pontos, um deles identificando o Supermercado BH e o outro sem etiquetas, de apoio ao traçado. O quadro a seguir relaciona os vinte objetos com denominação, com o registro anterior e o resultante.</w:t>
      </w:r>
      <w:r/>
    </w:p>
    <w:tbl>
      <w:tblPr>
        <w:tblW w:w="9026" w:type="dxa"/>
        <w:tblBorders>
          <w:top w:val="single" w:color="b0b8c2" w:sz="4" w:space="0"/>
          <w:left w:val="single" w:color="b0b8c2" w:sz="4" w:space="0"/>
          <w:bottom w:val="single" w:color="b0b8c2" w:sz="4" w:space="0"/>
          <w:right w:val="single" w:color="b0b8c2" w:sz="4" w:space="0"/>
          <w:insideH w:val="single" w:color="d5dce4" w:sz="2" w:space="0"/>
          <w:insideV w:val="single" w:color="d5dce4" w:sz="2" w:space="0"/>
        </w:tblBorders>
        <w:tblLook w:val="04A0" w:firstRow="1" w:lastRow="0" w:firstColumn="1" w:lastColumn="0" w:noHBand="0" w:noVBand="1"/>
      </w:tblPr>
      <w:tblGrid>
        <w:gridCol w:w="1500"/>
        <w:gridCol w:w="3763"/>
        <w:gridCol w:w="3763"/>
      </w:tblGrid>
      <w:tr>
        <w:trPr>
          <w:tblHeader/>
        </w:trPr>
        <w:tc>
          <w:tcPr>
            <w:shd w:val="clear" w:color="auto" w:fill="e7ebf0"/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/>
                <w:bCs/>
                <w:sz w:val="19"/>
                <w:szCs w:val="19"/>
              </w:rPr>
              <w:t xml:space="preserve">Identificador</w:t>
            </w:r>
            <w:r/>
          </w:p>
        </w:tc>
        <w:tc>
          <w:tcPr>
            <w:shd w:val="clear" w:color="auto" w:fill="e7ebf0"/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/>
                <w:bCs/>
                <w:sz w:val="19"/>
                <w:szCs w:val="19"/>
              </w:rPr>
              <w:t xml:space="preserve">Registro anterior</w:t>
            </w:r>
            <w:r/>
          </w:p>
        </w:tc>
        <w:tc>
          <w:tcPr>
            <w:shd w:val="clear" w:color="auto" w:fill="e7ebf0"/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/>
                <w:bCs/>
                <w:sz w:val="19"/>
                <w:szCs w:val="19"/>
              </w:rPr>
              <w:t xml:space="preserve">Registro atual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way 727341102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sem nome registrado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Projetada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way 852324520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sem nome registrado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Quatro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way 215164430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sem nome registrado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Quatro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way 215164422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sem nome registrado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João Pata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way 215139126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Roberto Dias Vilela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Um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way 215139144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Maria Aparecida Patta Almeida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Dois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way 215138870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Professor Denilson Lopes da Silva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Dois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way 215163483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Joaquim Ribeiro da Costa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Dois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way 215139152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Doutor Paulo Capistrano de Alckmin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Três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way 215139153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René Antônio da Silva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Quatro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way 215163460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benedita Francisca Gonçalves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Quatro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way 215139183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Dulio Brasil Carli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Cinco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way 215139184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Professora Stela Souza Merencio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Seis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way 215139145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Lenice Carli Brandão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João Pata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way 215163482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Francisca Celira da Silva Dias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Benedito R Magalhães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way 553782131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Benedito de Magalhães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da Penetração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way 215139185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Jeanete Paduan Pereira de Araújo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Geanette Paduan Pereira de Araújo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way 215139251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Otilha Vilela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Otília Viléla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way 553783878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Benedito Rezende Vilela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Rua Benedito Resende Vilela</w:t>
            </w:r>
            <w:r/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1500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node 14207014299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ponto inexistente</w:t>
            </w:r>
            <w:r/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63" w:type="dxa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</w:rPr>
              <w:t xml:space="preserve">Supermercado BH (shop=supermarket)</w:t>
            </w:r>
            <w:r/>
          </w:p>
        </w:tc>
      </w:tr>
    </w:tbl>
    <w:p>
      <w:pPr>
        <w:pBdr/>
        <w:spacing w:after="320" w:before="120" w:line="240" w:lineRule="auto"/>
        <w:ind/>
        <w:rPr/>
      </w:pPr>
      <w:r>
        <w:rPr>
          <w:rFonts w:ascii="Arial" w:hAnsi="Arial" w:eastAsia="Arial" w:cs="Arial"/>
          <w:i/>
          <w:iCs/>
          <w:sz w:val="19"/>
          <w:szCs w:val="19"/>
        </w:rPr>
        <w:t xml:space="preserve">Quadro 1 — Registros alterados no OpenStreetMap. Levantamento feito na API do OpenStreetMap em 22 de setembro de 2026, por comparação entre a versão anterior e a versão resultante de cada objeto.</w:t>
      </w:r>
      <w:r/>
    </w:p>
    <w:p>
      <w:pPr>
        <w:pBdr/>
        <w:spacing w:after="160" w:line="360" w:lineRule="auto"/>
        <w:ind/>
        <w:jc w:val="both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t xml:space="preserve">Quatro logradouros não possuíam denominação registrada e passaram a tê-la. Dos quinze restantes, doze tiveram a denominação substituída pela constante do registro</w:t>
      </w:r>
      <w:r>
        <w:rPr>
          <w:rFonts w:ascii="Arial" w:hAnsi="Arial" w:eastAsia="Arial" w:cs="Arial"/>
          <w:sz w:val="24"/>
          <w:szCs w:val="24"/>
        </w:rPr>
        <w:t xml:space="preserve"> municipal — a maior parte voltando à designação numérica oficial do loteamento, que havia sido substituída na base por nomes não oficiais — e três foram correções de grafia, entre elas a da Rua Geanette Paduan Pereira de Araújo, que motivou a verificação.</w:t>
      </w:r>
      <w:r/>
    </w:p>
    <w:p w14:paraId="6B540422">
      <w:pPr>
        <w:pBdr/>
        <w:spacing w:after="160" w:line="360" w:lineRule="auto"/>
        <w:ind/>
        <w:jc w:val="both"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706"/>
        <w:pBdr/>
        <w:spacing w:after="160" w:before="320" w:line="360" w:lineRule="auto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5 VERIFICAÇÃO</w:t>
      </w:r>
      <w:r/>
    </w:p>
    <w:p>
      <w:pPr>
        <w:pBdr/>
        <w:spacing w:after="160" w:line="360" w:lineRule="auto"/>
        <w:ind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Os conjuntos de alterações podem ser conferidos nos endereços a seguir, que exibem autoria, data, comentário e a relação completa dos objetos modificados:</w:t>
      </w:r>
      <w:r/>
    </w:p>
    <w:p>
      <w:pPr>
        <w:pBdr/>
        <w:spacing w:after="80" w:line="360" w:lineRule="auto"/>
        <w:ind w:left="567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https://www.openstreetmap.org/changeset/189415583</w:t>
      </w:r>
      <w:r/>
    </w:p>
    <w:p>
      <w:pPr>
        <w:pBdr/>
        <w:spacing w:after="160" w:line="360" w:lineRule="auto"/>
        <w:ind w:left="567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https://www.openstreetmap.org/changeset/189416255</w:t>
      </w:r>
      <w:r/>
    </w:p>
    <w:p>
      <w:pPr>
        <w:pBdr/>
        <w:spacing w:after="160" w:line="360" w:lineRule="auto"/>
        <w:ind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O histórico de cada logradouro é público e permanente, e pode ser consultado pelo identificador relacionado no Quadro 1 — por exemplo, https://www.openstreetmap.org/way/215139185 para a Rua Geanette Paduan Pereira de Araújo.</w:t>
      </w:r>
      <w:r/>
    </w:p>
    <w:p>
      <w:pPr>
        <w:pStyle w:val="706"/>
        <w:pBdr/>
        <w:spacing w:after="160" w:before="320" w:line="360" w:lineRule="auto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6 LICENCIAMENTO</w:t>
      </w:r>
      <w:r/>
    </w:p>
    <w:p>
      <w:pPr>
        <w:pBdr/>
        <w:spacing w:after="160" w:line="360" w:lineRule="auto"/>
        <w:ind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Os dados do OpenStreetMap são pub</w:t>
      </w:r>
      <w:r>
        <w:rPr>
          <w:rFonts w:ascii="Arial" w:hAnsi="Arial" w:eastAsia="Arial" w:cs="Arial"/>
          <w:sz w:val="24"/>
          <w:szCs w:val="24"/>
        </w:rPr>
        <w:t xml:space="preserve">licados sob a Open Database License (ODbL) 1.0, mantida pela Open Knowledge Foundation. A contribuição aqui relatada foi incorporada à base sob essa licença e permanece de uso livre por qualquer pessoa ou órgão, inclusive pela própria Prefeitura Municipal.</w:t>
      </w:r>
      <w:r/>
    </w:p>
    <w:sectPr>
      <w:footnotePr/>
      <w:endnotePr/>
      <w:type w:val="nextPage"/>
      <w:pgSz w:h="16838" w:orient="portrait" w:w="11906"/>
      <w:pgMar w:top="1701" w:right="1134" w:bottom="1134" w:left="1701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0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05">
    <w:name w:val="Title"/>
    <w:qFormat/>
    <w:pPr>
      <w:pBdr/>
      <w:spacing/>
      <w:ind/>
    </w:pPr>
    <w:rPr>
      <w:sz w:val="56"/>
      <w:szCs w:val="56"/>
    </w:rPr>
  </w:style>
  <w:style w:type="paragraph" w:styleId="706">
    <w:name w:val="Heading 1"/>
    <w:qFormat/>
    <w:pPr>
      <w:pBdr/>
      <w:spacing/>
      <w:ind/>
    </w:pPr>
    <w:rPr>
      <w:rFonts w:ascii="Arial" w:hAnsi="Arial" w:eastAsia="Arial" w:cs="Arial"/>
      <w:b/>
      <w:bCs/>
      <w:color w:val="000000"/>
      <w:sz w:val="24"/>
      <w:szCs w:val="24"/>
    </w:rPr>
  </w:style>
  <w:style w:type="paragraph" w:styleId="707">
    <w:name w:val="Heading 2"/>
    <w:qFormat/>
    <w:pPr>
      <w:pBdr/>
      <w:spacing/>
      <w:ind/>
    </w:pPr>
    <w:rPr>
      <w:rFonts w:ascii="Arial" w:hAnsi="Arial" w:eastAsia="Arial" w:cs="Arial"/>
      <w:b/>
      <w:bCs/>
      <w:color w:val="000000"/>
      <w:sz w:val="24"/>
      <w:szCs w:val="24"/>
    </w:rPr>
  </w:style>
  <w:style w:type="paragraph" w:styleId="708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09">
    <w:name w:val="Heading 4"/>
    <w:qFormat/>
    <w:pPr>
      <w:pBdr/>
      <w:spacing/>
      <w:ind/>
    </w:pPr>
    <w:rPr>
      <w:i/>
      <w:iCs/>
      <w:color w:val="2e74b5"/>
    </w:rPr>
  </w:style>
  <w:style w:type="paragraph" w:styleId="710">
    <w:name w:val="Heading 5"/>
    <w:qFormat/>
    <w:pPr>
      <w:pBdr/>
      <w:spacing/>
      <w:ind/>
    </w:pPr>
    <w:rPr>
      <w:color w:val="2e74b5"/>
    </w:rPr>
  </w:style>
  <w:style w:type="paragraph" w:styleId="711">
    <w:name w:val="Heading 6"/>
    <w:qFormat/>
    <w:pPr>
      <w:pBdr/>
      <w:spacing/>
      <w:ind/>
    </w:pPr>
    <w:rPr>
      <w:color w:val="1f4d78"/>
    </w:rPr>
  </w:style>
  <w:style w:type="paragraph" w:styleId="712">
    <w:name w:val="Strong"/>
    <w:qFormat/>
    <w:pPr>
      <w:pBdr/>
      <w:spacing/>
      <w:ind/>
    </w:pPr>
    <w:rPr>
      <w:b/>
      <w:bCs/>
    </w:rPr>
  </w:style>
  <w:style w:type="paragraph" w:styleId="713">
    <w:name w:val="List Paragraph"/>
    <w:qFormat/>
    <w:pPr>
      <w:pBdr/>
      <w:spacing/>
      <w:ind/>
    </w:pPr>
  </w:style>
  <w:style w:type="character" w:styleId="714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5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6">
    <w:name w:val="footnote text"/>
    <w:link w:val="7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17">
    <w:name w:val="Footnote Text Char"/>
    <w:link w:val="716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18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9">
    <w:name w:val="endnote text"/>
    <w:link w:val="7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0">
    <w:name w:val="Endnote Text Char"/>
    <w:link w:val="719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atividade de extensão — correção da base cartográfica no OpenStreetMap</dc:title>
  <dc:creator>Projeto FalaCidade</dc:creator>
  <cp:revision>2</cp:revision>
  <dcterms:created xsi:type="dcterms:W3CDTF">2026-09-22T19:12:50Z</dcterms:created>
  <dcterms:modified xsi:type="dcterms:W3CDTF">2026-09-22T19:16:57Z</dcterms:modified>
</cp:coreProperties>
</file>