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r>
      <w:r>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anteriores e </w:t>
            </w:r>
            <w:r>
              <w:t xml:space="preserve">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dos apontamentos da banca de qualificaç</w:t>
            </w:r>
            <w:r>
              <w:t xml:space="preserve">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w:t>
            </w:r>
            <w:r>
              <w:t xml:space="preserve">Fiorrigi</w:t>
            </w:r>
            <w:r>
              <w:t xml:space="preserve">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w:t>
            </w:r>
            <w:r>
              <w:t xml:space="preserve">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w:t>
            </w:r>
            <w:r>
              <w:t xml:space="preserve">Fiorrigi</w:t>
            </w:r>
            <w:r>
              <w:t xml:space="preserve">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w:t>
            </w:r>
            <w:r>
              <w:t xml:space="preserve">Capitulo</w:t>
            </w:r>
            <w:r>
              <w:t xml:space="preserve">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w:t>
            </w:r>
            <w:r>
              <w:t xml:space="preserve">Fiorrigi</w:t>
            </w:r>
            <w:r>
              <w:t xml:space="preserve"> Furlan </w:t>
            </w:r>
            <w:r>
              <w:t xml:space="preserve">e  Miguel</w:t>
            </w:r>
            <w:r>
              <w:t xml:space="preserve">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r>
      <w:r>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r>
      <w:r>
        <w:t xml:space="preserve">RESUMO</w:t>
      </w:r>
      <w:r/>
    </w:p>
    <w:p w14:paraId="6A2552D1" w14:textId="77777777">
      <w:pPr>
        <w:pBdr/>
        <w:spacing/>
        <w:ind/>
        <w:rPr/>
      </w:pPr>
      <w:r>
        <w:t xml:space="preserve">O projeto "Fala, Cid</w:t>
      </w:r>
      <w:r>
        <w:t xml:space="preserve">ade!" visa o desenvolvimento de um sistema de software para o relato de ocorrências pelo cidadão à administração pública e apoio à gestão de zeladoria pública municipal. Por meio desse sistema, será possível aproximar ainda mais a sociedade civil da admini</w:t>
      </w:r>
      <w:r>
        <w:t xml:space="preserve">stração pública, a partir de um canal digital direto e responsivo para a relato de problemas de infraestrutura, como vias danificadas, iluminação pública deficiente, descarte irregular de resíduo ou má conservação de espaço público. A metodologia consiste </w:t>
      </w:r>
      <w:r>
        <w:t xml:space="preserve">de</w:t>
      </w:r>
      <w:r>
        <w:t xml:space="preserv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w:t>
      </w:r>
      <w:r>
        <w:t xml:space="preserve">da</w:t>
      </w:r>
      <w:r>
        <w:t xml:space="preserve">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3166E9FF">
      <w:pPr>
        <w:pBdr/>
        <w:spacing/>
        <w:ind/>
        <w:rPr/>
      </w:pPr>
      <w:r>
        <w:rPr>
          <w:caps w:val="0"/>
        </w:rPr>
        <w:fldChar w:fldCharType="begin"/>
      </w:r>
      <w:r>
        <w:rPr>
          <w:caps w:val="0"/>
        </w:rPr>
        <w:instrText xml:space="preserve">TOC \h \c "FIGURA"</w:instrText>
      </w:r>
      <w:r>
        <w:rPr>
          <w:caps w:val="0"/>
        </w:rPr>
        <w:fldChar w:fldCharType="separate"/>
      </w:r>
      <w:r>
        <w:rPr>
          <w:b/>
        </w:rPr>
        <w:t xml:space="preserve">Nenhuma entrada de tabela de figuras encontrada.</w:t>
      </w:r>
      <w:r/>
    </w:p>
    <w:p w14:paraId="73D7E257">
      <w:pPr>
        <w:pBdr/>
        <w:spacing/>
        <w:ind/>
        <w:rPr/>
      </w:pPr>
      <w:r>
        <w:rPr>
          <w:caps w:val="0"/>
        </w:rPr>
      </w:r>
      <w:r/>
    </w:p>
    <w:p w14:paraId="3CA55ACF">
      <w:pPr>
        <w:pStyle w:val="1830"/>
        <w:pBdr/>
        <w:spacing/>
        <w:ind/>
        <w:rPr/>
      </w:pPr>
      <w:r>
        <w:rPr>
          <w:caps w:val="0"/>
        </w:rPr>
      </w:r>
      <w:r>
        <w:fldChar w:fldCharType="end"/>
      </w:r>
      <w:r/>
    </w:p>
    <w:p w14:paraId="19385DFA" w14:textId="77777777">
      <w:pPr>
        <w:pStyle w:val="1830"/>
        <w:pBdr/>
        <w:spacing/>
        <w:ind/>
        <w:rPr/>
      </w:pPr>
      <w:r/>
      <w:r/>
    </w:p>
    <w:p w14:paraId="227A079B" w14:textId="77777777">
      <w:pPr>
        <w:pStyle w:val="1830"/>
        <w:pBdr/>
        <w:spacing/>
        <w:ind/>
        <w:jc w:val="left"/>
        <w:rPr/>
      </w:pPr>
      <w:r>
        <w:br w:type="page" w:clear="all"/>
      </w:r>
      <w:r>
        <w:t xml:space="preserve">LISTA DE QUADROS</w:t>
      </w:r>
      <w:r/>
    </w:p>
    <w:p w14:paraId="4664B8AF">
      <w:pPr>
        <w:pStyle w:val="1847"/>
        <w:pBdr/>
        <w:tabs>
          <w:tab w:val="right" w:leader="dot" w:pos="9062"/>
        </w:tabs>
        <w:spacing/>
        <w:ind/>
        <w:rPr/>
      </w:pPr>
      <w:r>
        <w:fldChar w:fldCharType="begin"/>
      </w:r>
      <w:r>
        <w:instrText xml:space="preserve">TOC \h \c "QUADRO"</w:instrText>
      </w:r>
      <w:r>
        <w:fldChar w:fldCharType="separate"/>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83</w:t>
          <w:fldChar w:fldCharType="end"/>
        </w:r>
      </w:hyperlink>
      <w:r/>
      <w:r/>
    </w:p>
    <w:p w14:paraId="72968B2F">
      <w:pPr>
        <w:pStyle w:val="1847"/>
        <w:pBdr/>
        <w:tabs>
          <w:tab w:val="right" w:leader="dot" w:pos="9062"/>
        </w:tabs>
        <w:spacing/>
        <w:ind/>
        <w:rPr/>
      </w:pPr>
      <w: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84</w:t>
          <w:fldChar w:fldCharType="end"/>
        </w:r>
      </w:hyperlink>
      <w:r/>
      <w:r/>
    </w:p>
    <w:p w14:paraId="3B1F521F">
      <w:pPr>
        <w:pStyle w:val="1847"/>
        <w:pBdr/>
        <w:tabs>
          <w:tab w:val="right" w:leader="dot" w:pos="9062"/>
        </w:tabs>
        <w:spacing/>
        <w:ind/>
        <w:rPr/>
      </w:pPr>
      <w: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85</w:t>
          <w:fldChar w:fldCharType="end"/>
        </w:r>
      </w:hyperlink>
      <w:r/>
      <w:r/>
    </w:p>
    <w:p w14:paraId="044D169B">
      <w:pPr>
        <w:pStyle w:val="1847"/>
        <w:pBdr/>
        <w:tabs>
          <w:tab w:val="right" w:leader="dot" w:pos="9062"/>
        </w:tabs>
        <w:spacing/>
        <w:ind/>
        <w:rPr/>
      </w:pPr>
      <w:r>
        <w:fldChar w:fldCharType="end"/>
      </w:r>
      <w:r/>
    </w:p>
    <w:p w14:paraId="2E71C7EB" w14:textId="77777777">
      <w:pPr>
        <w:pStyle w:val="1830"/>
        <w:pBdr/>
        <w:spacing/>
        <w:ind/>
        <w:rPr/>
      </w:pPr>
      <w:r/>
      <w:r/>
    </w:p>
    <w:p w14:paraId="5E0F4308" w14:textId="77777777">
      <w:pPr>
        <w:pStyle w:val="1830"/>
        <w:pBdr/>
        <w:spacing/>
        <w:ind/>
        <w:rPr/>
      </w:pPr>
      <w:r>
        <w:br w:type="page" w:clear="all"/>
      </w:r>
      <w:r>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w:t>
            </w:r>
            <w:r>
              <w:rPr>
                <w:i/>
              </w:rPr>
              <w:t xml:space="preserve">, </w:t>
            </w:r>
            <w:r>
              <w:rPr>
                <w:i/>
              </w:rPr>
              <w:t xml:space="preserve">Consistency</w:t>
            </w:r>
            <w:r>
              <w:rPr>
                <w:i/>
              </w:rPr>
              <w:t xml:space="preserve">, </w:t>
            </w:r>
            <w:r>
              <w:rPr>
                <w:i/>
              </w:rPr>
              <w:t xml:space="preserve">Isolation</w:t>
            </w:r>
            <w:r>
              <w:rPr>
                <w:i/>
              </w:rPr>
              <w:t xml:space="preserve">, </w:t>
            </w:r>
            <w:r>
              <w:rPr>
                <w:i/>
              </w:rPr>
              <w:t xml:space="preserve">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w:t>
            </w:r>
            <w:r>
              <w:rPr>
                <w:rFonts w:eastAsia="Arial"/>
                <w:i/>
                <w:color w:val="1f1f1f"/>
              </w:rPr>
              <w:t xml:space="preserve"> </w:t>
            </w:r>
            <w:r>
              <w:rPr>
                <w:rFonts w:eastAsia="Arial"/>
                <w:i/>
                <w:color w:val="1f1f1f"/>
              </w:rPr>
              <w:t xml:space="preserve">Programming</w:t>
            </w:r>
            <w:r>
              <w:rPr>
                <w:rFonts w:eastAsia="Arial"/>
                <w:i/>
                <w:color w:val="1f1f1f"/>
              </w:rPr>
              <w:t xml:space="preserve">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i/>
                <w:color w:val="1f1f1f"/>
              </w:rPr>
              <w:t xml:space="preserve"> </w:t>
            </w:r>
            <w:r>
              <w:rPr>
                <w:rFonts w:eastAsia="Arial"/>
                <w:i/>
                <w:color w:val="1f1f1f"/>
              </w:rPr>
              <w:t xml:space="preserve">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w:t>
            </w:r>
            <w:r>
              <w:rPr>
                <w:rFonts w:eastAsia="Arial"/>
                <w:i/>
                <w:color w:val="1f1f1f"/>
              </w:rPr>
              <w:t xml:space="preserve">Runtime</w:t>
            </w:r>
            <w:r>
              <w:rPr>
                <w:rFonts w:eastAsia="Arial"/>
                <w:i/>
                <w:color w:val="1f1f1f"/>
              </w:rPr>
              <w:t xml:space="preserve"> </w:t>
            </w:r>
            <w:r>
              <w:rPr>
                <w:rFonts w:eastAsia="Arial"/>
                <w:i/>
                <w:color w:val="1f1f1f"/>
              </w:rPr>
              <w:t xml:space="preserve">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w:t>
            </w:r>
            <w:r>
              <w:rPr>
                <w:rFonts w:eastAsia="Arial"/>
                <w:i/>
                <w:color w:val="1f1f1f"/>
              </w:rPr>
              <w:t xml:space="preserve"> </w:t>
            </w:r>
            <w:r>
              <w:rPr>
                <w:rFonts w:eastAsia="Arial"/>
                <w:i/>
                <w:color w:val="1f1f1f"/>
              </w:rPr>
              <w:t xml:space="preserve">Object</w:t>
            </w:r>
            <w:r>
              <w:rPr>
                <w:rFonts w:eastAsia="Arial"/>
                <w:i/>
                <w:color w:val="1f1f1f"/>
              </w:rPr>
              <w:t xml:space="preserve"> </w:t>
            </w:r>
            <w:r>
              <w:rPr>
                <w:rFonts w:eastAsia="Arial"/>
                <w:i/>
                <w:color w:val="1f1f1f"/>
              </w:rPr>
              <w:t xml:space="preserve">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w:t>
            </w:r>
            <w:r>
              <w:rPr>
                <w:rFonts w:eastAsia="Arial"/>
                <w:i/>
                <w:iCs/>
                <w:color w:val="1f1f1f"/>
              </w:rPr>
              <w:t xml:space="preserve">Language</w:t>
            </w:r>
            <w:r>
              <w:rPr>
                <w:rFonts w:eastAsia="Arial"/>
                <w:i/>
                <w:iCs/>
                <w:color w:val="1f1f1f"/>
              </w:rPr>
              <w:t xml:space="preserv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w:t>
            </w:r>
            <w:r>
              <w:rPr>
                <w:rFonts w:eastAsia="Arial"/>
                <w:i/>
                <w:iCs/>
                <w:color w:val="1f1f1f"/>
              </w:rPr>
              <w:t xml:space="preserve"> </w:t>
            </w:r>
            <w:r>
              <w:rPr>
                <w:rFonts w:eastAsia="Arial"/>
                <w:i/>
                <w:iCs/>
                <w:color w:val="1f1f1f"/>
              </w:rPr>
              <w:t xml:space="preserve">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w:t>
            </w:r>
            <w:r>
              <w:rPr>
                <w:rFonts w:eastAsia="Arial"/>
                <w:i/>
                <w:color w:val="1f1f1f"/>
              </w:rPr>
              <w:t xml:space="preserve"> </w:t>
            </w:r>
            <w:r>
              <w:rPr>
                <w:rFonts w:eastAsia="Arial"/>
                <w:i/>
                <w:color w:val="1f1f1f"/>
              </w:rPr>
              <w:t xml:space="preserve">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w:t>
            </w:r>
            <w:r>
              <w:rPr>
                <w:rFonts w:eastAsia="Arial"/>
                <w:i/>
                <w:color w:val="1f1f1f"/>
              </w:rPr>
              <w:t xml:space="preser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w:t>
            </w:r>
            <w:r>
              <w:rPr>
                <w:rFonts w:eastAsia="Arial"/>
                <w:i/>
                <w:color w:val="1f1f1f"/>
              </w:rPr>
              <w:t xml:space="preserve">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w:t>
            </w:r>
            <w:r>
              <w:rPr>
                <w:rFonts w:eastAsia="Arial"/>
                <w:i/>
                <w:color w:val="1f1f1f"/>
              </w:rPr>
              <w:t xml:space="preserve"> </w:t>
            </w:r>
            <w:r>
              <w:rPr>
                <w:rFonts w:eastAsia="Arial"/>
                <w:i/>
                <w:color w:val="1f1f1f"/>
              </w:rPr>
              <w:t xml:space="preserve">State</w:t>
            </w:r>
            <w:r>
              <w:rPr>
                <w:rFonts w:eastAsia="Arial"/>
                <w:i/>
                <w:color w:val="1f1f1f"/>
              </w:rPr>
              <w:t xml:space="preserve"> </w:t>
            </w:r>
            <w:r>
              <w:rPr>
                <w:rFonts w:eastAsia="Arial"/>
                <w:i/>
                <w:color w:val="1f1f1f"/>
              </w:rPr>
              <w:t xml:space="preserve">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w:t>
            </w:r>
            <w:r>
              <w:rPr>
                <w:rFonts w:eastAsia="Arial"/>
                <w:i/>
                <w:color w:val="1f1f1f"/>
              </w:rPr>
              <w:t xml:space="preserve"> Sockets </w:t>
            </w:r>
            <w:r>
              <w:rPr>
                <w:rFonts w:eastAsia="Arial"/>
                <w:i/>
                <w:color w:val="1f1f1f"/>
              </w:rPr>
              <w:t xml:space="preserve">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w:t>
            </w:r>
            <w:r>
              <w:rPr>
                <w:rFonts w:eastAsia="Arial"/>
                <w:i/>
                <w:color w:val="1f1f1f"/>
              </w:rPr>
              <w:t xml:space="preserve"> </w:t>
            </w:r>
            <w:r>
              <w:rPr>
                <w:rFonts w:eastAsia="Arial"/>
                <w:i/>
                <w:color w:val="1f1f1f"/>
              </w:rPr>
              <w:t xml:space="preserve">Layer</w:t>
            </w:r>
            <w:r>
              <w:rPr>
                <w:rFonts w:eastAsia="Arial"/>
                <w:i/>
                <w:color w:val="1f1f1f"/>
              </w:rPr>
              <w:t xml:space="preserve">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w:t>
            </w:r>
            <w:r>
              <w:rPr>
                <w:rFonts w:eastAsia="Arial"/>
                <w:i/>
                <w:color w:val="1f1f1f"/>
              </w:rPr>
              <w:t xml:space="preserve"> </w:t>
            </w:r>
            <w:r>
              <w:rPr>
                <w:rFonts w:eastAsia="Arial"/>
                <w:i/>
                <w:color w:val="1f1f1f"/>
              </w:rPr>
              <w:t xml:space="preserve">Modeling</w:t>
            </w:r>
            <w:r>
              <w:rPr>
                <w:rFonts w:eastAsia="Arial"/>
                <w:i/>
                <w:color w:val="1f1f1f"/>
              </w:rPr>
              <w:t xml:space="preserve"> </w:t>
            </w:r>
            <w:r>
              <w:rPr>
                <w:rFonts w:eastAsia="Arial"/>
                <w:i/>
                <w:color w:val="1f1f1f"/>
              </w:rPr>
              <w:t xml:space="preserve">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w:t>
            </w:r>
            <w:r>
              <w:rPr>
                <w:rFonts w:eastAsia="Arial"/>
                <w:i/>
                <w:color w:val="1f1f1f"/>
              </w:rPr>
              <w:t xml:space="preserve">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t>
            </w:r>
            <w:r>
              <w:rPr>
                <w:rFonts w:eastAsia="Arial"/>
                <w:i/>
                <w:color w:val="1f1f1f"/>
              </w:rPr>
              <w:t xml:space="preserve">Wide</w:t>
            </w:r>
            <w:r>
              <w:rPr>
                <w:rFonts w:eastAsia="Arial"/>
                <w:i/>
                <w:color w:val="1f1f1f"/>
              </w:rPr>
              <w:t xml:space="preserv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3F12840C">
      <w:pPr>
        <w:pStyle w:val="1825"/>
        <w:pBdr/>
        <w:tabs>
          <w:tab w:val="right" w:leader="dot" w:pos="9062"/>
        </w:tabs>
        <w:spacing/>
        <w:ind/>
        <w:rPr/>
      </w:pPr>
      <w:r>
        <w:rPr>
          <w:bCs/>
        </w:rPr>
        <w:fldChar w:fldCharType="begin"/>
      </w:r>
      <w:r>
        <w:rPr>
          <w:bCs/>
        </w:rPr>
        <w:instrText xml:space="preserve"> TOC \o "1-5" \h \z \u </w:instrText>
      </w:r>
      <w:r>
        <w:rPr>
          <w:bCs/>
        </w:rPr>
        <w:fldChar w:fldCharType="separate"/>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18</w:t>
          <w:fldChar w:fldCharType="end"/>
        </w:r>
      </w:hyperlink>
      <w:r/>
      <w:r/>
    </w:p>
    <w:p w14:paraId="507BE37B">
      <w:pPr>
        <w:pStyle w:val="1825"/>
        <w:pBdr/>
        <w:tabs>
          <w:tab w:val="right" w:leader="dot" w:pos="9062"/>
        </w:tabs>
        <w:spacing/>
        <w:ind/>
        <w:rPr/>
      </w:pPr>
      <w: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20</w:t>
          <w:fldChar w:fldCharType="end"/>
        </w:r>
      </w:hyperlink>
      <w:r/>
      <w:r/>
    </w:p>
    <w:p w14:paraId="555BB774">
      <w:pPr>
        <w:pStyle w:val="1826"/>
        <w:pBdr/>
        <w:tabs>
          <w:tab w:val="right" w:leader="dot" w:pos="9062"/>
        </w:tabs>
        <w:spacing/>
        <w:ind/>
        <w:rPr/>
      </w:pPr>
      <w: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20</w:t>
          <w:fldChar w:fldCharType="end"/>
        </w:r>
      </w:hyperlink>
      <w:r/>
      <w:r/>
    </w:p>
    <w:p w14:paraId="29E19B59">
      <w:pPr>
        <w:pStyle w:val="1827"/>
        <w:pBdr/>
        <w:tabs>
          <w:tab w:val="right" w:leader="dot" w:pos="9062"/>
        </w:tabs>
        <w:spacing/>
        <w:ind/>
        <w:rPr/>
      </w:pPr>
      <w: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21</w:t>
          <w:fldChar w:fldCharType="end"/>
        </w:r>
      </w:hyperlink>
      <w:r/>
      <w:r/>
    </w:p>
    <w:p w14:paraId="0AABDDEC">
      <w:pPr>
        <w:pStyle w:val="1827"/>
        <w:pBdr/>
        <w:tabs>
          <w:tab w:val="right" w:leader="dot" w:pos="9062"/>
        </w:tabs>
        <w:spacing/>
        <w:ind/>
        <w:rPr/>
      </w:pPr>
      <w: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21</w:t>
          <w:fldChar w:fldCharType="end"/>
        </w:r>
      </w:hyperlink>
      <w:r/>
      <w:r/>
    </w:p>
    <w:p w14:paraId="0638EA4A">
      <w:pPr>
        <w:pStyle w:val="1827"/>
        <w:pBdr/>
        <w:tabs>
          <w:tab w:val="right" w:leader="dot" w:pos="9062"/>
        </w:tabs>
        <w:spacing/>
        <w:ind/>
        <w:rPr/>
      </w:pPr>
      <w: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21</w:t>
          <w:fldChar w:fldCharType="end"/>
        </w:r>
      </w:hyperlink>
      <w:r/>
      <w:r/>
    </w:p>
    <w:p w14:paraId="667A6DD5">
      <w:pPr>
        <w:pStyle w:val="1826"/>
        <w:pBdr/>
        <w:tabs>
          <w:tab w:val="right" w:leader="dot" w:pos="9062"/>
        </w:tabs>
        <w:spacing/>
        <w:ind/>
        <w:rPr/>
      </w:pPr>
      <w: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22</w:t>
          <w:fldChar w:fldCharType="end"/>
        </w:r>
      </w:hyperlink>
      <w:r/>
      <w:r/>
    </w:p>
    <w:p w14:paraId="3544F2AA">
      <w:pPr>
        <w:pStyle w:val="1825"/>
        <w:pBdr/>
        <w:tabs>
          <w:tab w:val="right" w:leader="dot" w:pos="9062"/>
        </w:tabs>
        <w:spacing/>
        <w:ind/>
        <w:rPr/>
      </w:pPr>
      <w: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26</w:t>
          <w:fldChar w:fldCharType="end"/>
        </w:r>
      </w:hyperlink>
      <w:r/>
      <w:r/>
    </w:p>
    <w:p w14:paraId="2A9742F3">
      <w:pPr>
        <w:pStyle w:val="1826"/>
        <w:pBdr/>
        <w:tabs>
          <w:tab w:val="right" w:leader="dot" w:pos="9062"/>
        </w:tabs>
        <w:spacing/>
        <w:ind/>
        <w:rPr/>
      </w:pPr>
      <w: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26</w:t>
          <w:fldChar w:fldCharType="end"/>
        </w:r>
      </w:hyperlink>
      <w:r/>
      <w:r/>
    </w:p>
    <w:p w14:paraId="20E7007E">
      <w:pPr>
        <w:pStyle w:val="1826"/>
        <w:pBdr/>
        <w:tabs>
          <w:tab w:val="right" w:leader="dot" w:pos="9062"/>
        </w:tabs>
        <w:spacing/>
        <w:ind/>
        <w:rPr/>
      </w:pPr>
      <w: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27</w:t>
          <w:fldChar w:fldCharType="end"/>
        </w:r>
      </w:hyperlink>
      <w:r/>
      <w:r/>
    </w:p>
    <w:p w14:paraId="1E620328">
      <w:pPr>
        <w:pStyle w:val="1826"/>
        <w:pBdr/>
        <w:tabs>
          <w:tab w:val="right" w:leader="dot" w:pos="9062"/>
        </w:tabs>
        <w:spacing/>
        <w:ind/>
        <w:rPr/>
      </w:pPr>
      <w: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27</w:t>
          <w:fldChar w:fldCharType="end"/>
        </w:r>
      </w:hyperlink>
      <w:r/>
      <w:r/>
    </w:p>
    <w:p w14:paraId="566163D1">
      <w:pPr>
        <w:pStyle w:val="1826"/>
        <w:pBdr/>
        <w:tabs>
          <w:tab w:val="right" w:leader="dot" w:pos="9062"/>
        </w:tabs>
        <w:spacing/>
        <w:ind/>
        <w:rPr/>
      </w:pPr>
      <w: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27</w:t>
          <w:fldChar w:fldCharType="end"/>
        </w:r>
      </w:hyperlink>
      <w:r/>
      <w:r/>
    </w:p>
    <w:p w14:paraId="06E6609D">
      <w:pPr>
        <w:pStyle w:val="1826"/>
        <w:pBdr/>
        <w:tabs>
          <w:tab w:val="right" w:leader="dot" w:pos="9062"/>
        </w:tabs>
        <w:spacing/>
        <w:ind/>
        <w:rPr/>
      </w:pPr>
      <w: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28</w:t>
          <w:fldChar w:fldCharType="end"/>
        </w:r>
      </w:hyperlink>
      <w:r/>
      <w:r/>
    </w:p>
    <w:p w14:paraId="42DC3724">
      <w:pPr>
        <w:pStyle w:val="1826"/>
        <w:pBdr/>
        <w:tabs>
          <w:tab w:val="right" w:leader="dot" w:pos="9062"/>
        </w:tabs>
        <w:spacing/>
        <w:ind/>
        <w:rPr/>
      </w:pPr>
      <w: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30</w:t>
          <w:fldChar w:fldCharType="end"/>
        </w:r>
      </w:hyperlink>
      <w:r/>
      <w:r/>
    </w:p>
    <w:p w14:paraId="4F7D6E16">
      <w:pPr>
        <w:pStyle w:val="1825"/>
        <w:pBdr/>
        <w:tabs>
          <w:tab w:val="right" w:leader="dot" w:pos="9062"/>
        </w:tabs>
        <w:spacing/>
        <w:ind/>
        <w:rPr/>
      </w:pPr>
      <w: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33</w:t>
          <w:fldChar w:fldCharType="end"/>
        </w:r>
      </w:hyperlink>
      <w:r/>
      <w:r/>
    </w:p>
    <w:p w14:paraId="7D1B89E1">
      <w:pPr>
        <w:pStyle w:val="1826"/>
        <w:pBdr/>
        <w:tabs>
          <w:tab w:val="right" w:leader="dot" w:pos="9062"/>
        </w:tabs>
        <w:spacing/>
        <w:ind/>
        <w:rPr/>
      </w:pPr>
      <w: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33</w:t>
          <w:fldChar w:fldCharType="end"/>
        </w:r>
      </w:hyperlink>
      <w:r/>
      <w:r/>
    </w:p>
    <w:p w14:paraId="70F33485">
      <w:pPr>
        <w:pStyle w:val="1826"/>
        <w:pBdr/>
        <w:tabs>
          <w:tab w:val="right" w:leader="dot" w:pos="9062"/>
        </w:tabs>
        <w:spacing/>
        <w:ind/>
        <w:rPr/>
      </w:pPr>
      <w: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35</w:t>
          <w:fldChar w:fldCharType="end"/>
        </w:r>
      </w:hyperlink>
      <w:r/>
      <w:r/>
    </w:p>
    <w:p w14:paraId="2329E25D">
      <w:pPr>
        <w:pStyle w:val="1826"/>
        <w:pBdr/>
        <w:tabs>
          <w:tab w:val="right" w:leader="dot" w:pos="9062"/>
        </w:tabs>
        <w:spacing/>
        <w:ind/>
        <w:rPr/>
      </w:pPr>
      <w: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35</w:t>
          <w:fldChar w:fldCharType="end"/>
        </w:r>
      </w:hyperlink>
      <w:r/>
      <w:r/>
    </w:p>
    <w:p w14:paraId="0CBE9FBE">
      <w:pPr>
        <w:pStyle w:val="1827"/>
        <w:pBdr/>
        <w:tabs>
          <w:tab w:val="right" w:leader="dot" w:pos="9062"/>
        </w:tabs>
        <w:spacing/>
        <w:ind/>
        <w:rPr/>
      </w:pPr>
      <w: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35</w:t>
          <w:fldChar w:fldCharType="end"/>
        </w:r>
      </w:hyperlink>
      <w:r/>
      <w:r/>
    </w:p>
    <w:p w14:paraId="06AD4252">
      <w:pPr>
        <w:pStyle w:val="1827"/>
        <w:pBdr/>
        <w:tabs>
          <w:tab w:val="right" w:leader="dot" w:pos="9062"/>
        </w:tabs>
        <w:spacing/>
        <w:ind/>
        <w:rPr/>
      </w:pPr>
      <w: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36</w:t>
          <w:fldChar w:fldCharType="end"/>
        </w:r>
      </w:hyperlink>
      <w:r/>
      <w:r/>
    </w:p>
    <w:p w14:paraId="1B379C0A">
      <w:pPr>
        <w:pStyle w:val="1827"/>
        <w:pBdr/>
        <w:tabs>
          <w:tab w:val="right" w:leader="dot" w:pos="9062"/>
        </w:tabs>
        <w:spacing/>
        <w:ind/>
        <w:rPr/>
      </w:pPr>
      <w: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36</w:t>
          <w:fldChar w:fldCharType="end"/>
        </w:r>
      </w:hyperlink>
      <w:r/>
      <w:r/>
    </w:p>
    <w:p w14:paraId="7D273F51">
      <w:pPr>
        <w:pStyle w:val="1827"/>
        <w:pBdr/>
        <w:tabs>
          <w:tab w:val="right" w:leader="dot" w:pos="9062"/>
        </w:tabs>
        <w:spacing/>
        <w:ind/>
        <w:rPr/>
      </w:pPr>
      <w: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38</w:t>
          <w:fldChar w:fldCharType="end"/>
        </w:r>
      </w:hyperlink>
      <w:r/>
      <w:r/>
    </w:p>
    <w:p w14:paraId="59CABA7F">
      <w:pPr>
        <w:pStyle w:val="1826"/>
        <w:pBdr/>
        <w:tabs>
          <w:tab w:val="right" w:leader="dot" w:pos="9062"/>
        </w:tabs>
        <w:spacing/>
        <w:ind/>
        <w:rPr/>
      </w:pPr>
      <w: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38</w:t>
          <w:fldChar w:fldCharType="end"/>
        </w:r>
      </w:hyperlink>
      <w:r/>
      <w:r/>
    </w:p>
    <w:p w14:paraId="74C55BA0">
      <w:pPr>
        <w:pStyle w:val="1826"/>
        <w:pBdr/>
        <w:tabs>
          <w:tab w:val="right" w:leader="dot" w:pos="9062"/>
        </w:tabs>
        <w:spacing/>
        <w:ind/>
        <w:rPr/>
      </w:pPr>
      <w: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40</w:t>
          <w:fldChar w:fldCharType="end"/>
        </w:r>
      </w:hyperlink>
      <w:r/>
      <w:r/>
    </w:p>
    <w:p w14:paraId="6EDA6387">
      <w:pPr>
        <w:pStyle w:val="1827"/>
        <w:pBdr/>
        <w:tabs>
          <w:tab w:val="left" w:leader="none" w:pos="571"/>
          <w:tab w:val="right" w:leader="dot" w:pos="9062"/>
        </w:tabs>
        <w:spacing/>
        <w:ind/>
        <w:rPr/>
      </w:pPr>
      <w:r/>
      <w:hyperlink w:tooltip="#_Toc25" w:anchor="_Toc25" w:history="1">
        <w:r>
          <w:rPr>
            <w:rStyle w:val="1828"/>
          </w:rPr>
        </w:r>
        <w:r>
          <w:rPr>
            <w:rStyle w:val="1828"/>
          </w:rPr>
          <w:t xml:space="preserve">4.5.1 Papéis e Responsabilidades</w:t>
        </w:r>
        <w:r>
          <w:rPr>
            <w:rStyle w:val="1828"/>
          </w:rPr>
          <w:tab/>
        </w:r>
        <w:r>
          <w:rPr>
            <w:rStyle w:val="1828"/>
          </w:rPr>
        </w:r>
        <w:r>
          <w:tab/>
        </w:r>
        <w:r>
          <w:fldChar w:fldCharType="begin"/>
          <w:instrText xml:space="preserve">PAGEREF _Toc25 \h</w:instrText>
          <w:fldChar w:fldCharType="separate"/>
          <w:t xml:space="preserve">40</w:t>
          <w:fldChar w:fldCharType="end"/>
        </w:r>
      </w:hyperlink>
      <w:r/>
      <w:r/>
    </w:p>
    <w:p w14:paraId="4770A5BA">
      <w:pPr>
        <w:pStyle w:val="1827"/>
        <w:pBdr/>
        <w:tabs>
          <w:tab w:val="right" w:leader="dot" w:pos="9062"/>
        </w:tabs>
        <w:spacing/>
        <w:ind/>
        <w:rPr/>
      </w:pPr>
      <w: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40</w:t>
          <w:fldChar w:fldCharType="end"/>
        </w:r>
      </w:hyperlink>
      <w:r/>
      <w:r/>
    </w:p>
    <w:p w14:paraId="0308B455">
      <w:pPr>
        <w:pStyle w:val="1827"/>
        <w:pBdr/>
        <w:tabs>
          <w:tab w:val="right" w:leader="dot" w:pos="9062"/>
        </w:tabs>
        <w:spacing/>
        <w:ind/>
        <w:rPr/>
      </w:pPr>
      <w: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41</w:t>
          <w:fldChar w:fldCharType="end"/>
        </w:r>
      </w:hyperlink>
      <w:r/>
      <w:r/>
    </w:p>
    <w:p w14:paraId="165F27A4">
      <w:pPr>
        <w:pStyle w:val="1825"/>
        <w:pBdr/>
        <w:tabs>
          <w:tab w:val="right" w:leader="dot" w:pos="9062"/>
        </w:tabs>
        <w:spacing/>
        <w:ind/>
        <w:rPr/>
      </w:pPr>
      <w: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43</w:t>
          <w:fldChar w:fldCharType="end"/>
        </w:r>
      </w:hyperlink>
      <w:r/>
      <w:r/>
    </w:p>
    <w:p w14:paraId="574E1884">
      <w:pPr>
        <w:pStyle w:val="1826"/>
        <w:pBdr/>
        <w:tabs>
          <w:tab w:val="right" w:leader="dot" w:pos="9062"/>
        </w:tabs>
        <w:spacing/>
        <w:ind/>
        <w:rPr/>
      </w:pPr>
      <w: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43</w:t>
          <w:fldChar w:fldCharType="end"/>
        </w:r>
      </w:hyperlink>
      <w:r/>
      <w:r/>
    </w:p>
    <w:p w14:paraId="65DAE649">
      <w:pPr>
        <w:pStyle w:val="1827"/>
        <w:pBdr/>
        <w:tabs>
          <w:tab w:val="right" w:leader="dot" w:pos="9062"/>
        </w:tabs>
        <w:spacing/>
        <w:ind/>
        <w:rPr/>
      </w:pPr>
      <w: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43</w:t>
          <w:fldChar w:fldCharType="end"/>
        </w:r>
      </w:hyperlink>
      <w:r/>
      <w:r/>
    </w:p>
    <w:p w14:paraId="5A87A4D0">
      <w:pPr>
        <w:pStyle w:val="1827"/>
        <w:pBdr/>
        <w:tabs>
          <w:tab w:val="right" w:leader="dot" w:pos="9062"/>
        </w:tabs>
        <w:spacing/>
        <w:ind/>
        <w:rPr/>
      </w:pPr>
      <w:r/>
      <w:hyperlink w:tooltip="#_Toc31" w:anchor="_Toc31" w:history="1">
        <w:r>
          <w:rPr>
            <w:rStyle w:val="1828"/>
          </w:rPr>
        </w:r>
        <w:r>
          <w:rPr>
            <w:rStyle w:val="1828"/>
          </w:rPr>
          <w:t xml:space="preserve">5.1.2 Requisitos </w:t>
        </w:r>
        <w:r>
          <w:rPr>
            <w:rStyle w:val="1828"/>
          </w:rPr>
          <w:t xml:space="preserve">não Funcionais</w:t>
        </w:r>
        <w:r>
          <w:rPr>
            <w:rStyle w:val="1828"/>
          </w:rPr>
        </w:r>
        <w:r>
          <w:tab/>
        </w:r>
        <w:r>
          <w:fldChar w:fldCharType="begin"/>
          <w:instrText xml:space="preserve">PAGEREF _Toc31 \h</w:instrText>
          <w:fldChar w:fldCharType="separate"/>
          <w:t xml:space="preserve">49</w:t>
          <w:fldChar w:fldCharType="end"/>
        </w:r>
      </w:hyperlink>
      <w:r/>
      <w:r/>
    </w:p>
    <w:p w14:paraId="08591B6E">
      <w:pPr>
        <w:pStyle w:val="1827"/>
        <w:pBdr/>
        <w:tabs>
          <w:tab w:val="right" w:leader="dot" w:pos="9062"/>
        </w:tabs>
        <w:spacing/>
        <w:ind/>
        <w:rPr/>
      </w:pPr>
      <w: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53</w:t>
          <w:fldChar w:fldCharType="end"/>
        </w:r>
      </w:hyperlink>
      <w:r/>
      <w:r/>
    </w:p>
    <w:p w14:paraId="77698C4B">
      <w:pPr>
        <w:pStyle w:val="1826"/>
        <w:pBdr/>
        <w:tabs>
          <w:tab w:val="right" w:leader="dot" w:pos="9062"/>
        </w:tabs>
        <w:spacing/>
        <w:ind/>
        <w:rPr/>
      </w:pPr>
      <w: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55</w:t>
          <w:fldChar w:fldCharType="end"/>
        </w:r>
      </w:hyperlink>
      <w:r/>
      <w:r/>
    </w:p>
    <w:p w14:paraId="1D34A5C4">
      <w:pPr>
        <w:pStyle w:val="1827"/>
        <w:pBdr/>
        <w:tabs>
          <w:tab w:val="right" w:leader="dot" w:pos="9062"/>
        </w:tabs>
        <w:spacing/>
        <w:ind/>
        <w:rPr/>
      </w:pPr>
      <w: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55</w:t>
          <w:fldChar w:fldCharType="end"/>
        </w:r>
      </w:hyperlink>
      <w:r/>
      <w:r/>
    </w:p>
    <w:p w14:paraId="5F993E6B">
      <w:pPr>
        <w:pStyle w:val="1827"/>
        <w:pBdr/>
        <w:tabs>
          <w:tab w:val="right" w:leader="dot" w:pos="9062"/>
        </w:tabs>
        <w:spacing/>
        <w:ind/>
        <w:rPr/>
      </w:pPr>
      <w: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55</w:t>
          <w:fldChar w:fldCharType="end"/>
        </w:r>
      </w:hyperlink>
      <w:r/>
      <w:r/>
    </w:p>
    <w:p w14:paraId="54D2C92C">
      <w:pPr>
        <w:pStyle w:val="1827"/>
        <w:pBdr/>
        <w:tabs>
          <w:tab w:val="right" w:leader="dot" w:pos="9062"/>
        </w:tabs>
        <w:spacing/>
        <w:ind/>
        <w:rPr/>
      </w:pPr>
      <w: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56</w:t>
          <w:fldChar w:fldCharType="end"/>
        </w:r>
      </w:hyperlink>
      <w:r/>
      <w:r/>
    </w:p>
    <w:p w14:paraId="0280C713">
      <w:pPr>
        <w:pStyle w:val="1825"/>
        <w:pBdr/>
        <w:tabs>
          <w:tab w:val="right" w:leader="dot" w:pos="9062"/>
        </w:tabs>
        <w:spacing/>
        <w:ind/>
        <w:rPr/>
      </w:pPr>
      <w: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58</w:t>
          <w:fldChar w:fldCharType="end"/>
        </w:r>
      </w:hyperlink>
      <w:r/>
      <w:r/>
    </w:p>
    <w:p w14:paraId="7066F64C">
      <w:pPr>
        <w:pStyle w:val="1826"/>
        <w:pBdr/>
        <w:tabs>
          <w:tab w:val="right" w:leader="dot" w:pos="9062"/>
        </w:tabs>
        <w:spacing/>
        <w:ind/>
        <w:rPr/>
      </w:pPr>
      <w: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58</w:t>
          <w:fldChar w:fldCharType="end"/>
        </w:r>
      </w:hyperlink>
      <w:r/>
      <w:r/>
    </w:p>
    <w:p w14:paraId="4D51F47F">
      <w:pPr>
        <w:pStyle w:val="1827"/>
        <w:pBdr/>
        <w:tabs>
          <w:tab w:val="right" w:leader="dot" w:pos="9062"/>
        </w:tabs>
        <w:spacing/>
        <w:ind/>
        <w:rPr/>
      </w:pPr>
      <w: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58</w:t>
          <w:fldChar w:fldCharType="end"/>
        </w:r>
      </w:hyperlink>
      <w:r/>
      <w:r/>
    </w:p>
    <w:p w14:paraId="522F63DE">
      <w:pPr>
        <w:pStyle w:val="1827"/>
        <w:pBdr/>
        <w:tabs>
          <w:tab w:val="right" w:leader="dot" w:pos="9062"/>
        </w:tabs>
        <w:spacing/>
        <w:ind/>
        <w:rPr/>
      </w:pPr>
      <w: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59</w:t>
          <w:fldChar w:fldCharType="end"/>
        </w:r>
      </w:hyperlink>
      <w:r/>
      <w:r/>
    </w:p>
    <w:p w14:paraId="71FA35DD">
      <w:pPr>
        <w:pStyle w:val="1826"/>
        <w:pBdr/>
        <w:tabs>
          <w:tab w:val="right" w:leader="dot" w:pos="9062"/>
        </w:tabs>
        <w:spacing/>
        <w:ind/>
        <w:rPr/>
      </w:pPr>
      <w: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59</w:t>
          <w:fldChar w:fldCharType="end"/>
        </w:r>
      </w:hyperlink>
      <w:r/>
      <w:r/>
    </w:p>
    <w:p w14:paraId="754126AD">
      <w:pPr>
        <w:pStyle w:val="1827"/>
        <w:pBdr/>
        <w:tabs>
          <w:tab w:val="right" w:leader="dot" w:pos="9062"/>
        </w:tabs>
        <w:spacing/>
        <w:ind/>
        <w:rPr/>
      </w:pPr>
      <w: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59</w:t>
          <w:fldChar w:fldCharType="end"/>
        </w:r>
      </w:hyperlink>
      <w:r/>
      <w:r/>
    </w:p>
    <w:p w14:paraId="2E90FD54">
      <w:pPr>
        <w:pStyle w:val="1826"/>
        <w:pBdr/>
        <w:tabs>
          <w:tab w:val="right" w:leader="dot" w:pos="9062"/>
        </w:tabs>
        <w:spacing/>
        <w:ind/>
        <w:rPr/>
      </w:pPr>
      <w: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60</w:t>
          <w:fldChar w:fldCharType="end"/>
        </w:r>
      </w:hyperlink>
      <w:r/>
      <w:r/>
    </w:p>
    <w:p w14:paraId="49B2EA24">
      <w:pPr>
        <w:pStyle w:val="1827"/>
        <w:pBdr/>
        <w:tabs>
          <w:tab w:val="right" w:leader="dot" w:pos="9062"/>
        </w:tabs>
        <w:spacing/>
        <w:ind/>
        <w:rPr/>
      </w:pPr>
      <w: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60</w:t>
          <w:fldChar w:fldCharType="end"/>
        </w:r>
      </w:hyperlink>
      <w:r/>
      <w:r/>
    </w:p>
    <w:p w14:paraId="6849B51E">
      <w:pPr>
        <w:pStyle w:val="1827"/>
        <w:pBdr/>
        <w:tabs>
          <w:tab w:val="right" w:leader="dot" w:pos="9062"/>
        </w:tabs>
        <w:spacing/>
        <w:ind/>
        <w:rPr/>
      </w:pPr>
      <w: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60</w:t>
          <w:fldChar w:fldCharType="end"/>
        </w:r>
      </w:hyperlink>
      <w:r/>
      <w:r/>
    </w:p>
    <w:p w14:paraId="53B803E4">
      <w:pPr>
        <w:pStyle w:val="1826"/>
        <w:pBdr/>
        <w:tabs>
          <w:tab w:val="right" w:leader="dot" w:pos="9062"/>
        </w:tabs>
        <w:spacing/>
        <w:ind/>
        <w:rPr/>
      </w:pPr>
      <w: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61</w:t>
          <w:fldChar w:fldCharType="end"/>
        </w:r>
      </w:hyperlink>
      <w:r/>
      <w:r/>
    </w:p>
    <w:p w14:paraId="3DD5FB0C">
      <w:pPr>
        <w:pStyle w:val="1827"/>
        <w:pBdr/>
        <w:tabs>
          <w:tab w:val="right" w:leader="dot" w:pos="9062"/>
        </w:tabs>
        <w:spacing/>
        <w:ind/>
        <w:rPr/>
      </w:pPr>
      <w: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61</w:t>
          <w:fldChar w:fldCharType="end"/>
        </w:r>
      </w:hyperlink>
      <w:r/>
      <w:r/>
    </w:p>
    <w:p w14:paraId="1802D8EC">
      <w:pPr>
        <w:pStyle w:val="1827"/>
        <w:pBdr/>
        <w:tabs>
          <w:tab w:val="right" w:leader="dot" w:pos="9062"/>
        </w:tabs>
        <w:spacing/>
        <w:ind/>
        <w:rPr/>
      </w:pPr>
      <w: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64</w:t>
          <w:fldChar w:fldCharType="end"/>
        </w:r>
      </w:hyperlink>
      <w:r/>
      <w:r/>
    </w:p>
    <w:p w14:paraId="1B88267C">
      <w:pPr>
        <w:pStyle w:val="1827"/>
        <w:pBdr/>
        <w:tabs>
          <w:tab w:val="right" w:leader="dot" w:pos="9062"/>
        </w:tabs>
        <w:spacing/>
        <w:ind/>
        <w:rPr/>
      </w:pPr>
      <w: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65</w:t>
          <w:fldChar w:fldCharType="end"/>
        </w:r>
      </w:hyperlink>
      <w:r/>
      <w:r/>
    </w:p>
    <w:p w14:paraId="1410A72F">
      <w:pPr>
        <w:pStyle w:val="1827"/>
        <w:pBdr/>
        <w:tabs>
          <w:tab w:val="right" w:leader="dot" w:pos="9062"/>
        </w:tabs>
        <w:spacing/>
        <w:ind/>
        <w:rPr/>
      </w:pPr>
      <w: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67</w:t>
          <w:fldChar w:fldCharType="end"/>
        </w:r>
      </w:hyperlink>
      <w:r/>
      <w:r/>
    </w:p>
    <w:p w14:paraId="7F0CB3E1">
      <w:pPr>
        <w:pStyle w:val="1826"/>
        <w:pBdr/>
        <w:tabs>
          <w:tab w:val="right" w:leader="dot" w:pos="9062"/>
        </w:tabs>
        <w:spacing/>
        <w:ind/>
        <w:rPr/>
      </w:pPr>
      <w: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69</w:t>
          <w:fldChar w:fldCharType="end"/>
        </w:r>
      </w:hyperlink>
      <w:r/>
      <w:r/>
    </w:p>
    <w:p w14:paraId="109605F7">
      <w:pPr>
        <w:pStyle w:val="1825"/>
        <w:pBdr/>
        <w:tabs>
          <w:tab w:val="right" w:leader="dot" w:pos="9062"/>
        </w:tabs>
        <w:spacing/>
        <w:ind/>
        <w:rPr/>
      </w:pPr>
      <w: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72</w:t>
          <w:fldChar w:fldCharType="end"/>
        </w:r>
      </w:hyperlink>
      <w:r/>
      <w:r/>
    </w:p>
    <w:p w14:paraId="4DF3EF44">
      <w:pPr>
        <w:pStyle w:val="1826"/>
        <w:pBdr/>
        <w:tabs>
          <w:tab w:val="right" w:leader="dot" w:pos="9062"/>
        </w:tabs>
        <w:spacing/>
        <w:ind/>
        <w:rPr/>
      </w:pPr>
      <w: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72</w:t>
          <w:fldChar w:fldCharType="end"/>
        </w:r>
      </w:hyperlink>
      <w:r/>
      <w:r/>
    </w:p>
    <w:p w14:paraId="62A27F7F">
      <w:pPr>
        <w:pStyle w:val="1826"/>
        <w:pBdr/>
        <w:tabs>
          <w:tab w:val="right" w:leader="dot" w:pos="9062"/>
        </w:tabs>
        <w:spacing/>
        <w:ind/>
        <w:rPr/>
      </w:pPr>
      <w: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73</w:t>
          <w:fldChar w:fldCharType="end"/>
        </w:r>
      </w:hyperlink>
      <w:r/>
      <w:r/>
    </w:p>
    <w:p w14:paraId="10C0777F">
      <w:pPr>
        <w:pStyle w:val="1827"/>
        <w:pBdr/>
        <w:tabs>
          <w:tab w:val="right" w:leader="dot" w:pos="9062"/>
        </w:tabs>
        <w:spacing/>
        <w:ind/>
        <w:rPr/>
      </w:pPr>
      <w: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73</w:t>
          <w:fldChar w:fldCharType="end"/>
        </w:r>
      </w:hyperlink>
      <w:r/>
      <w:r/>
    </w:p>
    <w:p w14:paraId="73333102">
      <w:pPr>
        <w:pStyle w:val="1827"/>
        <w:pBdr/>
        <w:tabs>
          <w:tab w:val="right" w:leader="dot" w:pos="9062"/>
        </w:tabs>
        <w:spacing/>
        <w:ind/>
        <w:rPr/>
      </w:pPr>
      <w: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74</w:t>
          <w:fldChar w:fldCharType="end"/>
        </w:r>
      </w:hyperlink>
      <w:r/>
      <w:r/>
    </w:p>
    <w:p w14:paraId="50E58F66">
      <w:pPr>
        <w:pStyle w:val="1827"/>
        <w:pBdr/>
        <w:tabs>
          <w:tab w:val="right" w:leader="dot" w:pos="9062"/>
        </w:tabs>
        <w:spacing/>
        <w:ind/>
        <w:rPr/>
      </w:pPr>
      <w: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77</w:t>
          <w:fldChar w:fldCharType="end"/>
        </w:r>
      </w:hyperlink>
      <w:r/>
      <w:r/>
    </w:p>
    <w:p w14:paraId="10938866">
      <w:pPr>
        <w:pStyle w:val="1827"/>
        <w:pBdr/>
        <w:tabs>
          <w:tab w:val="right" w:leader="dot" w:pos="9062"/>
        </w:tabs>
        <w:spacing/>
        <w:ind/>
        <w:rPr/>
      </w:pPr>
      <w: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78</w:t>
          <w:fldChar w:fldCharType="end"/>
        </w:r>
      </w:hyperlink>
      <w:r/>
      <w:r/>
    </w:p>
    <w:p w14:paraId="2E06C6DC">
      <w:pPr>
        <w:pStyle w:val="1826"/>
        <w:pBdr/>
        <w:tabs>
          <w:tab w:val="right" w:leader="dot" w:pos="9062"/>
        </w:tabs>
        <w:spacing/>
        <w:ind/>
        <w:rPr/>
      </w:pPr>
      <w: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79</w:t>
          <w:fldChar w:fldCharType="end"/>
        </w:r>
      </w:hyperlink>
      <w:r/>
      <w:r/>
    </w:p>
    <w:p w14:paraId="4DBD79E6">
      <w:pPr>
        <w:pStyle w:val="1825"/>
        <w:pBdr/>
        <w:tabs>
          <w:tab w:val="right" w:leader="dot" w:pos="9062"/>
        </w:tabs>
        <w:spacing/>
        <w:ind/>
        <w:rPr/>
      </w:pPr>
      <w: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81</w:t>
          <w:fldChar w:fldCharType="end"/>
        </w:r>
      </w:hyperlink>
      <w:r/>
      <w:r/>
    </w:p>
    <w:p w14:paraId="6FC55518">
      <w:pPr>
        <w:pStyle w:val="1826"/>
        <w:pBdr/>
        <w:tabs>
          <w:tab w:val="right" w:leader="dot" w:pos="9062"/>
        </w:tabs>
        <w:spacing/>
        <w:ind/>
        <w:rPr/>
      </w:pPr>
      <w: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82</w:t>
          <w:fldChar w:fldCharType="end"/>
        </w:r>
      </w:hyperlink>
      <w:r/>
      <w:r/>
    </w:p>
    <w:p w14:paraId="5FE612FB">
      <w:pPr>
        <w:pStyle w:val="1826"/>
        <w:pBdr/>
        <w:tabs>
          <w:tab w:val="right" w:leader="dot" w:pos="9062"/>
        </w:tabs>
        <w:spacing/>
        <w:ind/>
        <w:rPr/>
      </w:pPr>
      <w: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83</w:t>
          <w:fldChar w:fldCharType="end"/>
        </w:r>
      </w:hyperlink>
      <w:r/>
      <w:r/>
    </w:p>
    <w:p w14:paraId="38E59011">
      <w:pPr>
        <w:pStyle w:val="1827"/>
        <w:pBdr/>
        <w:tabs>
          <w:tab w:val="right" w:leader="dot" w:pos="9062"/>
        </w:tabs>
        <w:spacing/>
        <w:ind/>
        <w:rPr/>
      </w:pPr>
      <w: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83</w:t>
          <w:fldChar w:fldCharType="end"/>
        </w:r>
      </w:hyperlink>
      <w:r/>
      <w:r/>
    </w:p>
    <w:p w14:paraId="1583FAE5">
      <w:pPr>
        <w:pStyle w:val="1827"/>
        <w:pBdr/>
        <w:tabs>
          <w:tab w:val="right" w:leader="dot" w:pos="9062"/>
        </w:tabs>
        <w:spacing/>
        <w:ind/>
        <w:rPr/>
      </w:pPr>
      <w: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84</w:t>
          <w:fldChar w:fldCharType="end"/>
        </w:r>
      </w:hyperlink>
      <w:r/>
      <w:r/>
    </w:p>
    <w:p w14:paraId="420057DE">
      <w:pPr>
        <w:pStyle w:val="1826"/>
        <w:pBdr/>
        <w:tabs>
          <w:tab w:val="right" w:leader="dot" w:pos="9062"/>
        </w:tabs>
        <w:spacing/>
        <w:ind/>
        <w:rPr/>
      </w:pPr>
      <w: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85</w:t>
          <w:fldChar w:fldCharType="end"/>
        </w:r>
      </w:hyperlink>
      <w:r/>
      <w:r/>
    </w:p>
    <w:p w14:paraId="14E95E86">
      <w:pPr>
        <w:pStyle w:val="1826"/>
        <w:pBdr/>
        <w:tabs>
          <w:tab w:val="right" w:leader="dot" w:pos="9062"/>
        </w:tabs>
        <w:spacing/>
        <w:ind/>
        <w:rPr/>
      </w:pPr>
      <w: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86</w:t>
          <w:fldChar w:fldCharType="end"/>
        </w:r>
      </w:hyperlink>
      <w:r/>
      <w:r/>
    </w:p>
    <w:p w14:paraId="64297865">
      <w:pPr>
        <w:pStyle w:val="1825"/>
        <w:pBdr/>
        <w:tabs>
          <w:tab w:val="right" w:leader="dot" w:pos="9062"/>
        </w:tabs>
        <w:spacing/>
        <w:ind/>
        <w:rPr/>
      </w:pPr>
      <w: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88</w:t>
          <w:fldChar w:fldCharType="end"/>
        </w:r>
      </w:hyperlink>
      <w:r/>
      <w:r/>
    </w:p>
    <w:p w14:paraId="6596D52A">
      <w:pPr>
        <w:pStyle w:val="1826"/>
        <w:pBdr/>
        <w:tabs>
          <w:tab w:val="right" w:leader="dot" w:pos="9062"/>
        </w:tabs>
        <w:spacing/>
        <w:ind/>
        <w:rPr/>
      </w:pPr>
      <w: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88</w:t>
          <w:fldChar w:fldCharType="end"/>
        </w:r>
      </w:hyperlink>
      <w:r/>
      <w:r/>
    </w:p>
    <w:p w14:paraId="4A77C497">
      <w:pPr>
        <w:pStyle w:val="1827"/>
        <w:pBdr/>
        <w:tabs>
          <w:tab w:val="right" w:leader="dot" w:pos="9062"/>
        </w:tabs>
        <w:spacing/>
        <w:ind/>
        <w:rPr/>
      </w:pPr>
      <w: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88</w:t>
          <w:fldChar w:fldCharType="end"/>
        </w:r>
      </w:hyperlink>
      <w:r/>
      <w:r/>
    </w:p>
    <w:p w14:paraId="7A030BAB">
      <w:pPr>
        <w:pStyle w:val="1827"/>
        <w:pBdr/>
        <w:tabs>
          <w:tab w:val="right" w:leader="dot" w:pos="9062"/>
        </w:tabs>
        <w:spacing/>
        <w:ind/>
        <w:rPr/>
      </w:pPr>
      <w: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88</w:t>
          <w:fldChar w:fldCharType="end"/>
        </w:r>
      </w:hyperlink>
      <w:r/>
      <w:r/>
    </w:p>
    <w:p w14:paraId="70015C80">
      <w:pPr>
        <w:pStyle w:val="1826"/>
        <w:pBdr/>
        <w:tabs>
          <w:tab w:val="right" w:leader="dot" w:pos="9062"/>
        </w:tabs>
        <w:spacing/>
        <w:ind/>
        <w:rPr/>
      </w:pPr>
      <w: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88</w:t>
          <w:fldChar w:fldCharType="end"/>
        </w:r>
      </w:hyperlink>
      <w:r/>
      <w:r/>
    </w:p>
    <w:p w14:paraId="2F9C3A4B">
      <w:pPr>
        <w:pStyle w:val="1826"/>
        <w:pBdr/>
        <w:tabs>
          <w:tab w:val="right" w:leader="dot" w:pos="9062"/>
        </w:tabs>
        <w:spacing/>
        <w:ind/>
        <w:rPr/>
      </w:pPr>
      <w: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88</w:t>
          <w:fldChar w:fldCharType="end"/>
        </w:r>
      </w:hyperlink>
      <w:r/>
      <w:r/>
    </w:p>
    <w:p w14:paraId="584A6E0F">
      <w:pPr>
        <w:pStyle w:val="1826"/>
        <w:pBdr/>
        <w:tabs>
          <w:tab w:val="right" w:leader="dot" w:pos="9062"/>
        </w:tabs>
        <w:spacing/>
        <w:ind/>
        <w:rPr/>
      </w:pPr>
      <w: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88</w:t>
          <w:fldChar w:fldCharType="end"/>
        </w:r>
      </w:hyperlink>
      <w:r/>
      <w:r/>
    </w:p>
    <w:p w14:paraId="471E4B61">
      <w:pPr>
        <w:pStyle w:val="1826"/>
        <w:pBdr/>
        <w:tabs>
          <w:tab w:val="right" w:leader="dot" w:pos="9062"/>
        </w:tabs>
        <w:spacing/>
        <w:ind/>
        <w:rPr/>
      </w:pPr>
      <w: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88</w:t>
          <w:fldChar w:fldCharType="end"/>
        </w:r>
      </w:hyperlink>
      <w:r/>
      <w:r/>
    </w:p>
    <w:p w14:paraId="06BA1533">
      <w:pPr>
        <w:pStyle w:val="1825"/>
        <w:pBdr/>
        <w:tabs>
          <w:tab w:val="right" w:leader="dot" w:pos="9062"/>
        </w:tabs>
        <w:spacing/>
        <w:ind/>
        <w:rPr/>
      </w:pPr>
      <w: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88</w:t>
          <w:fldChar w:fldCharType="end"/>
        </w:r>
      </w:hyperlink>
      <w:r/>
      <w:r/>
    </w:p>
    <w:p w14:paraId="66C2C74E">
      <w:pPr>
        <w:pStyle w:val="1825"/>
        <w:pBdr/>
        <w:tabs>
          <w:tab w:val="right" w:leader="dot" w:pos="9062"/>
        </w:tabs>
        <w:spacing/>
        <w:ind/>
        <w:rPr/>
      </w:pPr>
      <w: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92</w:t>
          <w:fldChar w:fldCharType="end"/>
        </w:r>
      </w:hyperlink>
      <w:r/>
      <w:r/>
    </w:p>
    <w:p w14:paraId="226C2284">
      <w:pPr>
        <w:pStyle w:val="1825"/>
        <w:pBdr/>
        <w:tabs>
          <w:tab w:val="right" w:leader="dot" w:pos="9062"/>
        </w:tabs>
        <w:spacing/>
        <w:ind/>
        <w:rPr/>
      </w:pPr>
      <w: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95</w:t>
          <w:fldChar w:fldCharType="end"/>
        </w:r>
      </w:hyperlink>
      <w:r/>
      <w:r/>
    </w:p>
    <w:p w14:paraId="0C12D791">
      <w:pPr>
        <w:pStyle w:val="1825"/>
        <w:pBdr/>
        <w:tabs>
          <w:tab w:val="right" w:leader="dot" w:pos="9062"/>
        </w:tabs>
        <w:spacing/>
        <w:ind/>
        <w:rPr/>
      </w:pPr>
      <w: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96</w:t>
          <w:fldChar w:fldCharType="end"/>
        </w:r>
      </w:hyperlink>
      <w:r/>
      <w:r/>
    </w:p>
    <w:p w14:paraId="1B37EA6A">
      <w:pPr>
        <w:pStyle w:val="1825"/>
        <w:pBdr/>
        <w:tabs>
          <w:tab w:val="right" w:leader="dot" w:pos="9062"/>
        </w:tabs>
        <w:spacing/>
        <w:ind/>
        <w:rPr/>
      </w:pPr>
      <w: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97</w:t>
          <w:fldChar w:fldCharType="end"/>
        </w:r>
      </w:hyperlink>
      <w:r/>
      <w:r/>
    </w:p>
    <w:p w14:paraId="56348882">
      <w:pPr>
        <w:pStyle w:val="1825"/>
        <w:pBdr/>
        <w:tabs>
          <w:tab w:val="right" w:leader="dot" w:pos="9062"/>
        </w:tabs>
        <w:spacing/>
        <w:ind/>
        <w:rPr/>
      </w:pPr>
      <w: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98</w:t>
          <w:fldChar w:fldCharType="end"/>
        </w:r>
      </w:hyperlink>
      <w:r/>
      <w:r/>
    </w:p>
    <w:p w14:paraId="3BA6B4ED">
      <w:pPr>
        <w:pStyle w:val="1825"/>
        <w:pBdr/>
        <w:tabs>
          <w:tab w:val="right" w:leader="dot" w:pos="9062"/>
        </w:tabs>
        <w:spacing/>
        <w:ind/>
        <w:rPr/>
      </w:pPr>
      <w: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98</w:t>
          <w:fldChar w:fldCharType="end"/>
        </w:r>
      </w:hyperlink>
      <w:r/>
      <w:r/>
    </w:p>
    <w:p w14:paraId="59AF7068">
      <w:pPr>
        <w:pStyle w:val="1825"/>
        <w:pBdr/>
        <w:tabs>
          <w:tab w:val="right" w:leader="dot" w:pos="9062"/>
        </w:tabs>
        <w:spacing/>
        <w:ind/>
        <w:rPr/>
      </w:pPr>
      <w: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99</w:t>
          <w:fldChar w:fldCharType="end"/>
        </w:r>
      </w:hyperlink>
      <w:r/>
      <w:r/>
    </w:p>
    <w:p w14:paraId="77DBB42B">
      <w:pPr>
        <w:pStyle w:val="1825"/>
        <w:pBdr/>
        <w:tabs>
          <w:tab w:val="right" w:leader="dot" w:pos="9062"/>
        </w:tabs>
        <w:spacing/>
        <w:ind/>
        <w:rPr/>
      </w:pPr>
      <w: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100</w:t>
          <w:fldChar w:fldCharType="end"/>
        </w:r>
      </w:hyperlink>
      <w:r/>
      <w:r/>
    </w:p>
    <w:p w14:paraId="6CA40F85">
      <w:pPr>
        <w:pStyle w:val="1825"/>
        <w:pBdr/>
        <w:tabs>
          <w:tab w:val="right" w:leader="dot" w:pos="9062"/>
        </w:tabs>
        <w:spacing/>
        <w:ind/>
        <w:rPr/>
      </w:pPr>
      <w: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101</w:t>
          <w:fldChar w:fldCharType="end"/>
        </w:r>
      </w:hyperlink>
      <w:r/>
      <w:r/>
    </w:p>
    <w:p w14:paraId="3B004274">
      <w:pPr>
        <w:pStyle w:val="1825"/>
        <w:pBdr/>
        <w:tabs>
          <w:tab w:val="right" w:leader="dot" w:pos="9062"/>
        </w:tabs>
        <w:spacing/>
        <w:ind/>
        <w:rPr/>
      </w:pPr>
      <w: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101</w:t>
          <w:fldChar w:fldCharType="end"/>
        </w:r>
      </w:hyperlink>
      <w:r/>
      <w:r/>
    </w:p>
    <w:p w14:paraId="4D2C6413">
      <w:pPr>
        <w:pStyle w:val="1825"/>
        <w:pBdr/>
        <w:tabs>
          <w:tab w:val="right" w:leader="dot" w:pos="9062"/>
        </w:tabs>
        <w:spacing/>
        <w:ind/>
        <w:rPr/>
      </w:pPr>
      <w: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101</w:t>
          <w:fldChar w:fldCharType="end"/>
        </w:r>
      </w:hyperlink>
      <w:r/>
      <w:r/>
    </w:p>
    <w:p w14:paraId="7868301C">
      <w:pPr>
        <w:pStyle w:val="1825"/>
        <w:pBdr/>
        <w:tabs>
          <w:tab w:val="right" w:leader="dot" w:pos="9062"/>
        </w:tabs>
        <w:spacing/>
        <w:ind/>
        <w:rPr/>
      </w:pPr>
      <w: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101</w:t>
          <w:fldChar w:fldCharType="end"/>
        </w:r>
      </w:hyperlink>
      <w:r/>
      <w:r/>
    </w:p>
    <w:p w14:paraId="74380A82">
      <w:pPr>
        <w:pStyle w:val="1825"/>
        <w:pBdr/>
        <w:tabs>
          <w:tab w:val="right" w:leader="dot" w:pos="9062"/>
        </w:tabs>
        <w:spacing/>
        <w:ind/>
        <w:rPr/>
      </w:pPr>
      <w: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101</w:t>
          <w:fldChar w:fldCharType="end"/>
        </w:r>
      </w:hyperlink>
      <w:r/>
      <w:r/>
    </w:p>
    <w:p w14:paraId="05E20F97">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p>
    <w:p w14:paraId="14ED7A11" w14:textId="77777777">
      <w:pPr>
        <w:pStyle w:val="1635"/>
        <w:pBdr/>
        <w:spacing/>
        <w:ind/>
        <w:rPr/>
      </w:pPr>
      <w:r>
        <w:t xml:space="preserve">1 INTRODUÇÃO</w:t>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w:t>
      </w:r>
      <w:r>
        <w:t xml:space="preserve">de</w:t>
      </w:r>
      <w:r>
        <w:t xml:space="preserv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w:t>
      </w:r>
      <w:r>
        <w:rPr>
          <w:i/>
        </w:rPr>
        <w:t xml:space="preserve"> </w:t>
      </w:r>
      <w:r>
        <w:rPr>
          <w:i/>
        </w:rPr>
        <w:t xml:space="preserve">Modeling</w:t>
      </w:r>
      <w:r>
        <w:rPr>
          <w:i/>
        </w:rPr>
        <w:t xml:space="preserve"> </w:t>
      </w:r>
      <w:r>
        <w:rPr>
          <w:i/>
        </w:rPr>
        <w:t xml:space="preserve">Language</w:t>
      </w:r>
      <w:r>
        <w:rPr>
          <w:i/>
        </w:rPr>
        <w:t xml:space="preserve"> </w:t>
      </w:r>
      <w:r>
        <w:t xml:space="preserve">– UML) e arquitetura de software orientada a objetos. Os materiais utilizados consistem </w:t>
      </w:r>
      <w:r>
        <w:t xml:space="preserve">de</w:t>
      </w:r>
      <w:r>
        <w:t xml:space="preserv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t xml:space="preserve">2 REVISÃO BIBLIOGRÁFICA</w:t>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t xml:space="preserve">2.1 CIDADES INTELIGENTES E RESILIENTES </w:t>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w:t>
      </w:r>
      <w:r>
        <w:rPr>
          <w:i/>
          <w:iCs/>
        </w:rPr>
        <w:t xml:space="preserve"> </w:t>
      </w:r>
      <w:r>
        <w:rPr>
          <w:i/>
          <w:iCs/>
        </w:rPr>
        <w:t xml:space="preserve">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t xml:space="preserve">2.1.1 Fundamentos de Cidade Resiliente</w:t>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t xml:space="preserve">2.1.2 Zeladoria Pública e Gestão de Serviços</w:t>
      </w:r>
      <w:r/>
    </w:p>
    <w:p w14:paraId="66923925" w14:textId="77777777">
      <w:pPr>
        <w:pBdr>
          <w:top w:val="none" w:color="000000" w:sz="4" w:space="0"/>
          <w:left w:val="none" w:color="000000" w:sz="4" w:space="0"/>
          <w:bottom w:val="none" w:color="000000" w:sz="4" w:space="0"/>
          <w:right w:val="none" w:color="000000" w:sz="4" w:space="0"/>
        </w:pBdr>
        <w:spacing/>
        <w:ind/>
        <w:rPr/>
      </w:pPr>
      <w:r>
        <w:t xml:space="preserve">A</w:t>
      </w:r>
      <w:r>
        <w:t xml:space="preserve"> zeladoria pública refere-se ao conjunto de serviços de manutenção básica necessários para garantir a funcionalidade e o bem-estar no espaço urbano. Isso inclui serviços como pavimentação, iluminação pública, limpeza e drenagem pluvial. Segundo Bernardi e </w:t>
      </w:r>
      <w:r>
        <w:t xml:space="preserve">Brudeki</w:t>
      </w:r>
      <w:r>
        <w:t xml:space="preserve">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t xml:space="preserve">2.1.3 Participação Cidadã por meio de Sistemas de Informação Automatizados</w:t>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w:t>
      </w:r>
      <w:r>
        <w:t xml:space="preserve">Segundo </w:t>
      </w:r>
      <w:r>
        <w:t xml:space="preserve">Sommerville</w:t>
      </w:r>
      <w:r>
        <w:t xml:space="preserv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w:t>
      </w:r>
      <w:r>
        <w:rPr>
          <w:i/>
        </w:rPr>
        <w:t xml:space="preserve"> </w:t>
      </w:r>
      <w:r>
        <w:rPr>
          <w:i/>
        </w:rPr>
        <w:t xml:space="preserve">State</w:t>
      </w:r>
      <w:r>
        <w:rPr>
          <w:i/>
        </w:rPr>
        <w:t xml:space="preserve"> </w:t>
      </w:r>
      <w:r>
        <w:rPr>
          <w:i/>
        </w:rPr>
        <w:t xml:space="preserve">Transfer</w:t>
      </w:r>
      <w:r>
        <w:t xml:space="preserve"> (REST) permite a construção de sistemas de software distribuídos escaláveis, sendo amplamente utilizado em aplicativos para a plataforma </w:t>
      </w:r>
      <w:r>
        <w:rPr>
          <w:i/>
        </w:rPr>
        <w:t xml:space="preserve">World </w:t>
      </w:r>
      <w:r>
        <w:rPr>
          <w:i/>
        </w:rPr>
        <w:t xml:space="preserve">Wide</w:t>
      </w:r>
      <w:r>
        <w:rPr>
          <w:i/>
        </w:rPr>
        <w:t xml:space="preserv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w:t>
      </w:r>
      <w:r>
        <w:rPr>
          <w:i/>
        </w:rPr>
        <w:t xml:space="preserve">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rPr>
          <w:caps w:val="0"/>
        </w:rPr>
        <w:t xml:space="preserve">2.2 TRABALHOS RELACIONADOS</w:t>
      </w:r>
      <w:r/>
    </w:p>
    <w:p w14:paraId="3F04F297" w14:textId="77777777">
      <w:pPr>
        <w:pBdr/>
        <w:spacing/>
        <w:ind/>
        <w:rPr/>
      </w:pPr>
      <w:r>
        <w:t xml:space="preserve">Diversas iniciativas já foram desenvolvidas com o objetivo de aproximar a população dos órgãos públicos por meio das TICs. Entre elas, destaca-se a plataforma </w:t>
      </w:r>
      <w:r>
        <w:t xml:space="preserve">Colab</w:t>
      </w:r>
      <w:r>
        <w:t xml:space="preserve">, um aplicativo brasileiro que permite aos cidadãos reportar problemas urbanos, como buracos em vias públicas, iluminação defeituosa e descarte irregular de lixo. Segundo Pires (2019), o </w:t>
      </w:r>
      <w:r>
        <w:t xml:space="preserve">Colab</w:t>
      </w:r>
      <w:r>
        <w:t xml:space="preserve">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w:t>
      </w:r>
      <w:r>
        <w:t xml:space="preserve">Colab</w:t>
      </w:r>
      <w:r>
        <w:t xml:space="preserve">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w:t>
      </w:r>
      <w:r>
        <w:t xml:space="preserve">Colab</w:t>
      </w:r>
      <w:r>
        <w:t xml:space="preserve">.</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t xml:space="preserve">FIGURA </w:t>
      </w:r>
      <w:r>
        <w:fldChar w:fldCharType="begin"/>
      </w:r>
      <w:r>
        <w:instrText xml:space="preserve">SEQ FIGURA \* Arabic </w:instrText>
      </w:r>
      <w:r>
        <w:fldChar w:fldCharType="separate"/>
      </w:r>
      <w:r>
        <w:t xml:space="preserve">1</w:t>
      </w:r>
      <w:r>
        <w:fldChar w:fldCharType="end"/>
      </w:r>
      <w:r>
        <w:t xml:space="preserve"> – Interface de consulta do aplicativo </w:t>
      </w:r>
      <w:r>
        <w:t xml:space="preserve">Colab</w:t>
      </w:r>
      <w:r/>
    </w:p>
    <w:p w14:paraId="0F8DE17C" w14:textId="77777777">
      <w:pPr>
        <w:pBdr/>
        <w:spacing/>
        <w:ind/>
        <w:jc w:val="left"/>
        <w:rPr>
          <w:sz w:val="20"/>
          <w:szCs w:val="18"/>
        </w:rPr>
      </w:pPr>
      <w:r>
        <w:rPr>
          <w:sz w:val="20"/>
          <w:szCs w:val="18"/>
        </w:rPr>
        <w:t xml:space="preserve">Fonte: </w:t>
      </w:r>
      <w:r>
        <w:rPr>
          <w:sz w:val="20"/>
          <w:szCs w:val="18"/>
        </w:rPr>
        <w:t xml:space="preserve">Colab</w:t>
      </w:r>
      <w:r>
        <w:rPr>
          <w:sz w:val="20"/>
          <w:szCs w:val="18"/>
        </w:rPr>
        <w:t xml:space="preserve">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t xml:space="preserve">FIGURA </w:t>
      </w:r>
      <w:r>
        <w:fldChar w:fldCharType="begin"/>
      </w:r>
      <w:r>
        <w:instrText xml:space="preserve">SEQ FIGURA \* Arabic </w:instrText>
      </w:r>
      <w:r>
        <w:fldChar w:fldCharType="separate"/>
      </w:r>
      <w:r>
        <w:t xml:space="preserve">2</w:t>
      </w:r>
      <w:r>
        <w:fldChar w:fldCharType="end"/>
      </w:r>
      <w:r>
        <w:t xml:space="preserve"> - Interface de</w:t>
      </w:r>
      <w:r>
        <w:rPr>
          <w:i/>
        </w:rPr>
        <w:t xml:space="preserve"> feed</w:t>
      </w:r>
      <w:r>
        <w:t xml:space="preserve"> do aplicativo </w:t>
      </w:r>
      <w:r>
        <w:t xml:space="preserve">Colab</w:t>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w:t>
      </w:r>
      <w:r>
        <w:rPr>
          <w:sz w:val="20"/>
          <w:szCs w:val="18"/>
        </w:rPr>
        <w:t xml:space="preserve">Colab</w:t>
      </w:r>
      <w:r>
        <w:rPr>
          <w:sz w:val="20"/>
          <w:szCs w:val="18"/>
        </w:rPr>
        <w:t xml:space="preserve">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t>
      </w:r>
      <w:r>
        <w:rPr>
          <w:color w:val="000000"/>
        </w:rPr>
        <w:t xml:space="preserve">WebNets</w:t>
      </w:r>
      <w:r>
        <w:rPr>
          <w:color w:val="000000"/>
        </w:rPr>
        <w:t xml:space="preserve">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t xml:space="preserve">FIGURA </w:t>
      </w:r>
      <w:r>
        <w:fldChar w:fldCharType="begin"/>
      </w:r>
      <w:r>
        <w:instrText xml:space="preserve">SEQ FIGURA \* Arabic </w:instrText>
      </w:r>
      <w:r>
        <w:fldChar w:fldCharType="separate"/>
      </w:r>
      <w:r>
        <w:t xml:space="preserve">3</w:t>
      </w:r>
      <w:r>
        <w:fldChar w:fldCharType="end"/>
      </w:r>
      <w:r>
        <w:t xml:space="preserve"> - Seleção da unidade da federação na plataforma e-Ouve </w:t>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t xml:space="preserve">FIGURA </w:t>
      </w:r>
      <w:r>
        <w:fldChar w:fldCharType="begin"/>
      </w:r>
      <w:r>
        <w:instrText xml:space="preserve">SEQ FIGURA \* Arabic </w:instrText>
      </w:r>
      <w:r>
        <w:fldChar w:fldCharType="separate"/>
      </w:r>
      <w:r>
        <w:t xml:space="preserve">4</w:t>
      </w:r>
      <w:r>
        <w:fldChar w:fldCharType="end"/>
      </w:r>
      <w:r>
        <w:t xml:space="preserve"> - Seleção de serviços na plataforma e-Ouve</w:t>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w:t>
      </w:r>
      <w:r>
        <w:rPr>
          <w:i/>
        </w:rPr>
        <w:t xml:space="preserve">government</w:t>
      </w:r>
      <w:r>
        <w:t xml:space="preserve">) reforçam a importância da digitalização dos serviços públicos. Conforme </w:t>
      </w:r>
      <w:r>
        <w:t xml:space="preserve">Heeks</w:t>
      </w:r>
      <w:r>
        <w:t xml:space="preserve">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Bdr/>
        <w:spacing/>
        <w:ind/>
        <w:rPr/>
      </w:pPr>
      <w:r>
        <w:t xml:space="preserve">3 OBJETIVO DO PROJETO</w:t>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t xml:space="preserve">3.1 FORMULAÇÃO DO PROBLEMA</w:t>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t xml:space="preserve">3.2 OBJETIVOS </w:t>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t xml:space="preserve">3.3 JUSTIFICATIVA </w:t>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t xml:space="preserve">3.4 NÍVEIS DE DECISÃO E GRUPOS FUNCIONAIS ATENDIDOS</w:t>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w:t>
      </w:r>
      <w:r>
        <w:t xml:space="preserve">públicas  baseadas</w:t>
      </w:r>
      <w:r>
        <w:t xml:space="preserve">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t xml:space="preserve">3.5 ADERÊNCIA AOS OBJETIVOS DO DESENVOLVIMENTO SUSTENTÁVEL (ODS)</w:t>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t xml:space="preserve">3.6 MODELO DE NEGÓCIO PROPOSTO</w:t>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t xml:space="preserve">4 MÉTODOS GERENCIAIS</w:t>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t xml:space="preserve">4.1 GERENCIAMENTO DO PROJETO</w:t>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w:t>
      </w:r>
      <w:r>
        <w:rPr>
          <w:color w:val="000000"/>
        </w:rPr>
        <w:t xml:space="preserve">Sommerville</w:t>
      </w:r>
      <w:r>
        <w:rPr>
          <w:color w:val="000000"/>
        </w:rPr>
        <w:t xml:space="preserv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w:t>
      </w:r>
      <w:r>
        <w:rPr>
          <w:i/>
          <w:color w:val="000000"/>
        </w:rPr>
        <w:t xml:space="preserve">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w:t>
      </w:r>
      <w:r>
        <w:rPr>
          <w:color w:val="000000"/>
        </w:rPr>
        <w:t xml:space="preserve">finida de acordo com a complexidade das funcionalidades planejadas. O processo compreende eventos com etapas rígidas de planejamento, execução, revisão e retrospectiva, permitindo a identificação precoce de falhas e a implementação de melhorias contínuas (</w:t>
      </w:r>
      <w:r>
        <w:rPr>
          <w:color w:val="000000"/>
        </w:rPr>
        <w:t xml:space="preserve">Schwaber</w:t>
      </w:r>
      <w:r>
        <w:rPr>
          <w:color w:val="000000"/>
        </w:rPr>
        <w:t xml:space="preserve">;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w:t>
      </w:r>
      <w:r>
        <w:rPr>
          <w:color w:val="000000"/>
        </w:rPr>
        <w:t xml:space="preserve">o do WhatsApp da equipe, onde cada membro compartilha o que foi realizado, o que será feito e eventuais impedimentos. O Sprint Planning é realizado presencialmente no início de cada ciclo, com a seleção e estimativa das histórias de usuário priorizadas no </w:t>
      </w:r>
      <w:r>
        <w:rPr>
          <w:color w:val="000000"/>
        </w:rPr>
        <w:t xml:space="preserve">Product</w:t>
      </w:r>
      <w:r>
        <w:rPr>
          <w:color w:val="000000"/>
        </w:rPr>
        <w:t xml:space="preserve"> Backlog. A Sprint Review acontece ao final de cada sprint, com a demonstração das funcionalidades concluídas à orientadora do projeto, possibilitando validações e ajustes de escopo. Por fim, a Sprint </w:t>
      </w:r>
      <w:r>
        <w:rPr>
          <w:color w:val="000000"/>
        </w:rPr>
        <w:t xml:space="preserve">Retrospective</w:t>
      </w:r>
      <w:r>
        <w:rPr>
          <w:color w:val="000000"/>
        </w:rPr>
        <w:t xml:space="preserve"> ocorre imediatamente após a Review, com foco na identificação de melhorias no processo de trabalho da equipe para o próximo ciclo. O versionamento de código e documentação é gerenciado pelo </w:t>
      </w:r>
      <w:r>
        <w:rPr>
          <w:color w:val="000000"/>
        </w:rPr>
        <w:t xml:space="preserve">Git</w:t>
      </w:r>
      <w:r>
        <w:rPr>
          <w:color w:val="000000"/>
        </w:rPr>
        <w:t xml:space="preserve">,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w:t>
      </w:r>
      <w:r>
        <w:rPr>
          <w:color w:val="000000"/>
        </w:rPr>
        <w:t xml:space="preserve">Fiorrigi</w:t>
      </w:r>
      <w:r>
        <w:rPr>
          <w:color w:val="000000"/>
        </w:rPr>
        <w:t xml:space="preserve"> Furlan, Miguel Martins Lima e Rodrigo Pereira Romano), a o</w:t>
      </w:r>
      <w:r>
        <w:rPr>
          <w:color w:val="000000"/>
        </w:rPr>
        <w:t xml:space="preserve">rientadora (Prof.ª Isabela Carvalho Motta), os objetivos, stakeholders, principais entregas, cronograma macro e riscos identificados. O Business Case fundamenta a viabilidade da iniciativa, apresentando o problema central — a ausência de um canal digital e</w:t>
      </w:r>
      <w:r>
        <w:rPr>
          <w:color w:val="000000"/>
        </w:rPr>
        <w:t xml:space="preserve">ficiente de comunicação entre cidadãos e prefeitura — e comparando alternativas (atendimento presencial, uso de redes sociais e plataforma digital), justificando a escolha pela plataforma digital como a solução mais escalável e eficaz. Ambos os documentos </w:t>
      </w:r>
      <w:r>
        <w:rPr>
          <w:color w:val="000000"/>
        </w:rPr>
        <w:t xml:space="preserve">encontram-se</w:t>
      </w:r>
      <w:r>
        <w:rPr>
          <w:color w:val="000000"/>
        </w:rPr>
        <w:t xml:space="preserv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w:t>
      </w:r>
      <w:r>
        <w:rPr>
          <w:i/>
          <w:color w:val="000000"/>
        </w:rPr>
        <w:t xml:space="preserve">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color w:val="000000"/>
        </w:rPr>
        <w:t xml:space="preserve">Product</w:t>
      </w:r>
      <w:r>
        <w:rPr>
          <w:color w:val="000000"/>
        </w:rPr>
        <w:t xml:space="preserve">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t xml:space="preserve">4.2 MODELO DE CICLO DE VIDA </w:t>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w:t>
      </w:r>
      <w:r>
        <w:t xml:space="preserve">das ao longo do desenvolvimento.  Neste projeto, as funcionalidades principais, como o cadastro de usuários, o registro de notificações de ocorrências e o painel administrativo, serão implementadas em etapas, garantindo maior controle de qualidade sobre o </w:t>
      </w:r>
      <w:r>
        <w:t xml:space="preserve">produto final</w:t>
      </w:r>
      <w:r>
        <w:t xml:space="preserve">.</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w:t>
      </w:r>
      <w:r>
        <w:t xml:space="preserve">Sommerville</w:t>
      </w:r>
      <w:r>
        <w:t xml:space="preserv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t xml:space="preserve">4.3 RECURSOS NECESSÁRIOS</w:t>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t xml:space="preserve">4.3.1 Recursos Humanos</w:t>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w:t>
      </w:r>
      <w:r>
        <w:t xml:space="preserve">arquitetura  do</w:t>
      </w:r>
      <w:r>
        <w:t xml:space="preserve"> código-fonte do </w:t>
      </w:r>
      <w:r>
        <w:rPr>
          <w:i/>
          <w:iCs/>
        </w:rPr>
        <w:t xml:space="preserve">back-end</w:t>
      </w:r>
      <w:r>
        <w:t xml:space="preserve">, programação do código-fonte de </w:t>
      </w:r>
      <w:r>
        <w:rPr>
          <w:i/>
          <w:iCs/>
        </w:rPr>
        <w:t xml:space="preserve">front-</w:t>
      </w:r>
      <w:r>
        <w:rPr>
          <w:i/>
          <w:iCs/>
        </w:rPr>
        <w:t xml:space="preserve">end</w:t>
      </w:r>
      <w:r>
        <w:rPr>
          <w:i/>
          <w:iCs/>
        </w:rPr>
        <w:t xml:space="preserve"> </w:t>
      </w:r>
      <w:r>
        <w:t xml:space="preserve"> e</w:t>
      </w:r>
      <w:r>
        <w:t xml:space="preserv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w:t>
      </w:r>
      <w:r>
        <w:rPr>
          <w:i/>
        </w:rPr>
        <w:t xml:space="preserve">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w:t>
      </w:r>
      <w:r>
        <w:rPr>
          <w:i/>
          <w:iCs/>
          <w:szCs w:val="24"/>
          <w:highlight w:val="white"/>
        </w:rPr>
        <w:t xml:space="preserve"> </w:t>
      </w:r>
      <w:r>
        <w:rPr>
          <w:i/>
          <w:iCs/>
          <w:szCs w:val="24"/>
          <w:highlight w:val="white"/>
        </w:rPr>
        <w:t xml:space="preserve">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t xml:space="preserve">4.3.2 Recursos de Hardware</w:t>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w:t>
      </w:r>
      <w:r>
        <w:rPr>
          <w:i/>
        </w:rPr>
        <w:t xml:space="preserve"> Web App </w:t>
      </w:r>
      <w:r>
        <w:t xml:space="preserve">(PWA).</w:t>
      </w:r>
      <w:r/>
    </w:p>
    <w:p w14:paraId="436F197C" w14:textId="77777777">
      <w:pPr>
        <w:pBdr/>
        <w:spacing/>
        <w:ind/>
        <w:jc w:val="left"/>
        <w:rPr/>
      </w:pPr>
      <w:r/>
      <w:r/>
    </w:p>
    <w:p w14:paraId="183192CD" w14:textId="77777777">
      <w:pPr>
        <w:pStyle w:val="1637"/>
        <w:pBdr/>
        <w:spacing/>
        <w:ind/>
        <w:rPr/>
      </w:pPr>
      <w:r>
        <w:t xml:space="preserve">4.3.3 Recursos de Software</w:t>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w:t>
      </w:r>
      <w:r>
        <w:t xml:space="preserve">Code</w:t>
      </w:r>
      <w:r>
        <w:t xml:space="preserve">, na versão 1.115.0, e o </w:t>
      </w:r>
      <w:r>
        <w:t xml:space="preserve">dBeaver</w:t>
      </w:r>
      <w:r>
        <w:t xml:space="preserve">,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w:t>
      </w:r>
      <w:r>
        <w:t xml:space="preserve">RESTful</w:t>
      </w:r>
      <w:r>
        <w:t xml:space="preserve">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w:t>
      </w:r>
      <w:r>
        <w:t xml:space="preserve">pgAdmin</w:t>
      </w:r>
      <w:r>
        <w:t xml:space="preserve">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w:t>
      </w:r>
      <w:r>
        <w:t xml:space="preserve"> realizadas por meio do software </w:t>
      </w:r>
      <w:r>
        <w:t xml:space="preserve">Ideas</w:t>
      </w:r>
      <w:r>
        <w:t xml:space="preserve"> </w:t>
      </w:r>
      <w:r>
        <w:t xml:space="preserve">Modeler</w:t>
      </w:r>
      <w:r>
        <w:t xml:space="preserve">,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w:t>
      </w:r>
      <w:r>
        <w:rPr>
          <w:highlight w:val="white"/>
        </w:rPr>
        <w:t xml:space="preserve">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w:t>
      </w:r>
      <w:r>
        <w:t xml:space="preserve">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w:t>
      </w:r>
      <w:r>
        <w:t xml:space="preserve">Amazon</w:t>
      </w:r>
      <w:r>
        <w:t xml:space="preserve"> Web Services (AWS), plataforma de computação em nuvem que oferecerá escalabilidade, alta disponibilidade e segurança gerenciada. Os serviços previstos incluem o </w:t>
      </w:r>
      <w:r>
        <w:t xml:space="preserve">Amazon</w:t>
      </w:r>
      <w:r>
        <w:t xml:space="preserve"> EC2 para hospedagem das instâncias do servidor de aplicação, o </w:t>
      </w:r>
      <w:r>
        <w:t xml:space="preserve">Amazon</w:t>
      </w:r>
      <w:r>
        <w:t xml:space="preserve"> RDS para o gerenciamento do banco de dados PostgreSQL com backups automáticos, o </w:t>
      </w:r>
      <w:r>
        <w:t xml:space="preserve">Amazon</w:t>
      </w:r>
      <w:r>
        <w:t xml:space="preserve"> S3 para armazenamento de imagens e arquivos anexos às ocorrências, e o AWS IAM para controle de identidade e acessos. A infraestrutura AWS também proverá certificados SSL/TLS via AWS Certificate Manager e proteção </w:t>
      </w:r>
      <w:r>
        <w:t xml:space="preserve">contra ataques</w:t>
      </w:r>
      <w:r>
        <w:t xml:space="preserve"> via AWS Shield, garantindo a conformidade com os requisitos de segurança definidos nos </w:t>
      </w:r>
      <w:r>
        <w:t xml:space="preserve">RNFs</w:t>
      </w:r>
      <w:r>
        <w:t xml:space="preserve"> do projeto.</w:t>
      </w:r>
      <w:r/>
    </w:p>
    <w:p w14:paraId="2CDDB808" w14:textId="77777777">
      <w:pPr>
        <w:pStyle w:val="1637"/>
        <w:pBdr/>
        <w:spacing/>
        <w:ind/>
        <w:rPr/>
      </w:pPr>
      <w:r>
        <w:t xml:space="preserve">4.3.4 Outros Recursos</w:t>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w:t>
      </w:r>
      <w:r>
        <w:t xml:space="preserve">Faitec</w:t>
      </w:r>
      <w:r>
        <w:t xml:space="preserve">),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t xml:space="preserve">4.4 RELATÓRIO DE DESEMPENHO </w:t>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w:t>
      </w:r>
      <w:r>
        <w:rPr>
          <w:i/>
        </w:rPr>
        <w:t xml:space="preserve">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w:t>
      </w:r>
      <w:r>
        <w:rPr>
          <w:i/>
        </w:rPr>
        <w:t xml:space="preserve">end</w:t>
      </w:r>
      <w:r>
        <w:t xml:space="preserve"> e</w:t>
      </w:r>
      <w:r>
        <w:rPr>
          <w:i/>
        </w:rPr>
        <w:t xml:space="preserve"> </w:t>
      </w:r>
      <w:r>
        <w:rPr>
          <w:i/>
        </w:rPr>
        <w:t xml:space="preserve">back-end</w:t>
      </w:r>
      <w:r>
        <w:rPr>
          <w:i/>
        </w:rPr>
        <w:t xml:space="preserve">,</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196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t xml:space="preserve">4.5 GERENCIAMENTO DE CONFIGURAÇÃO</w:t>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t xml:space="preserve">4.5.1 Papéis e Responsabilidades</w:t>
      </w:r>
      <w:r>
        <w:tab/>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w:t>
      </w:r>
      <w:r>
        <w:rPr>
          <w:i/>
          <w:iCs/>
        </w:rPr>
        <w:t xml:space="preserve">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w:t>
      </w:r>
      <w:r>
        <w:rPr>
          <w:i/>
          <w:iCs/>
        </w:rPr>
        <w:t xml:space="preserve"> </w:t>
      </w:r>
      <w:r>
        <w:rPr>
          <w:i/>
          <w:iCs/>
        </w:rPr>
        <w:t xml:space="preserve">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t xml:space="preserve">4.5.2 Identificação e Versionamento de Artefatos</w:t>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 projeto adota as seguintes convenções: os diagramas UML são nomeados no padrão [</w:t>
      </w:r>
      <w:r>
        <w:t xml:space="preserve">Tipo_Diagrama</w:t>
      </w:r>
      <w:r>
        <w:t xml:space="preserve">]_[Subsistema]_</w:t>
      </w:r>
      <w:r>
        <w:t xml:space="preserve">FalaCidade</w:t>
      </w:r>
      <w:r>
        <w:t xml:space="preserve"> (ex.: </w:t>
      </w:r>
      <w:r>
        <w:t xml:space="preserve">DC_Autenticacao_FalaCidade</w:t>
      </w:r>
      <w:r>
        <w:t xml:space="preserve"> para diagrama de classes, </w:t>
      </w:r>
      <w:r>
        <w:t xml:space="preserve">DS_RegistroOcorrencia_FalaCidade</w:t>
      </w:r>
      <w:r>
        <w:t xml:space="preserve"> para diagrama de sequência); os artefatos do banco de dados seguem o padrão [Tipo]_[</w:t>
      </w:r>
      <w:r>
        <w:t xml:space="preserve">Versao</w:t>
      </w:r>
      <w:r>
        <w:t xml:space="preserve">]_</w:t>
      </w:r>
      <w:r>
        <w:t xml:space="preserve">FalaCidade</w:t>
      </w:r>
      <w:r>
        <w:t xml:space="preserve"> (ex.: DER_v2_FalaCidade); as pastas do repositório são nomeadas em letras minúsculas, sem espaços, utilizando hífen como separador (ex.: diagramas, </w:t>
      </w:r>
      <w:r>
        <w:t xml:space="preserve">documentacao</w:t>
      </w:r>
      <w:r>
        <w:t xml:space="preserve">, gerenciamento, </w:t>
      </w:r>
      <w:r>
        <w:t xml:space="preserve">codificacao</w:t>
      </w:r>
      <w:r>
        <w:t xml:space="preserve">); os </w:t>
      </w:r>
      <w:r>
        <w:t xml:space="preserve">branches</w:t>
      </w:r>
      <w:r>
        <w:t xml:space="preserve"> </w:t>
      </w:r>
      <w:r>
        <w:t xml:space="preserve">Git</w:t>
      </w:r>
      <w:r>
        <w:t xml:space="preserve"> seguem o padrão feature/[</w:t>
      </w:r>
      <w:r>
        <w:t xml:space="preserve">descricao</w:t>
      </w:r>
      <w:r>
        <w:t xml:space="preserve">] para novas funcionalidades, </w:t>
      </w:r>
      <w:r>
        <w:t xml:space="preserve">fix</w:t>
      </w:r>
      <w:r>
        <w:t xml:space="preserve">/[</w:t>
      </w:r>
      <w:r>
        <w:t xml:space="preserve">descricao</w:t>
      </w:r>
      <w:r>
        <w:t xml:space="preserve">] para correções e </w:t>
      </w:r>
      <w:r>
        <w:t xml:space="preserve">docs</w:t>
      </w:r>
      <w:r>
        <w:t xml:space="preserve">/[</w:t>
      </w:r>
      <w:r>
        <w:t xml:space="preserve">descricao</w:t>
      </w:r>
      <w:r>
        <w:t xml:space="preserve">] para atualizações de documentação.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t xml:space="preserve">4.5.3 Organização do Repositório e Ferramentas</w:t>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w:t>
      </w:r>
      <w:r>
        <w:t xml:space="preserve">: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w:t>
      </w:r>
      <w:r>
        <w:t xml:space="preserve">Git</w:t>
      </w:r>
      <w:r>
        <w:t xml:space="preserve">,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t xml:space="preserve">FIGURA </w:t>
      </w:r>
      <w:r>
        <w:fldChar w:fldCharType="begin"/>
      </w:r>
      <w:r>
        <w:instrText xml:space="preserve">SEQ FIGURA \* Arabic </w:instrText>
      </w:r>
      <w:r>
        <w:fldChar w:fldCharType="separate"/>
      </w:r>
      <w:r>
        <w:t xml:space="preserve">5</w:t>
      </w:r>
      <w:r>
        <w:fldChar w:fldCharType="end"/>
      </w:r>
      <w:r>
        <w:t xml:space="preserve"> - Estrutura do repositório remoto no GitHub</w:t>
      </w:r>
      <w:r/>
    </w:p>
    <w:p w14:paraId="24CBEE66" w14:textId="77777777">
      <w:pPr>
        <w:pBdr/>
        <w:spacing w:after="0" w:line="240" w:lineRule="auto"/>
        <w:ind/>
        <w:jc w:val="left"/>
        <w:rPr/>
      </w:pPr>
      <w:r>
        <w:br w:type="page" w:clear="all"/>
      </w:r>
      <w:r/>
    </w:p>
    <w:p w14:paraId="3E858629" w14:textId="77777777">
      <w:pPr>
        <w:pStyle w:val="1635"/>
        <w:pBdr/>
        <w:spacing/>
        <w:ind/>
        <w:rPr/>
      </w:pPr>
      <w:r>
        <w:t xml:space="preserve">5 ESPECIFICAÇÃO E ANÁLISE DOS REQUISITOS</w:t>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t xml:space="preserve">5.1 REQUISITOS DO SISTEMA DE SOFTWARE</w:t>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t xml:space="preserve">5.1.1 Requisitos Funcionais</w:t>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e-mail, senha, data de nascimento e o município de residência. </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w:t>
      </w:r>
      <w:r>
        <w:t xml:space="preserve"> uso por meio de um </w:t>
      </w:r>
      <w:r>
        <w:t xml:space="preserve">check</w:t>
      </w:r>
      <w:r>
        <w:t xml:space="preserve">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w:t>
      </w:r>
      <w:r>
        <w:t xml:space="preserve">conta, realizando a exclusão definitiva ou anonimização de seus dados pessoais em conformidade com a LGPD. Caso o usuário possua autenticação multifator (MFA) ativa, o sistema exigirá a confirmação por meio de um código válido antes de efetivar a exclusão.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que um usuário autenticado registre a ocorrência contendo: título, descrição detalhada, categoria, nível de prioridade, foto(s) anexa(s), </w:t>
      </w:r>
      <w:r>
        <w:t xml:space="preserve">endereço e localização precisa</w:t>
      </w:r>
      <w:r>
        <w:t xml:space="preserve">.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w:t>
      </w:r>
      <w:r>
        <w:t xml:space="preserve">a deverá solicitar autorização para capturar a localização atual via API de Geolocalização. Caso o usuário negue ou o recurso esteja indisponível, o sistema deverá exigir o preenchimento manual do endereço completo (logradouro, número, bairro e município).</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w:t>
      </w:r>
      <w:r>
        <w:t xml:space="preserve">ex</w:t>
      </w:r>
      <w:r>
        <w:t xml:space="preserve">: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w:t>
      </w:r>
      <w:r>
        <w:t xml:space="preserv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w:t>
      </w:r>
      <w:r>
        <w:t xml:space="preserve">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w:t>
      </w:r>
      <w:r>
        <w:rPr>
          <w:i/>
        </w:rPr>
        <w:t xml:space="preserve">Based</w:t>
      </w:r>
      <w:r>
        <w:rPr>
          <w:i/>
        </w:rPr>
        <w:t xml:space="preserve"> Access </w:t>
      </w:r>
      <w:r>
        <w:rPr>
          <w:i/>
        </w:rPr>
        <w:t xml:space="preserve">Control</w:t>
      </w:r>
      <w:r>
        <w:rPr>
          <w:i/>
        </w:rPr>
        <w:t xml:space="preserve">)</w:t>
      </w:r>
      <w:r>
        <w:t xml:space="preserve">, garantindo que as funcionalidades sejam restritas conforme o nível de autorização. </w:t>
      </w:r>
      <w:r/>
    </w:p>
    <w:p w14:paraId="443449CA" w14:textId="77777777">
      <w:pPr>
        <w:pBdr/>
        <w:spacing/>
        <w:ind/>
        <w:rPr/>
      </w:pPr>
      <w:r>
        <w:t xml:space="preserve">O sistema distinguirá três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sistema: acesso total, incluindo a criação de contas (e-mail/senha) para novos funcionários da prefeitura, gestão de usuários e extração de relatórios gerenciais e </w:t>
      </w:r>
      <w:r>
        <w:rPr>
          <w:i/>
        </w:rPr>
        <w:t xml:space="preserve">dashboard</w:t>
      </w:r>
      <w:r>
        <w:t xml:space="preserve">s.</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w:t>
      </w:r>
      <w:r>
        <w:t xml:space="preserve">o sistema deverá permitir qu</w:t>
      </w:r>
      <w: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que o perfil Administrador realize o cadastro de funcionários da administração municipal.</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w:t>
      </w:r>
      <w:r>
        <w:t xml:space="preserve">Claudinary</w:t>
      </w:r>
      <w:r>
        <w:t xml:space="preserve">)</w:t>
      </w:r>
      <w:r/>
    </w:p>
    <w:p w14:paraId="0EA6B624" w14:textId="77777777">
      <w:pPr>
        <w:pBdr/>
        <w:spacing/>
        <w:ind/>
        <w:rPr>
          <w:ins w:id="6" w:author="Rodrigo Romano" w:date="2026-06-19T00:00:00Z"/>
        </w:rPr>
      </w:pPr>
      <w:r>
        <w:t xml:space="preserve">Descrição: o sistema deverá aplicar automaticamente o desfoque (</w:t>
      </w:r>
      <w:r>
        <w:t xml:space="preserve">blur</w:t>
      </w:r>
      <w:r>
        <w:t xml:space="preserve">) em regiões das imagens que possam identificar pessoas, rostos ou placas de veículos, por meio da API </w:t>
      </w:r>
      <w:r>
        <w:t xml:space="preserve">Cloudinary</w:t>
      </w:r>
      <w:r>
        <w:t xml:space="preserve">,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deverá exibir as oc</w:t>
      </w:r>
      <w:r>
        <w:t xml:space="preserve">orrências registradas em um mapa geográfico interativo, utilizando a API do  OpenStreetMap, permitindo que administradores e funcionários visualizem a distribuição espacial dos problemas urbanos por bairro, categoria e status. O ciclo de vida da ocorrência</w:t>
      </w:r>
      <w:r>
        <w:t xml:space="preserve"> no mapa segue os seguintes estados: (1) Pendente — ocorrência recém-registrada, exibida em vermelho no mapa; (2) Em Andamento — ocorrência em atendimento pela secretaria responsável, exibida em amarelo; (3) Atendida — intervenção concluída, exibida em ver</w:t>
      </w:r>
      <w:r>
        <w:t xml:space="preserve">de; (4) Indeferida — ocorrência não atendida com justificativa, exibida em cinza. A transição entre estados é realizada pelos perfis Funcionário ou Administrador via painel administrativo (RF12), com atualização automática da representação gráfica no mapa.</w:t>
      </w:r>
      <w:ins w:id="9" w:author="Rodrigo Romano" w:date="2026-06-19T00:00:00Z">
        <w:r/>
      </w:ins>
    </w:p>
    <w:p w14:paraId="29480C8A" w14:textId="77777777">
      <w:pPr>
        <w:pBdr/>
        <w:spacing/>
        <w:ind/>
        <w:rPr/>
      </w:pPr>
      <w:r>
        <w:t xml:space="preserve">Prioridade: importante.</w:t>
      </w:r>
      <w:r/>
    </w:p>
    <w:p w14:paraId="4C15E5C5" w14:textId="77777777">
      <w:pPr>
        <w:pBdr/>
        <w:spacing/>
        <w:ind/>
        <w:rPr/>
      </w:pPr>
      <w:r/>
      <w:r/>
    </w:p>
    <w:p w14:paraId="7F1C9606" w14:textId="77777777">
      <w:pPr>
        <w:pStyle w:val="1637"/>
        <w:pBdr/>
        <w:spacing/>
        <w:ind/>
        <w:rPr/>
      </w:pPr>
      <w:r>
        <w:t xml:space="preserve">5.1.2 Requisitos </w:t>
      </w:r>
      <w:r>
        <w:t xml:space="preserve">não Funcionais</w:t>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w:t>
      </w:r>
      <w:r>
        <w:rPr>
          <w:color w:val="000000"/>
        </w:rPr>
        <w:t xml:space="preserve">Sommerville</w:t>
      </w:r>
      <w:r>
        <w:rPr>
          <w:color w:val="000000"/>
        </w:rPr>
        <w:t xml:space="preserv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w:t>
      </w:r>
      <w:r>
        <w:rPr>
          <w:i/>
        </w:rPr>
        <w:t xml:space="preserve">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w:t>
      </w:r>
      <w:r>
        <w:t xml:space="preserve">RESTful</w:t>
      </w:r>
      <w:r>
        <w:t xml:space="preserve">.</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w:t>
      </w:r>
      <w:r>
        <w:rPr>
          <w:i/>
          <w:iCs/>
        </w:rPr>
        <w:t xml:space="preserve">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w:t>
      </w:r>
      <w:r>
        <w:rPr>
          <w:i/>
        </w:rPr>
        <w:t xml:space="preserve">en</w:t>
      </w:r>
      <w:r>
        <w:t xml:space="preserve">d</w:t>
      </w:r>
      <w:r>
        <w:t xml:space="preserve">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w:t>
      </w:r>
      <w:r>
        <w:t xml:space="preserve">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w:t>
      </w:r>
      <w:r>
        <w:rPr>
          <w:i/>
          <w:color w:val="000000"/>
        </w:rPr>
        <w:t xml:space="preserve">the</w:t>
      </w:r>
      <w:r>
        <w:rPr>
          <w:i/>
          <w:color w:val="000000"/>
        </w:rPr>
        <w:t xml:space="preserv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w:t>
      </w:r>
      <w:r>
        <w:t xml:space="preserve">o: o sistema deverá integrar uma API de processamento de imagens para aplicar automaticamente técnicas de proteção visual (desfoque de regiões sensíveis como rostos e placas) nas imagens anexadas às ocorrências antes de seu armazenamento e exibição. A API </w:t>
      </w:r>
      <w:r>
        <w:t xml:space="preserve">Cloudinary</w:t>
      </w:r>
      <w:r>
        <w:t xml:space="preserve">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w:t>
      </w:r>
      <w:r>
        <w:rPr>
          <w:i/>
          <w:iCs/>
        </w:rPr>
        <w:t xml:space="preserve"> </w:t>
      </w:r>
      <w:r>
        <w:t xml:space="preserve">no </w:t>
      </w:r>
      <w:r>
        <w:rPr>
          <w:i/>
          <w:iCs/>
        </w:rPr>
        <w:t xml:space="preserve">backend</w:t>
      </w:r>
      <w:r>
        <w:rPr>
          <w:i/>
          <w:iCs/>
        </w:rPr>
        <w:t xml:space="preserve">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proteção durante o tráfego de dados entre o </w:t>
      </w:r>
      <w:r>
        <w:rPr>
          <w:i/>
          <w:iCs/>
        </w:rPr>
        <w:t xml:space="preserve">front-</w:t>
      </w:r>
      <w:r>
        <w:rPr>
          <w:i/>
          <w:iCs/>
        </w:rPr>
        <w:t xml:space="preserve">end</w:t>
      </w:r>
      <w:r>
        <w:t xml:space="preserve"> desenvolvido em Angular (versão 19) e o </w:t>
      </w:r>
      <w:r>
        <w:rPr>
          <w:i/>
        </w:rPr>
        <w:t xml:space="preserve">back-end</w:t>
      </w:r>
      <w:r>
        <w:rPr>
          <w:i/>
        </w:rPr>
        <w:t xml:space="preserve"> </w:t>
      </w:r>
      <w:r>
        <w:t xml:space="preserve">será garantida pelo uso mandatório de protocolos de comunicação criptografados sob o padrão TLS/SSL (HTTPS).</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t xml:space="preserve">5.1.3 Principais Regras de Negócio</w:t>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14:paraId="6785BEEA" w14:textId="77777777">
      <w:pPr>
        <w:pBdr/>
        <w:spacing/>
        <w:ind/>
        <w:rPr/>
      </w:pPr>
      <w:r>
        <w:t xml:space="preserve">Relacionado aos requisitos: RF01.</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w:t>
      </w:r>
      <w:r>
        <w:t xml:space="preserve">Ex</w:t>
      </w:r>
      <w:r>
        <w:t xml:space="preserve">: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 um novo registro, o sistema verificará se já existe uma ocorrência ativa da mesma categoria em um raio de 50 metros. Caso positivo, o sistema emitirá um alerta ao usuário, permitindo que ele apenas "reforce" o protocolo existente em vez de </w:t>
      </w:r>
      <w:r>
        <w:t xml:space="preserve">criar um novo</w:t>
      </w:r>
      <w:r>
        <w:t xml:space="preserve">. </w:t>
      </w:r>
      <w:r/>
    </w:p>
    <w:p w14:paraId="68DF7DC8" w14:textId="77777777">
      <w:pPr>
        <w:pBdr/>
        <w:spacing/>
        <w:ind/>
        <w:rPr>
          <w:color w:val="000000"/>
        </w:rPr>
      </w:pPr>
      <w:r>
        <w:t xml:space="preserve">Relacionado ao requisito: RF09, RF11 e RF16</w:t>
      </w:r>
      <w:r>
        <w:rPr>
          <w:color w:val="000000"/>
        </w:rPr>
        <w:t xml:space="preserve">.</w:t>
      </w:r>
      <w:r>
        <w:rPr>
          <w:color w:val="000000"/>
        </w:rPr>
      </w:r>
      <w:r>
        <w:rPr>
          <w:color w:val="000000"/>
        </w:rPr>
      </w:r>
    </w:p>
    <w:p w14:paraId="60E95FAF" w14:textId="77777777">
      <w:pPr>
        <w:pBdr/>
        <w:spacing/>
        <w:ind/>
        <w:rPr/>
      </w:pPr>
      <w:r/>
      <w:r/>
    </w:p>
    <w:p w14:paraId="7408AA57" w14:textId="77777777">
      <w:pPr>
        <w:pStyle w:val="1636"/>
        <w:pBdr/>
        <w:spacing/>
        <w:ind/>
        <w:rPr/>
      </w:pPr>
      <w:r>
        <w:t xml:space="preserve">5.2 ANÁLISE DOS REQUISITOS</w:t>
      </w:r>
      <w:r/>
    </w:p>
    <w:p w14:paraId="0B7BCFC8" w14:textId="77777777">
      <w:pPr>
        <w:pStyle w:val="1637"/>
        <w:pBdr/>
        <w:spacing/>
        <w:ind/>
        <w:rPr>
          <w:color w:val="00b050"/>
        </w:rPr>
      </w:pPr>
      <w:r>
        <w:t xml:space="preserve">5.2.1 Visão Funcional</w:t>
      </w:r>
      <w:r>
        <w:rPr>
          <w:color w:val="00b050"/>
        </w:rPr>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w:t>
      </w:r>
      <w:r>
        <w:t xml:space="preserve">cenários principal</w:t>
      </w:r>
      <w:r>
        <w:t xml:space="preserve"> e alternativos) encontram-se no Apêndice C.</w:t>
      </w:r>
      <w:r/>
    </w:p>
    <w:p w14:paraId="253B8964" w14:textId="77777777">
      <w:pPr>
        <w:pStyle w:val="1637"/>
        <w:pBdr/>
        <w:spacing/>
        <w:ind/>
        <w:rPr/>
      </w:pPr>
      <w:r/>
      <w:r/>
    </w:p>
    <w:p w14:paraId="7812923F" w14:textId="77777777">
      <w:pPr>
        <w:pStyle w:val="1637"/>
        <w:pBdr/>
        <w:spacing/>
        <w:ind/>
        <w:rPr/>
      </w:pPr>
      <w:r>
        <w:t xml:space="preserve">5.2.2 Modelo Conceitual dos Dados</w:t>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w:t>
      </w:r>
      <w:r>
        <w:rPr>
          <w:i/>
          <w:iCs/>
        </w:rPr>
        <w:t xml:space="preserve"> é </w:t>
      </w:r>
      <w:r>
        <w:rPr>
          <w:iCs/>
        </w:rPr>
        <w:t xml:space="preserve">uma </w:t>
      </w:r>
      <w:r>
        <w:t xml:space="preserve"> entidade</w:t>
      </w:r>
      <w:r>
        <w:t xml:space="preserv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w:t>
      </w:r>
      <w:r>
        <w:rPr>
          <w:i/>
          <w:iCs/>
        </w:rPr>
        <w:t xml:space="preserv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w:t>
      </w:r>
      <w:r>
        <w:rPr>
          <w:i/>
          <w:iCs/>
        </w:rPr>
        <w:t xml:space="preserv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w:t>
      </w:r>
      <w:r>
        <w:rPr>
          <w:i/>
          <w:iCs/>
        </w:rPr>
        <w:t xml:space="preserve"> </w:t>
      </w:r>
      <w:r>
        <w:t xml:space="preserve">para a definição automatizada da prioridade do atendimento e relaciona-se com </w:t>
      </w:r>
      <w:r>
        <w:rPr>
          <w:i/>
          <w:iCs/>
        </w:rPr>
        <w:t xml:space="preserve">Media</w:t>
      </w:r>
      <w:r>
        <w:rPr>
          <w:i/>
          <w:iCs/>
        </w:rPr>
        <w:t xml:space="preserve">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o modelo reflete o trâmite administrativo urbano por meio do relacionamento entre as entidades </w:t>
      </w:r>
      <w:r>
        <w:rPr>
          <w:i/>
          <w:iCs/>
          <w:color w:val="000000"/>
        </w:rPr>
        <w:t xml:space="preserve">Occurrence</w:t>
      </w:r>
      <w:r>
        <w:rPr>
          <w:i/>
          <w:iCs/>
          <w:color w:val="000000"/>
        </w:rPr>
        <w:t xml:space="preserve"> </w:t>
      </w:r>
      <w:r>
        <w:rPr>
          <w:color w:val="000000"/>
        </w:rPr>
        <w:t xml:space="preserve">e </w:t>
      </w:r>
      <w:r>
        <w:rPr>
          <w:i/>
          <w:iCs/>
          <w:color w:val="000000"/>
        </w:rPr>
        <w:t xml:space="preserve">Department</w:t>
      </w:r>
      <w:r>
        <w:rPr>
          <w:color w:val="000000"/>
        </w:rPr>
        <w:t xml:space="preserve">, assegurando o encaminhamento correto da demanda ao setor competente;</w:t>
      </w:r>
      <w:r>
        <w:rPr>
          <w:color w:val="000000"/>
        </w:rPr>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t xml:space="preserve">5.2.3 Modelo Inicial da Interface de Usuário</w:t>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w:t>
      </w:r>
      <w:r>
        <w:rPr>
          <w:i/>
        </w:rPr>
        <w:t xml:space="preserve"> Experience</w:t>
      </w:r>
      <w:r>
        <w:t xml:space="preserve"> (UX) e </w:t>
      </w:r>
      <w:r>
        <w:rPr>
          <w:i/>
        </w:rPr>
        <w:t xml:space="preserve">User</w:t>
      </w:r>
      <w:r>
        <w:rPr>
          <w:i/>
        </w:rPr>
        <w:t xml:space="preserve">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t xml:space="preserve">6 ARQUITETURA E PROJETO DO SISTEMA DE SOFTWARE</w:t>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t xml:space="preserve">6.1 VISÃO ESTRUTURAL</w:t>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t xml:space="preserve">6.1.1 Diagrama de Pacotes</w:t>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w:t>
      </w:r>
      <w:r>
        <w:rPr>
          <w:i/>
        </w:rPr>
        <w:t xml:space="preserve">Security</w:t>
      </w:r>
      <w:r>
        <w:rPr>
          <w:i/>
        </w:rPr>
        <w:t xml:space="preserve">:</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w:t>
      </w:r>
      <w:r>
        <w:t xml:space="preserve">ue contém as classes de transferência de dados utilizadas nas requisições e respostas da API REST, desacoplando a camada de persistência da camada de apresentação; e os serviços internos ao pacote Implementation, dedicados à autenticação (JWT), ao envio de</w:t>
      </w:r>
      <w:r>
        <w:t xml:space="preserve"> e-mails,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encontram-se no Apêndice F.</w:t>
      </w:r>
      <w:r>
        <w:rPr>
          <w:color w:val="000000"/>
        </w:rPr>
      </w:r>
      <w:r>
        <w:rPr>
          <w:color w:val="000000"/>
        </w:rPr>
      </w:r>
    </w:p>
    <w:p w14:paraId="3FA7BE81" w14:textId="77777777">
      <w:pPr>
        <w:pStyle w:val="1637"/>
        <w:pBdr/>
        <w:spacing/>
        <w:ind/>
        <w:rPr/>
      </w:pPr>
      <w:r>
        <w:t xml:space="preserve">6.1.2 Diagramas de Classes</w:t>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métodos e os relacionamentos de associação e herança entre os objetos. Destacam-se as classes de domínio como </w:t>
      </w:r>
      <w:r>
        <w:rPr>
          <w:i/>
          <w:color w:val="000000"/>
        </w:rPr>
        <w:t xml:space="preserve">Occurrence</w:t>
      </w:r>
      <w:r>
        <w:rPr>
          <w:rFonts w:eastAsia="Courier New"/>
          <w:i/>
          <w:color w:val="000000"/>
          <w:szCs w:val="24"/>
        </w:rPr>
        <w:t xml:space="preserve"> </w:t>
      </w:r>
      <w:r>
        <w:rPr>
          <w:color w:val="000000"/>
          <w:szCs w:val="24"/>
        </w:rPr>
        <w:t xml:space="preserve">(Ocorrência) e a hierarquia de </w:t>
      </w:r>
      <w:r>
        <w:rPr>
          <w:rFonts w:eastAsia="Courier New"/>
          <w:i/>
          <w:color w:val="000000"/>
          <w:szCs w:val="24"/>
        </w:rPr>
        <w:t xml:space="preserve">User</w:t>
      </w:r>
      <w:r>
        <w:rPr>
          <w:i/>
          <w:color w:val="000000"/>
        </w:rPr>
        <w:t xml:space="preserve"> </w:t>
      </w:r>
      <w:r>
        <w:rPr>
          <w:color w:val="000000"/>
        </w:rPr>
        <w:t xml:space="preserve">(Cidadão, Funcionário e Administrador).</w:t>
      </w:r>
      <w:r>
        <w:rPr>
          <w:color w:val="000000"/>
        </w:rPr>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encontram-se no Apêndice F.</w:t>
      </w:r>
      <w:r>
        <w:rPr>
          <w:color w:val="000000"/>
        </w:rPr>
      </w:r>
      <w:r>
        <w:rPr>
          <w:color w:val="000000"/>
        </w:rPr>
      </w:r>
    </w:p>
    <w:p w14:paraId="1621777B" w14:textId="77777777">
      <w:pPr>
        <w:pStyle w:val="1636"/>
        <w:pBdr/>
        <w:spacing/>
        <w:ind/>
        <w:rPr/>
      </w:pPr>
      <w:r>
        <w:t xml:space="preserve">6.2 VISÃO COMPORTAMENTAL</w:t>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t xml:space="preserve">6.2.1 Projeto das Interações entre Objetos</w:t>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w:t>
      </w:r>
      <w:r/>
    </w:p>
    <w:p w14:paraId="04D5B5A5" w14:textId="77777777">
      <w:pPr>
        <w:pStyle w:val="1636"/>
        <w:pBdr/>
        <w:spacing/>
        <w:ind/>
        <w:rPr/>
      </w:pPr>
      <w:r>
        <w:t xml:space="preserve">6.3 VISÃO DOS DADOS</w:t>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t xml:space="preserve">6.3.1 Modelo Lógico</w:t>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14:paraId="2A79A254" w14:textId="77777777">
      <w:pPr>
        <w:pBdr/>
        <w:spacing/>
        <w:ind/>
        <w:rPr/>
      </w:pPr>
      <w:r>
        <w:t xml:space="preserve">O modelo reflete a consolidação dos dados de perfil e localização diretamente na tabela base </w:t>
      </w:r>
      <w:r>
        <w:rPr>
          <w:i/>
          <w:iCs/>
        </w:rPr>
        <w:t xml:space="preserve">User</w:t>
      </w:r>
      <w:r>
        <w:t xml:space="preserve">. Esta tabela centraliza tanto as credenciais de autenticação quanto os dados do cidadão (como </w:t>
      </w:r>
      <w:r>
        <w:rPr>
          <w:i/>
          <w:iCs/>
        </w:rPr>
        <w:t xml:space="preserve">address</w:t>
      </w:r>
      <w:r>
        <w:t xml:space="preserve">, </w:t>
      </w:r>
      <w:r>
        <w:rPr>
          <w:i/>
          <w:iCs/>
        </w:rPr>
        <w:t xml:space="preserve">neighborhood</w:t>
      </w:r>
      <w:r>
        <w:rPr>
          <w:i/>
          <w:iCs/>
        </w:rPr>
        <w:t xml:space="preserve"> </w:t>
      </w:r>
      <w:r>
        <w:t xml:space="preserve">e CEP), além de incluir o atributo discriminador </w:t>
      </w:r>
      <w:r>
        <w:rPr>
          <w:i/>
        </w:rPr>
        <w:t xml:space="preserve">role</w:t>
      </w:r>
      <w:r>
        <w:t xml:space="preserve"> (do tipo VARCHAR, tamanho 20), responsável por definir o nível de acesso do registro entre os perfis </w:t>
      </w:r>
      <w:r>
        <w:rPr>
          <w:i/>
          <w:iCs/>
        </w:rPr>
        <w:t xml:space="preserve">ADMINISTRATOR</w:t>
      </w:r>
      <w:r>
        <w:t xml:space="preserve">, </w:t>
      </w:r>
      <w:r>
        <w:rPr>
          <w:i/>
          <w:iCs/>
        </w:rPr>
        <w:t xml:space="preserve">EMPLOYEE </w:t>
      </w:r>
      <w:r>
        <w:t xml:space="preserve">ou </w:t>
      </w:r>
      <w:r>
        <w:rPr>
          <w:i/>
          <w:iCs/>
        </w:rPr>
        <w:t xml:space="preserve">CITIZEN</w:t>
      </w:r>
      <w:r>
        <w:t xml:space="preserve">. A partir dessa centralização, o modelo mostra o mapeamento das tabelas operacionais cruciais para as regras de negócio, sendo elas a </w:t>
      </w:r>
      <w:r>
        <w:rPr>
          <w:i/>
          <w:iCs/>
        </w:rPr>
        <w:t xml:space="preserve">Occurrence</w:t>
      </w:r>
      <w:r>
        <w:t xml:space="preserve"> e </w:t>
      </w:r>
      <w:r>
        <w:rPr>
          <w:i/>
        </w:rPr>
        <w:t xml:space="preserve">Occurrence</w:t>
      </w:r>
      <w:r>
        <w:rPr>
          <w:i/>
          <w:iCs/>
        </w:rPr>
        <w:t xml:space="preserve">_History</w:t>
      </w:r>
      <w:r>
        <w:t xml:space="preserve"> (responsável pelo armazenamento incremental e rastreabilidade de mudanças de status) e a </w:t>
      </w:r>
      <w:r>
        <w:rPr>
          <w:i/>
        </w:rPr>
        <w:t xml:space="preserve">Occurrence</w:t>
      </w:r>
      <w:r>
        <w:rPr>
          <w:i/>
          <w:iCs/>
        </w:rPr>
        <w:t xml:space="preserve">_Support</w:t>
      </w:r>
      <w:r>
        <w:rPr>
          <w:i/>
          <w:iCs/>
        </w:rPr>
        <w:t xml:space="preserve"> </w:t>
      </w:r>
      <w:r>
        <w:t xml:space="preserve">(tabela associativa que gerencia o relacionamento de muitos-para-muitos para o mecanismo de reforço comunitário de ocorrências). </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t xml:space="preserve">6.3.2 Dicionário de Dados do Modelo Lógico</w:t>
      </w:r>
      <w:r/>
    </w:p>
    <w:p w14:paraId="2FAB73DC" w14:textId="77777777">
      <w:pPr>
        <w:pBdr/>
        <w:spacing/>
        <w:ind/>
        <w:rPr/>
      </w:pPr>
      <w:r>
        <w:t xml:space="preserve">O dicionário de dados complementa o modelo lógico, fornecendo a descrição técnica de cada campo, incluindo tipos de dados (</w:t>
      </w:r>
      <w:r>
        <w:t xml:space="preserve">ex</w:t>
      </w:r>
      <w:r>
        <w:t xml:space="preserve">: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t xml:space="preserve">(</w:t>
      </w:r>
      <w:r>
        <w:rPr>
          <w:i/>
          <w:iCs/>
        </w:rPr>
        <w:t xml:space="preserve">Not</w:t>
      </w:r>
      <w:r>
        <w:rPr>
          <w:i/>
          <w:iCs/>
        </w:rPr>
        <w:t xml:space="preserve"> </w:t>
      </w:r>
      <w:r>
        <w:rPr>
          <w:i/>
          <w:iCs/>
        </w:rPr>
        <w:t xml:space="preserve">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t xml:space="preserve">6.4 PROJETO DA INTERAÇÃO HUMANO-COMPUTADOR</w:t>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t xml:space="preserve">6.4.1 Perfil de Usuário</w:t>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w:t>
      </w:r>
      <w:r>
        <w:rPr>
          <w:bCs/>
          <w:highlight w:val="white"/>
        </w:rPr>
        <w:t xml:space="preserve">Perfil Administrador</w:t>
      </w:r>
      <w:r>
        <w:rPr>
          <w:highlight w:val="white"/>
        </w:rPr>
        <w:t xml:space="preserve">: gestores públicos e responsáveis pela prefeitura. Focam na análise macro estratégica através de </w:t>
      </w:r>
      <w:r>
        <w:rPr>
          <w:i/>
          <w:highlight w:val="white"/>
        </w:rPr>
        <w:t xml:space="preserve">dashboards</w:t>
      </w:r>
      <w:r>
        <w:rPr>
          <w:highlight w:val="white"/>
        </w:rPr>
        <w:t xml:space="preserve"> e relatórios gerenciais para a tomada de decisão baseada em dados e alocação de recursos. </w:t>
      </w:r>
      <w:r>
        <w:t xml:space="preserve">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63A61CB4" w14:textId="77777777">
      <w:pPr>
        <w:pBdr/>
        <w:spacing/>
        <w:ind/>
        <w:rPr>
          <w:highlight w:val="yellow"/>
        </w:rPr>
      </w:pPr>
      <w:r>
        <w:t xml:space="preserve">A seguir são apresentados alguns gráficos retirados de uma pesquisa feita no período de 10 de </w:t>
      </w:r>
      <w:r>
        <w:t xml:space="preserve">Maio</w:t>
      </w:r>
      <w:r>
        <w:t xml:space="preserve"> de 2026 a 20 de </w:t>
      </w:r>
      <w:r>
        <w:t xml:space="preserve">Maio</w:t>
      </w:r>
      <w:r>
        <w:t xml:space="preserve"> de 2026 e encaminhada via o formulário do Google </w:t>
      </w:r>
      <w:r>
        <w:t xml:space="preserve">Forms</w:t>
      </w:r>
      <w:r>
        <w:t xml:space="preserve"> para as pessoas com faixa etária entre 20 e 35 anos.   </w:t>
      </w:r>
      <w:r>
        <w:rPr>
          <w:highlight w:val="yellow"/>
        </w:rPr>
      </w:r>
      <w:r>
        <w:rPr>
          <w:highlight w:val="yellow"/>
        </w:rPr>
      </w:r>
    </w:p>
    <w:p w14:paraId="76A80CF0" w14:textId="77777777">
      <w:pPr>
        <w:pBdr/>
        <w:spacing/>
        <w:ind/>
        <w:rPr>
          <w:szCs w:val="24"/>
        </w:rPr>
      </w:pPr>
      <w:r>
        <w:rPr>
          <w:bCs/>
          <w:szCs w:val="24"/>
        </w:rPr>
        <w:t xml:space="preserve">O gráfico da Figura 6</w:t>
      </w:r>
      <w:r>
        <w:rPr>
          <w:b/>
          <w:bCs/>
          <w:szCs w:val="24"/>
        </w:rPr>
        <w:t xml:space="preserve"> </w:t>
      </w:r>
      <w:r>
        <w:rPr>
          <w:szCs w:val="24"/>
        </w:rPr>
        <w:t xml:space="preserve">demonstra que a maior parte dos participantes da pesquisa (57,1%) se </w:t>
      </w:r>
      <w:r>
        <w:rPr>
          <w:szCs w:val="24"/>
        </w:rPr>
        <w:t xml:space="preserve">identifica como "Cidadão". Isso é bastante positivo, pois representa o usuário final principal do sistema. Além disso, a soma das categorias "Servidor público" (28,6%) e "Gestor público" (14,3%) revela que 42,9% dos respondentes estão diretamente ligados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t xml:space="preserve">FIGURA </w:t>
      </w:r>
      <w:r>
        <w:fldChar w:fldCharType="begin"/>
      </w:r>
      <w:r>
        <w:instrText xml:space="preserve">SEQ FIGURA \* Arabic </w:instrText>
      </w:r>
      <w:r>
        <w:fldChar w:fldCharType="separate"/>
      </w:r>
      <w:r>
        <w:t xml:space="preserve">6</w:t>
      </w:r>
      <w:r>
        <w:fldChar w:fldCharType="end"/>
      </w:r>
      <w:r>
        <w:t xml:space="preserve"> </w:t>
      </w:r>
      <w:r>
        <w:t xml:space="preserve">-  Perfil</w:t>
      </w:r>
      <w:r>
        <w:t xml:space="preserve"> de usuário do respondente</w:t>
      </w:r>
      <w:r/>
    </w:p>
    <w:p w14:paraId="640C84BA" w14:textId="77777777">
      <w:pPr>
        <w:pBdr/>
        <w:spacing/>
        <w:ind/>
        <w:rPr/>
      </w:pPr>
      <w:r/>
      <w:r/>
    </w:p>
    <w:p w14:paraId="4F4CC948" w14:textId="77777777">
      <w:pPr>
        <w:pBdr/>
        <w:spacing/>
        <w:ind/>
        <w:rPr>
          <w:szCs w:val="24"/>
        </w:rPr>
      </w:pPr>
      <w:r>
        <w:rPr>
          <w:bCs/>
          <w:szCs w:val="24"/>
        </w:rPr>
        <w:t xml:space="preserve">O gráfico da Figura 7 mostra que a</w:t>
      </w:r>
      <w:r>
        <w:rPr>
          <w:szCs w:val="24"/>
        </w:rPr>
        <w:t xml:space="preserve"> maioria dos respondentes (71,4%) nunca utilizou um sistema focado no registro de problemas urbanos. Esse dado é fundamental para justificar o projeto, </w:t>
      </w:r>
      <w:r>
        <w:rPr>
          <w:szCs w:val="24"/>
        </w:rPr>
        <w:t xml:space="preserve">pois evidencia uma clara lacuna na comunicação digital entre a população e os órgãos públicos. O alto índice de respostas negativas </w:t>
      </w:r>
      <w:r>
        <w:rPr>
          <w:szCs w:val="24"/>
        </w:rPr>
        <w:t xml:space="preserve">valida</w:t>
      </w:r>
      <w:r>
        <w:rPr>
          <w:szCs w:val="24"/>
        </w:rPr>
        <w:t xml:space="preserve"> a necessidade, a relevância e o potencial de adoção de um sistema acessível e eficiente para facilitar o engajamento cívico.</w:t>
      </w:r>
      <w:r>
        <w:rPr>
          <w:szCs w:val="24"/>
        </w:rPr>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t xml:space="preserve">FIGURA </w:t>
      </w:r>
      <w:r>
        <w:fldChar w:fldCharType="begin"/>
      </w:r>
      <w:r>
        <w:instrText xml:space="preserve">SEQ FIGURA \* Arabic </w:instrText>
      </w:r>
      <w:r>
        <w:fldChar w:fldCharType="separate"/>
      </w:r>
      <w:r>
        <w:t xml:space="preserve">7</w:t>
      </w:r>
      <w:r>
        <w:fldChar w:fldCharType="end"/>
      </w:r>
      <w:r>
        <w:t xml:space="preserve"> </w:t>
      </w:r>
      <w:r>
        <w:t xml:space="preserve">–  Experiência</w:t>
      </w:r>
      <w:r>
        <w:t xml:space="preserve"> com aplicativos para registro de problemas da cidade</w:t>
      </w:r>
      <w:r/>
    </w:p>
    <w:p w14:paraId="130C15B1" w14:textId="77777777">
      <w:pPr>
        <w:pBdr/>
        <w:spacing/>
        <w:ind/>
        <w:rPr/>
      </w:pPr>
      <w:r/>
      <w:r/>
    </w:p>
    <w:p w14:paraId="51A8D47B" w14:textId="77777777">
      <w:pPr>
        <w:pBdr/>
        <w:spacing/>
        <w:ind/>
        <w:rPr>
          <w:szCs w:val="24"/>
        </w:rPr>
      </w:pPr>
      <w:r>
        <w:rPr>
          <w:sz w:val="20"/>
          <w:szCs w:val="20"/>
        </w:rPr>
        <w:t xml:space="preserve"> </w:t>
      </w:r>
      <w:r>
        <w:rPr>
          <w:bCs/>
          <w:szCs w:val="24"/>
        </w:rPr>
        <w:t xml:space="preserve">O gráfico da Figura 8 mostra </w:t>
      </w:r>
      <w:r>
        <w:rPr>
          <w:szCs w:val="24"/>
        </w:rPr>
        <w:t xml:space="preserve">que um sistema como o “Fala, Cidade!” é positivo, pois cerca de 100% dos respondentes afirmaram que utilizariam um aplicativo voltado para o registro de ocorrências em seu município. Esta unanimidade comprova a alta aceitação deste tipo de pr</w:t>
      </w:r>
      <w:r>
        <w:rPr>
          <w:szCs w:val="24"/>
        </w:rPr>
        <w:t xml:space="preserve">ojeto e confirma que a iniciativa não apenas resolve um problema de comunicação existente, mas que há um engajamento real e uma disposição total do público de interesse em adotar ativamente a tecnologia para colaborar com as melhorias e a gestão municipal.</w:t>
      </w:r>
      <w:r>
        <w:rPr>
          <w:szCs w:val="24"/>
        </w:rPr>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8</w:t>
      </w:r>
      <w:r>
        <w:fldChar w:fldCharType="end"/>
      </w:r>
      <w:r>
        <w:t xml:space="preserve"> – Possibilidade de uso de um aplicativo para registrar ocorrências da cidade.</w:t>
      </w:r>
      <w:r/>
    </w:p>
    <w:p w14:paraId="6A5FA874" w14:textId="77777777">
      <w:pPr>
        <w:pBdr/>
        <w:spacing/>
        <w:ind/>
        <w:rPr/>
      </w:pPr>
      <w:r/>
      <w:r/>
    </w:p>
    <w:p w14:paraId="72CE512A" w14:textId="77777777">
      <w:pPr>
        <w:pBdr/>
        <w:spacing/>
        <w:ind/>
        <w:rPr/>
      </w:pPr>
      <w:r>
        <w:t xml:space="preserve">A pesquisa completa e os dados obtidos estão disponíveis no Apêndice G.</w:t>
      </w:r>
      <w:r/>
    </w:p>
    <w:p>
      <w:pPr>
        <w:pStyle w:val="1637"/>
        <w:pBdr/>
        <w:spacing/>
        <w:ind/>
        <w:rPr/>
      </w:pPr>
      <w:r>
        <w:t xml:space="preserve">6.4.2 Projeto da Interface de Usuário</w:t>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t xml:space="preserve">6.4.3 Heurísticas de Usabilidade</w:t>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r/>
    </w:p>
    <w:p>
      <w:pPr>
        <w:pStyle w:val="1637"/>
        <w:pBdr/>
        <w:spacing/>
        <w:ind/>
        <w:rPr/>
      </w:pPr>
      <w:r>
        <w:t xml:space="preserve">6.4.4 Projeto da Acessibilidade</w:t>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t xml:space="preserve">6.5 PROJETO DO SISTEMA DISTRIBUÍDO</w:t>
      </w:r>
      <w:r/>
    </w:p>
    <w:p>
      <w:pPr>
        <w:pBdr/>
        <w:spacing/>
        <w:ind/>
        <w:rPr/>
      </w:pPr>
      <w:r>
        <w:t xml:space="preserve">Segundo Coulouris et al. (2013), um sistema distribuído é aquele no qual</w:t>
      </w:r>
      <w:r>
        <w:t xml:space="preserve"> componentes situados em computadores interligados em rede se comunicam e coordenam suas ações exclusivamente por meio da troca de mensagens. O sistema “Fala, Cidade!” enquadra-se nessa definição: seus componentes executam em máquinas distintas, comunicam-</w:t>
      </w:r>
      <w:r>
        <w:t xml:space="preserve">se por protocolos de aplicação sobre a rede e não compartilham memória nem relógio comum. Esta seção descreve a arquitetura de distribuição adotada, e o detalhamento completo, incluindo o diagrama de distribuição dos componentes, encontra-se no Apêndice I.</w:t>
      </w:r>
      <w:r/>
    </w:p>
    <w:p>
      <w:pPr>
        <w:pBdr/>
        <w:spacing/>
        <w:ind/>
        <w:rPr/>
      </w:pPr>
      <w:r>
        <w:t xml:space="preserve">a) Modelo arquitetural: adotou-se o modelo cliente-servidor em três camadas físicas. A camada de apresentação é constituída pel</w:t>
      </w:r>
      <w:r>
        <w:t xml:space="preserve">o aplicativo Web progressivo executado no navegador do usuário; a camada de aplicação, pelo servidor da interface de programação de aplicações desenvolvido em Java com o framework Spring Boot; e a camada de dados, pelo sistema gerenciador de banco de dados</w:t>
      </w:r>
      <w:r>
        <w:t xml:space="preserve"> PostgreSQL. A separação entre as camadas é estrita: o navegador não estabelece conexão direta com o banco de dados, e todo acesso a dados é intermediado pela camada de aplicação, que concentra a validação das regras de negócio e o controle de autorização.</w:t>
      </w:r>
      <w:r/>
    </w:p>
    <w:p>
      <w:pPr>
        <w:pBdr/>
        <w:spacing/>
        <w:ind/>
        <w:rPr/>
      </w:pPr>
      <w:r>
        <w:t xml:space="preserve">b) Comunicação entre processos: a comunicação entre a camada de apresentação e a camada de aplicação segue o estilo</w:t>
      </w:r>
      <w:r>
        <w:t xml:space="preserve"> arquitetural Representational State Transfer sobre o protocolo HTTP, conforme proposto por Fielding (2000), com representação dos recursos no formato JavaScript Object Notation. O modelo de invocação é síncrono do tipo requisição-resposta, e os recursos s</w:t>
      </w:r>
      <w:r>
        <w:t xml:space="preserve">ão identificados por localizadores uniformes que refletem a hierarquia do domínio, a exemplo de /api/occurrence/{id}/history. A comunicação com o banco de dados ocorre pelo protocolo nativo do PostgreSQL, por meio do controlador Java Database Connectivity.</w:t>
      </w:r>
      <w:r/>
    </w:p>
    <w:p>
      <w:pPr>
        <w:pBdr/>
        <w:spacing/>
        <w:ind/>
        <w:rPr/>
      </w:pPr>
      <w:r>
        <w:t xml:space="preserve">c) Ausência de estado no servidor: o servidor de aplicação opera sem manutenção de sessão. A identidade e o perfil do usuário trafegam em um JSON Web Token assinado, transmitido no cabeçalho de autorização de cada requisi</w:t>
      </w:r>
      <w:r>
        <w:t xml:space="preserve">ção e validado por um filtro interceptador antes do processamento. Essa decisão elimina a necessidade de afinidade de sessão e permite o escalonamento horizontal da camada de aplicação pela simples replicação de instâncias atrás de um balanceador de carga.</w:t>
      </w:r>
      <w:r/>
    </w:p>
    <w:p>
      <w:pPr>
        <w:pBdr/>
        <w:spacing/>
        <w:ind/>
        <w:rPr/>
      </w:pPr>
      <w:r>
        <w:t xml:space="preserve">d) Serviços externos e acoplamento: o sistema integra-se a três serviços de terceiros, cada um isolado atrás de uma interface própria na camada</w:t>
      </w:r>
      <w:r>
        <w:t xml:space="preserve"> de aplicação. O serviço Cloudinary é responsável pelo armazenamento e pelo tratamento de privacidade das mídias; os serviços OpenStreetMap e Nominatim fornecem, respectivamente, a base cartográfica consumida diretamente pelo navegador e a geocodificação d</w:t>
      </w:r>
      <w:r>
        <w:t xml:space="preserve">e endereços; e o servidor de correio eletrônico, acessado pelo protocolo SMTP com segurança de transporte, encarrega-se das notificações. O isolamento por interface permite a substituição de qualquer um desses provedores sem alteração da lógica de negócio.</w:t>
      </w:r>
      <w:r/>
    </w:p>
    <w:p>
      <w:pPr>
        <w:pBdr/>
        <w:spacing/>
        <w:ind/>
        <w:rPr/>
      </w:pPr>
      <w:r>
        <w:t xml:space="preserve">e) Concorrência e processamento assíncrono: as operações de maior latência — o envio de mídias ao serviço externo de imagens e a expedição de mensagens de correio eletrônico — são executadas de forma assíncr</w:t>
      </w:r>
      <w:r>
        <w:t xml:space="preserve">ona em conjuntos de linhas de execução dedicados, evitando o bloqueio da linha de execução que atende à requisição HTTP. No caso do envio de mídias, o servidor responde de imediato com um identificador de processamento, e a camada de apresentação consulta </w:t>
      </w:r>
      <w:r>
        <w:t xml:space="preserve">periodicamente o estado do envio até a sua conclusão. O acesso concorrente ao banco de dados é mediado por um conjunto de conexões reutilizáveis, com limite máximo configurado, que impede o esgotamento dos recursos do sistema gerenciador sob carga elevada.</w:t>
      </w:r>
      <w:r/>
    </w:p>
    <w:p>
      <w:pPr>
        <w:pBdr/>
        <w:spacing/>
        <w:ind/>
        <w:rPr/>
      </w:pPr>
      <w:r>
        <w:t xml:space="preserve">f) Transparências: o projeto contempla as transparências de acesso e de localização, uma vez que a camada de apresentação desconhece o endereço físico</w:t>
      </w:r>
      <w:r>
        <w:t xml:space="preserve"> do banco de dados e dos serviços externos, referenciando-os apenas pela interface de programação de aplicações; a transparência de concorrência, assegurada pelas propriedades transacionais do sistema gerenciador de banco de dados e pelas restrições de uni</w:t>
      </w:r>
      <w:r>
        <w:t xml:space="preserve">cidade aplicadas ao número de protocolo e ao vínculo de reforço de ocorrências; e a transparência de falha, obtida pelo tratamento das indisponibilidades dos serviços externos, que degradam funcionalidades específicas sem interromper a operação do sistema.</w:t>
      </w:r>
      <w:r/>
    </w:p>
    <w:p>
      <w:pPr>
        <w:pBdr/>
        <w:spacing/>
        <w:ind/>
        <w:rPr/>
      </w:pPr>
      <w:r>
        <w:t xml:space="preserve">g) Tratamento de falhas parciais: a indisponibilidade do serviço de geocodificação não impede o registro da ocorrência, permitind</w:t>
      </w:r>
      <w:r>
        <w:t xml:space="preserve">o o preenchimento manual do endereço; a falha no processamento de uma mídia é reportada ao usuário como estado específico do envio, preservando a ocorrência já registrada; e a indisponibilidade do servidor de correio eletrônico não interrompe a alteração d</w:t>
      </w:r>
      <w:r>
        <w:t xml:space="preserve">o estado do protocolo, dado o caráter assíncrono da notificação. A política de compartilhamento de recursos entre origens é restrita às origens autorizadas, e a comunicação em ambiente de produção ocorre integralmente sobre canal cifrado, conforme o RNF11.</w:t>
      </w:r>
      <w:r/>
    </w:p>
    <w:p>
      <w:pPr>
        <w:pBdr/>
        <w:spacing/>
        <w:ind/>
        <w:rPr/>
      </w:pPr>
      <w:r>
        <w:t xml:space="preserve">h) Operação com cone</w:t>
      </w:r>
      <w:r>
        <w:t xml:space="preserve">ctividade intermitente: a camada de apresentação é distribuída como aplicativo Web progressivo e registra um processo de serviço em segundo plano no navegador, responsável pelo armazenamento local dos artefatos estáticos da aplicação. Esse recurso permite </w:t>
      </w:r>
      <w:r>
        <w:t xml:space="preserve">a abertura do aplicativo mesmo na ausência temporária de conectividade e reduz o tempo de carregamento nos acessos subsequentes, aspecto relevante para o registro de ocorrências em campo, onde a qualidade do sinal de dados móveis é frequentemente instável.</w:t>
      </w:r>
      <w:r/>
    </w:p>
    <w:p>
      <w:pPr>
        <w:pBdr/>
        <w:spacing/>
        <w:ind/>
        <w:rPr/>
      </w:pPr>
      <w:r>
        <w:t xml:space="preserve">i) Topologia de implantação prevista: em ambiente de produção, prevê-se a hospedagem da camada de aplicação em instâncias de máquina virtual, do banco de dados em serviço gerenciado com cópias de segurança </w:t>
      </w:r>
      <w:r>
        <w:t xml:space="preserve">automáticas e dos artefatos estáticos da camada de apresentação em serviço de armazenamento de objetos, conforme a infraestrutura de nuvem descrita na Seção 4.3.3. O diagrama de distribuição correspondente será elaborado na Fase 4 e integrará o Apêndice K.</w:t>
      </w:r>
      <w:r/>
    </w:p>
    <w:p>
      <w:pPr>
        <w:pBdr/>
        <w:spacing/>
        <w:ind/>
        <w:rPr/>
      </w:pPr>
      <w:r/>
      <w:r/>
    </w:p>
    <w:p w14:paraId="700CAF17" w14:textId="77777777">
      <w:pPr>
        <w:pBdr/>
        <w:spacing/>
        <w:ind/>
        <w:rPr>
          <w:sz w:val="20"/>
          <w:szCs w:val="20"/>
        </w:rPr>
      </w:pPr>
      <w:r>
        <w:rPr>
          <w:sz w:val="20"/>
          <w:szCs w:val="20"/>
        </w:rPr>
        <w:t xml:space="preserve"> </w:t>
      </w:r>
      <w:r>
        <w:rPr>
          <w:sz w:val="20"/>
          <w:szCs w:val="20"/>
        </w:rPr>
      </w:r>
      <w:r>
        <w:rPr>
          <w:sz w:val="20"/>
          <w:szCs w:val="20"/>
        </w:rPr>
      </w:r>
    </w:p>
    <w:p w14:paraId="31A608DB" w14:textId="77777777">
      <w:pPr>
        <w:pBdr/>
        <w:spacing w:after="0" w:line="240" w:lineRule="auto"/>
        <w:ind/>
        <w:jc w:val="left"/>
        <w:rPr>
          <w:sz w:val="20"/>
          <w:szCs w:val="20"/>
        </w:rPr>
      </w:pPr>
      <w:r>
        <w:rPr>
          <w:sz w:val="20"/>
          <w:szCs w:val="20"/>
        </w:rPr>
        <w:br w:type="page" w:clear="all"/>
      </w:r>
      <w:r>
        <w:rPr>
          <w:sz w:val="20"/>
          <w:szCs w:val="20"/>
        </w:rPr>
      </w:r>
      <w:r>
        <w:rPr>
          <w:sz w:val="20"/>
          <w:szCs w:val="20"/>
        </w:rPr>
      </w:r>
    </w:p>
    <w:p>
      <w:pPr>
        <w:pStyle w:val="1635"/>
        <w:pBdr/>
        <w:spacing/>
        <w:ind/>
        <w:rPr/>
      </w:pPr>
      <w:r>
        <w:t xml:space="preserve">7 IMPLEMENTAÇÃO DO SISTEMA DE SOFTWARE</w:t>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t xml:space="preserve">7.1 COMPONENTES DO SISTEMA DE SOFTWARE</w:t>
      </w:r>
      <w:r/>
    </w:p>
    <w:p>
      <w:pPr>
        <w:pBdr/>
        <w:spacing/>
        <w:ind/>
        <w:rPr/>
      </w:pPr>
      <w:r>
        <w:t xml:space="preserve">O sistema é composto por d</w:t>
      </w:r>
      <w:r>
        <w:t xml:space="preserve">ois componentes desenvolvidos pela equipe e por um componente de persistência, além de três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gerenc</w:t>
      </w:r>
      <w:r>
        <w:t xml:space="preserve">iador PostgreSQL, contendo sete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w:t>
      </w:r>
      <w:r>
        <w:t xml:space="preserve">ação dos ladrilhos do mapa, e Nominatim, utilizado para a geocodificação direta e reversa de endereços; e o servidor de correio eletrônico, acessado pelo protocolo SMTP com segurança de transporte para o envio das notificações e dos códigos de verificação.</w:t>
      </w:r>
      <w:r/>
    </w:p>
    <w:p>
      <w:pPr>
        <w:pBdr/>
        <w:spacing/>
        <w:ind/>
        <w:rPr/>
      </w:pPr>
      <w:r/>
      <w:r/>
    </w:p>
    <w:p>
      <w:pPr>
        <w:pStyle w:val="1636"/>
        <w:pBdr/>
        <w:spacing/>
        <w:ind/>
        <w:rPr/>
      </w:pPr>
      <w:r>
        <w:t xml:space="preserve">7.2 TECNOLOGIAS DE IMPLEMENTAÇÃO</w:t>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t xml:space="preserve">7.2.1 Linguagens de Programação e Frameworks Adotados</w:t>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t xml:space="preserve">7.2.2 Design Patterns Aplicados</w:t>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cinco classes do pacote de persistência — UserPostgresDao, OccurrencePostgre</w:t>
      </w:r>
      <w:r>
        <w:t xml:space="preserve">sDao, OccurrenceSupportPostgresDao,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t xml:space="preserve">7.2.3 Convenções e Guias para Codificação</w:t>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t xml:space="preserve">7.2.4 Estrutura Física do Banco de Dados</w:t>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sete tabelas. A tabela users centraliza as credenciais de autenticação, os dados de perf</w:t>
      </w:r>
      <w:r>
        <w:t xml:space="preserve">il e de endereço do cidadão, o atributo discriminador de perfil de acesso e os campos de controle da autenticação multifator. A tabela occurrence armazena as ocorrências, incluindo o número de protocolo, as coordenadas geográficas, a categoria, o estado, a</w:t>
      </w:r>
      <w:r>
        <w:t xml:space="preserve"> prioridade, o indicador de anonimato, o resumo criptográfico do código de rastreamento anônimo e a referência recursiva ao grupo de ocorrências duplicadas. As tabelas occurrence_history e occurrence_support registram, respectivamente, o histórico de alter</w:t>
      </w:r>
      <w:r>
        <w:t xml:space="preserve">ações de estado e os reforços de ocorrência realizados pelos cidadãos, esta última com restrição de unicidade sobre o par formado pela ocorrência e pelo cidadão, o que impede o reforço duplicado. A tabela occurrence_media vincula as mídias anexadas à ocorr</w:t>
      </w:r>
      <w:r>
        <w:t xml:space="preserve">ência correspondente.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sete índices de apoio, dos quais três são parciais. Destacam-s</w:t>
      </w:r>
      <w:r>
        <w:t xml:space="preserve">e o índice composto sobre as colunas de latitude e longitude, restrito aos registros com coordenadas informadas, que sustenta a consulta de proximidade descrita na Seção 7.3; o índice sobre o resumo criptográfico do código de rastreamento anônimo, restrito</w:t>
      </w:r>
      <w:r>
        <w:t xml:space="preserve"> aos registros anônimos; e o índice sobre o número de protocolo, que apoia a consulta direta pelo cidadão. Os scripts de criação das tabelas e de carga inicial dos dados, a relação completa dos índices e as permissões concedidas encontram-se no Apêndice D.</w:t>
      </w:r>
      <w:r/>
    </w:p>
    <w:p>
      <w:pPr>
        <w:pBdr/>
        <w:spacing/>
        <w:ind/>
        <w:rPr/>
      </w:pPr>
      <w:r/>
      <w:r/>
    </w:p>
    <w:p>
      <w:pPr>
        <w:pStyle w:val="1636"/>
        <w:pBdr/>
        <w:spacing/>
        <w:ind/>
        <w:rPr/>
      </w:pPr>
      <w:r>
        <w:t xml:space="preserve">7.3 ANÁLISE DE COMPLEXIDADE ALGORÍTMICA</w:t>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Bdr/>
        <w:spacing/>
        <w:ind/>
        <w:rPr/>
      </w:pPr>
      <w:r>
        <w:t xml:space="preserve">8 PLANO DE TESTES</w:t>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t xml:space="preserve">8.1 FINALIDADE</w:t>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t xml:space="preserve">8.2 ESCOPO</w:t>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t xml:space="preserve">8.2.1 Referências aos Documentos Relevantes</w:t>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w:t>
            </w:r>
            <w:r>
              <w:t xml:space="preserve">5.1.2.4</w:t>
            </w:r>
            <w:r>
              <w:t xml:space="preserve">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bookmarkStart w:id="1" w:name="_Toc1"/>
      <w:r>
        <w:t xml:space="preserve">QUADRO </w:t>
      </w:r>
      <w:r>
        <w:fldChar w:fldCharType="begin"/>
      </w:r>
      <w:r>
        <w:instrText xml:space="preserve">SEQ QUADRO \* ARABIC </w:instrText>
      </w:r>
      <w:r>
        <w:fldChar w:fldCharType="separate"/>
      </w:r>
      <w:r>
        <w:t xml:space="preserve">1</w:t>
      </w:r>
      <w:r>
        <w:fldChar w:fldCharType="end"/>
      </w:r>
      <w:r>
        <w:t xml:space="preserve"> – Documentos relevantes para testes</w:t>
      </w:r>
      <w:bookmarkEnd w:id="1"/>
      <w:r/>
      <w:r/>
    </w:p>
    <w:p>
      <w:pPr>
        <w:pBdr/>
        <w:spacing/>
        <w:ind/>
        <w:rPr/>
      </w:pPr>
      <w:r/>
      <w:r/>
    </w:p>
    <w:p>
      <w:pPr>
        <w:pStyle w:val="1637"/>
        <w:pBdr/>
        <w:spacing/>
        <w:ind/>
        <w:rPr/>
      </w:pPr>
      <w:r>
        <w:t xml:space="preserve">8.2.2 Ambiente para a Realização dos Testes</w:t>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bookmarkStart w:id="2" w:name="_Toc2"/>
      <w:r>
        <w:t xml:space="preserve">QUADRO </w:t>
      </w:r>
      <w:r>
        <w:fldChar w:fldCharType="begin"/>
      </w:r>
      <w:r>
        <w:instrText xml:space="preserve">SEQ QUADRO \* ARABIC </w:instrText>
      </w:r>
      <w:r>
        <w:fldChar w:fldCharType="separate"/>
      </w:r>
      <w:r>
        <w:t xml:space="preserve">2</w:t>
      </w:r>
      <w:r>
        <w:fldChar w:fldCharType="end"/>
      </w:r>
      <w:r>
        <w:t xml:space="preserve"> – Equipamentos para a realização dos testes</w:t>
      </w:r>
      <w:bookmarkEnd w:id="2"/>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bookmarkStart w:id="3" w:name="_Toc3"/>
      <w:r>
        <w:t xml:space="preserve">QUADRO </w:t>
      </w:r>
      <w:r>
        <w:fldChar w:fldCharType="begin"/>
      </w:r>
      <w:r>
        <w:instrText xml:space="preserve">SEQ QUADRO \* ARABIC </w:instrText>
      </w:r>
      <w:r>
        <w:fldChar w:fldCharType="separate"/>
      </w:r>
      <w:r>
        <w:t xml:space="preserve">3</w:t>
      </w:r>
      <w:r>
        <w:fldChar w:fldCharType="end"/>
      </w:r>
      <w:r>
        <w:t xml:space="preserve"> – Softwares para a realização dos testes</w:t>
      </w:r>
      <w:bookmarkEnd w:id="3"/>
      <w:r/>
      <w:r/>
    </w:p>
    <w:p>
      <w:pPr>
        <w:pBdr/>
        <w:spacing/>
        <w:ind/>
        <w:rPr/>
      </w:pPr>
      <w:r/>
      <w:r/>
    </w:p>
    <w:p>
      <w:pPr>
        <w:pStyle w:val="1636"/>
        <w:pBdr/>
        <w:spacing/>
        <w:ind/>
        <w:rPr/>
      </w:pPr>
      <w:r>
        <w:t xml:space="preserve">8.3 ESPECIFICAÇÃO DOS CASOS DE TESTES</w:t>
      </w:r>
      <w:r/>
    </w:p>
    <w:p>
      <w:pPr>
        <w:pBdr/>
        <w:spacing/>
        <w:ind/>
        <w:rPr/>
      </w:pPr>
      <w:r>
        <w:t xml:space="preserve">A bateria de testes unitários automatizados é composta por 18 classes </w:t>
      </w:r>
      <w:r>
        <w:t xml:space="preserve">de teste, organizadas em blocos aninhados por funcionalidade e identificadas por descrições em língua portuguesa que explicitam a regra verificada. As classes distribuem-se pelas seguintes áreas: serviços de ocorrência e de rastreamento anônimo, serviços d</w:t>
      </w:r>
      <w:r>
        <w:t xml:space="preserve">e usuário e de redefinição de senha, objetos de acesso a dados, componentes de autenticação e de emissão de testemunhos, serviço de processamento de mídias, serviço de correio eletrônico,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ocorrência (RF10 e R</w:t>
      </w:r>
      <w:r>
        <w:t xml:space="preserve">N04); os limites diários de registro para ocorrências identificadas e anônimas, inclusive na tentativa imediatamente seguinte ao limite (RF07 e RF08); a rejeição de fotografias desfocadas nas categorias críticas, incluindo o caso do valor exatamente igual </w:t>
      </w:r>
      <w:r>
        <w:t xml:space="preserve">ao limiar de nitidez; a obrigatoriedade do aceite dos termos de uso no cadastro de cidadão (RF02); a não persistência da senha em texto claro (RNF17); o prazo de validade do testemunho de autenticação; a resposta silenciosa à solicitação de redefinição de </w:t>
      </w:r>
      <w:r>
        <w:t xml:space="preserve">senha para endereço inexistente, de modo a não revelar a existência do cadastro; e o formato da autoridade de acesso atribuída ao usuário, caso originado da correção de um defeito identificado durante o desenvolvimento e mantido sob verificação permanente.</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t xml:space="preserve">8.4 RESULTADOS DOS TESTES</w:t>
      </w:r>
      <w:r/>
    </w:p>
    <w:p>
      <w:pPr>
        <w:pBdr/>
        <w:spacing/>
        <w:ind/>
        <w:rPr/>
      </w:pPr>
      <w:r>
        <w:t xml:space="preserve">A bateria de testes unitários automatizados executada ao término da Fase 3 compreendeu 196 casos de tes</w:t>
      </w:r>
      <w:r>
        <w:t xml:space="preserve">te,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Quanto à cobertura funcional, a totalidade dos 21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inexistência de testes automatizados para o componente de aplicação Web: embora a infraestrutura de execução esteja configurada n</w:t>
      </w:r>
      <w:r>
        <w:t xml:space="preserve">o projeto, nenhum caso de teste foi escrito para essa camada, cuja validação apoia-se integralmente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Bdr/>
        <w:spacing/>
        <w:ind/>
        <w:rPr/>
      </w:pPr>
      <w:r>
        <w:t xml:space="preserve">9 PLANO PARA IMPLANTAÇÃO</w:t>
      </w:r>
      <w:r/>
    </w:p>
    <w:p>
      <w:pPr>
        <w:pBdr/>
        <w:spacing/>
        <w:ind/>
        <w:rPr/>
      </w:pPr>
      <w:r>
        <w:t xml:space="preserve">O conteúdo deste capítulo corresponde à entrega da Fase 4 do projeto.</w:t>
      </w:r>
      <w:r/>
    </w:p>
    <w:p>
      <w:pPr>
        <w:pBdr/>
        <w:spacing/>
        <w:ind/>
        <w:rPr/>
      </w:pPr>
      <w:r/>
      <w:r/>
    </w:p>
    <w:p>
      <w:pPr>
        <w:pStyle w:val="1636"/>
        <w:pBdr/>
        <w:spacing/>
        <w:ind/>
        <w:rPr/>
      </w:pPr>
      <w:r>
        <w:t xml:space="preserve">9.1 METODOLOGIA</w:t>
      </w:r>
      <w:r/>
    </w:p>
    <w:p>
      <w:pPr>
        <w:pStyle w:val="1637"/>
        <w:pBdr/>
        <w:spacing/>
        <w:ind/>
        <w:rPr/>
      </w:pPr>
      <w:r>
        <w:t xml:space="preserve">9.1.1 Descrição da Metodologia</w:t>
      </w:r>
      <w:r/>
    </w:p>
    <w:p>
      <w:pPr>
        <w:pStyle w:val="1637"/>
        <w:pBdr/>
        <w:spacing/>
        <w:ind/>
        <w:rPr/>
      </w:pPr>
      <w:r>
        <w:t xml:space="preserve">9.1.2 Matriz de Responsabilidade</w:t>
      </w:r>
      <w:r/>
    </w:p>
    <w:p>
      <w:pPr>
        <w:pStyle w:val="1636"/>
        <w:pBdr/>
        <w:spacing/>
        <w:ind/>
        <w:rPr/>
      </w:pPr>
      <w:r>
        <w:t xml:space="preserve">9.2 TREINAMENTO PREVISTO</w:t>
      </w:r>
      <w:r/>
    </w:p>
    <w:p>
      <w:pPr>
        <w:pStyle w:val="1636"/>
        <w:pBdr/>
        <w:spacing/>
        <w:ind/>
        <w:rPr/>
      </w:pPr>
      <w:r>
        <w:t xml:space="preserve">9.3 CRONOGRAMA DE IMPLANTAÇÃO</w:t>
      </w:r>
      <w:r/>
    </w:p>
    <w:p>
      <w:pPr>
        <w:pStyle w:val="1636"/>
        <w:pBdr/>
        <w:spacing/>
        <w:ind/>
        <w:rPr/>
      </w:pPr>
      <w:r>
        <w:t xml:space="preserve">9.4 RECURSOS DE APOIO À IMPLANTAÇÃO</w:t>
      </w:r>
      <w:r/>
    </w:p>
    <w:p>
      <w:pPr>
        <w:pStyle w:val="1636"/>
        <w:pBdr/>
        <w:spacing/>
        <w:ind/>
        <w:rPr/>
      </w:pPr>
      <w:r>
        <w:t xml:space="preserve">9.5 VISÃO DA IMPLANTAÇÃO</w:t>
      </w:r>
      <w:r/>
    </w:p>
    <w:p>
      <w:pPr>
        <w:pBdr/>
        <w:spacing/>
        <w:ind/>
        <w:rPr/>
      </w:pPr>
      <w:r/>
      <w:r/>
    </w:p>
    <w:p w14:paraId="49AE8B01" w14:textId="77777777">
      <w:pPr>
        <w:pStyle w:val="1635"/>
        <w:pBdr/>
        <w:spacing/>
        <w:ind/>
        <w:rPr/>
      </w:pPr>
      <w:r>
        <w:t xml:space="preserve">10 CONCLUSÃO</w:t>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especificados no Capítulo 5 encontram-se codificados, com implementação parcial apenas do RF18. Foram executado</w:t>
      </w:r>
      <w:r>
        <w:t xml:space="preserve">s 196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por meio do detalhamento de </w:t>
      </w:r>
      <w:r>
        <w:rPr>
          <w:highlight w:val="white"/>
        </w:rPr>
        <w:t xml:space="preserve">21 requisitos </w:t>
      </w:r>
      <w:r>
        <w:t xml:space="preserve">funcionais, com destaque para a especificação e codificação do alerta de duplicidade (R</w:t>
      </w:r>
      <w:r>
        <w:t xml:space="preserve">F16), que utiliza lógica de geolocalização e raio de 50 metros para otimizar a base de da</w:t>
      </w:r>
      <w:r>
        <w:t xml:space="preserve">dos pública, e para o agrupamento de ocorrências similares com atualização coletiva de status (RF12). Adicionalmente, o estrito atendimento aos requisitos de autenticação robusta via JWT e autenticação multifator, combinados à criptografia com o algoritmo </w:t>
      </w:r>
      <w:r>
        <w:t xml:space="preserve">BCrypt</w:t>
      </w:r>
      <w:r>
        <w:t xml:space="preserve">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w:t>
      </w:r>
      <w:r>
        <w:rPr>
          <w:i/>
        </w:rPr>
        <w:t xml:space="preserve">end</w:t>
      </w:r>
      <w:r>
        <w:t xml:space="preserve"> para um PWA de alta fidelidade com suporte a mapas e registros em modo </w:t>
      </w:r>
      <w:r>
        <w:rPr>
          <w:i/>
        </w:rPr>
        <w:t xml:space="preserve">offline</w:t>
      </w:r>
      <w:r>
        <w:t xml:space="preserve">.  A segurança </w:t>
      </w:r>
      <w:r>
        <w:t xml:space="preserve">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t xml:space="preserve">REFERÊNCIAS</w:t>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br w:type="page" w:clear="all"/>
      </w:r>
      <w:r>
        <w:t xml:space="preserve">OBRAS CONSULTADAS </w:t>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Bdr/>
        <w:spacing/>
        <w:ind/>
        <w:rPr/>
      </w:pPr>
      <w:r>
        <w:rPr>
          <w:lang w:val="en-US"/>
        </w:rPr>
        <w:br w:type="page" w:clear="all"/>
      </w:r>
      <w:r>
        <w:t xml:space="preserve">APÊNDICE A – GESTÃO DO PROJETO</w:t>
      </w:r>
      <w:r/>
    </w:p>
    <w:p w14:paraId="21750D2C" w14:textId="77777777">
      <w:pPr>
        <w:pBdr/>
        <w:spacing/>
        <w:ind/>
        <w:rPr/>
      </w:pPr>
      <w:r>
        <w:t xml:space="preserve">O plano de elaboração e gerenciamento do projeto está disponível na pasta “</w:t>
      </w:r>
      <w:r>
        <w:t xml:space="preserve">ApêndiceA</w:t>
      </w:r>
      <w:r>
        <w:t xml:space="preserve">” que acompanha este documento.</w:t>
      </w:r>
      <w:r/>
    </w:p>
    <w:p w14:paraId="22872249" w14:textId="77777777">
      <w:pPr>
        <w:pStyle w:val="1635"/>
        <w:pBdr/>
        <w:spacing/>
        <w:ind/>
        <w:rPr/>
      </w:pPr>
      <w:r>
        <w:br w:type="page" w:clear="all"/>
      </w:r>
      <w:r>
        <w:t xml:space="preserve">APÊNDICE B – RELATÓRIO DE DESEMPENHO</w:t>
      </w:r>
      <w:r/>
    </w:p>
    <w:p w14:paraId="353B0111" w14:textId="77777777">
      <w:pPr>
        <w:pBdr/>
        <w:spacing/>
        <w:ind/>
        <w:rPr/>
      </w:pPr>
      <w:r>
        <w:t xml:space="preserve">Os relatórios de desempenho estão disponíveis na pasta “</w:t>
      </w:r>
      <w:r>
        <w:t xml:space="preserve">ApêndiceB</w:t>
      </w:r>
      <w:r>
        <w:t xml:space="preserve">” que acompanha este documento.</w:t>
      </w:r>
      <w:r/>
    </w:p>
    <w:p w14:paraId="33A4CC02" w14:textId="77777777">
      <w:pPr>
        <w:pStyle w:val="1635"/>
        <w:pBdr/>
        <w:spacing/>
        <w:ind/>
        <w:rPr/>
      </w:pPr>
      <w:r>
        <w:br w:type="page" w:clear="all"/>
      </w:r>
      <w:r>
        <w:t xml:space="preserve">APÊNDICE C – VISÃO FUNCIONAL</w:t>
      </w:r>
      <w:r/>
    </w:p>
    <w:p w14:paraId="5433329B" w14:textId="77777777">
      <w:pPr>
        <w:pBdr/>
        <w:spacing/>
        <w:ind/>
        <w:rPr/>
      </w:pPr>
      <w:r>
        <w:t xml:space="preserve">O modelo de casos de uso está disponível na pasta “ApêndiceC” que acompanha este documento.</w:t>
      </w:r>
      <w:r>
        <w:rPr>
          <w:rStyle w:val="1787"/>
          <w:rFonts w:ascii="Times New Roman" w:hAnsi="Times New Roman" w:eastAsia="Times New Roman" w:cs="Times New Roman"/>
          <w:b/>
          <w:bCs/>
          <w:color w:val="000000" w:themeColor="text1"/>
          <w:sz w:val="24"/>
          <w:szCs w:val="24"/>
        </w:rPr>
      </w:r>
      <w:r/>
    </w:p>
    <w:p>
      <w:pPr>
        <w:pStyle w:val="1635"/>
        <w:pBdr/>
        <w:spacing/>
        <w:ind/>
        <w:rPr/>
      </w:pPr>
      <w:r>
        <w:t xml:space="preserve">APÊNDICE D – VISÃO DOS DADOS</w:t>
      </w:r>
      <w:r/>
    </w:p>
    <w:p w14:paraId="4B2941E5" w14:textId="77777777">
      <w:pPr>
        <w:pBdr/>
        <w:spacing/>
        <w:ind/>
        <w:rPr/>
      </w:pPr>
      <w:r>
        <w:t xml:space="preserve">O modelo conceitual dos dados (representado por meio do modelo entidade-relacionamento), o modelo lógico dos dados e o dicionário dos dados do modelo lógico estão disponíveis na pasta “</w:t>
      </w:r>
      <w:r>
        <w:t xml:space="preserve">ApêndiceD</w:t>
      </w:r>
      <w:r>
        <w:t xml:space="preserve">” que acompanha este documento.</w:t>
      </w:r>
      <w:r/>
    </w:p>
    <w:p w14:paraId="08D1C304" w14:textId="77777777">
      <w:pPr>
        <w:pBdr/>
        <w:spacing/>
        <w:ind/>
        <w:rPr/>
      </w:pPr>
      <w:r>
        <w:br w:type="page" w:clear="all"/>
      </w:r>
      <w:r/>
    </w:p>
    <w:p w14:paraId="7233153D" w14:textId="77777777">
      <w:pPr>
        <w:pStyle w:val="1635"/>
        <w:pBdr/>
        <w:spacing/>
        <w:ind/>
        <w:rPr/>
      </w:pPr>
      <w:r>
        <w:t xml:space="preserve">APÊNDICE E – MODELO INICIAL DA INTERFACE DE USUÁRIO</w:t>
      </w:r>
      <w:r/>
    </w:p>
    <w:p w14:paraId="2CC2CC7B" w14:textId="77777777">
      <w:pPr>
        <w:pBdr/>
        <w:spacing/>
        <w:ind/>
        <w:rPr/>
      </w:pPr>
      <w:r>
        <w:t xml:space="preserve">Os modelos de interface de usuário de baixa e média fidelidades estão disponíveis na pasta “</w:t>
      </w:r>
      <w:r>
        <w:t xml:space="preserve">ApêndiceE</w:t>
      </w:r>
      <w:r>
        <w:t xml:space="preserve">” que acompanha este documento.</w:t>
      </w:r>
      <w:r/>
    </w:p>
    <w:p w14:paraId="482B6652" w14:textId="77777777">
      <w:pPr>
        <w:pBdr/>
        <w:spacing/>
        <w:ind/>
        <w:rPr>
          <w:rFonts w:cs="Arial"/>
        </w:rPr>
      </w:pPr>
      <w:r>
        <w:br w:type="page" w:clear="all"/>
      </w:r>
      <w:r>
        <w:rPr>
          <w:rFonts w:cs="Arial"/>
        </w:rPr>
      </w:r>
      <w:r>
        <w:rPr>
          <w:rFonts w:cs="Arial"/>
        </w:rPr>
      </w:r>
    </w:p>
    <w:p w14:paraId="4401373F" w14:textId="77777777">
      <w:pPr>
        <w:pStyle w:val="1635"/>
        <w:pBdr/>
        <w:spacing/>
        <w:ind/>
        <w:rPr/>
      </w:pPr>
      <w:r>
        <w:t xml:space="preserve">APÊNDICE F – VISÕES ESTRUTURAL E COMPORTAMENTAL</w:t>
      </w:r>
      <w:r/>
    </w:p>
    <w:p w14:paraId="7DB15575" w14:textId="77777777">
      <w:pPr>
        <w:pBdr/>
        <w:spacing/>
        <w:ind/>
        <w:rPr/>
      </w:pPr>
      <w:r>
        <w:t xml:space="preserve">Os diagramas elaborados por meio da UML estão disponíveis na pasta “</w:t>
      </w:r>
      <w:r>
        <w:t xml:space="preserve">ApêndiceF</w:t>
      </w:r>
      <w:r>
        <w:t xml:space="preserve">” que acompanha este documento.</w:t>
      </w:r>
      <w:r/>
    </w:p>
    <w:p w14:paraId="17286716" w14:textId="77777777">
      <w:pPr>
        <w:pBdr/>
        <w:spacing/>
        <w:ind/>
        <w:rPr/>
      </w:pPr>
      <w:r/>
      <w:r/>
    </w:p>
    <w:p w14:paraId="04077AF5" w14:textId="77777777">
      <w:pPr>
        <w:pBdr/>
        <w:spacing/>
        <w:ind/>
        <w:rPr>
          <w:rFonts w:cs="Arial"/>
        </w:rPr>
      </w:pPr>
      <w:r>
        <w:br w:type="page" w:clear="all"/>
      </w:r>
      <w:r>
        <w:rPr>
          <w:rFonts w:cs="Arial"/>
        </w:rPr>
      </w:r>
      <w:r>
        <w:rPr>
          <w:rFonts w:cs="Arial"/>
        </w:rPr>
      </w:r>
    </w:p>
    <w:p w14:paraId="2E04B2D1" w14:textId="77777777">
      <w:pPr>
        <w:pStyle w:val="1635"/>
        <w:pBdr/>
        <w:spacing/>
        <w:ind/>
        <w:rPr/>
      </w:pPr>
      <w:r>
        <w:t xml:space="preserve">APÊNDICE G – ENTREVISTAS COM USUÁRIOS</w:t>
      </w:r>
      <w:r/>
    </w:p>
    <w:p w14:paraId="054CBD0B" w14:textId="77777777">
      <w:pPr>
        <w:pBdr/>
        <w:spacing/>
        <w:ind/>
        <w:rPr>
          <w:rFonts w:cs="Arial"/>
        </w:rPr>
      </w:pPr>
      <w:r>
        <w:t xml:space="preserve">As entrevistas com os potenciais usuários do sistema encontram-se disponíveis na pasta “</w:t>
      </w:r>
      <w:r>
        <w:t xml:space="preserve">ApêndiceG</w:t>
      </w:r>
      <w:r>
        <w:t xml:space="preserve">” que acompanha este documento.</w:t>
      </w:r>
      <w:r>
        <w:rPr>
          <w:rFonts w:cs="Arial"/>
        </w:rPr>
      </w:r>
      <w:r>
        <w:rPr>
          <w:rFonts w:cs="Arial"/>
        </w:rPr>
      </w:r>
    </w:p>
    <w:p>
      <w:pPr>
        <w:pStyle w:val="1635"/>
        <w:pBdr/>
        <w:spacing/>
        <w:ind/>
        <w:rPr/>
      </w:pPr>
      <w:r>
        <w:t xml:space="preserve">APÊNDICE H – MODELO DE NEGÓCIO</w:t>
      </w:r>
      <w:r/>
    </w:p>
    <w:p>
      <w:pPr>
        <w:pBdr/>
        <w:spacing/>
        <w:ind/>
        <w:rPr/>
      </w:pPr>
      <w:r>
        <w:t xml:space="preserve">O modelo de negócio elaborado em Canvas está disponível na pasta “ApêndiceH” que acompanha este documento.</w:t>
      </w:r>
      <w:r/>
    </w:p>
    <w:p>
      <w:pPr>
        <w:pBdr/>
        <w:spacing/>
        <w:ind/>
        <w:rPr/>
      </w:pPr>
      <w:r/>
      <w:r/>
    </w:p>
    <w:p>
      <w:pPr>
        <w:pStyle w:val="1635"/>
        <w:pBdr/>
        <w:spacing/>
        <w:ind/>
        <w:rPr/>
      </w:pPr>
      <w:r>
        <w:t xml:space="preserve">APÊNDICE I – PROJETO DO SISTEMA DISTRIBUÍDO</w:t>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Bdr/>
        <w:spacing/>
        <w:ind/>
        <w:rPr/>
      </w:pPr>
      <w:r>
        <w:t xml:space="preserve">APÊNDICE J – CASOS DE TESTES</w:t>
      </w:r>
      <w:r/>
    </w:p>
    <w:p>
      <w:pPr>
        <w:pBdr/>
        <w:spacing/>
        <w:ind/>
        <w:rPr/>
      </w:pPr>
      <w:r>
        <w:t xml:space="preserve">A especificação dos casos de testes, os relatórios de execução da bateria automatizada e o histórico dos testes funcionais realizados estão disponíveis na pasta “ApêndiceJ” que acompanha este documento.</w:t>
      </w:r>
      <w:r/>
    </w:p>
    <w:p>
      <w:pPr>
        <w:pBdr/>
        <w:spacing/>
        <w:ind/>
        <w:rPr/>
      </w:pPr>
      <w:r/>
      <w:r/>
    </w:p>
    <w:p>
      <w:pPr>
        <w:pStyle w:val="1635"/>
        <w:pBdr/>
        <w:spacing/>
        <w:ind/>
        <w:rPr/>
      </w:pPr>
      <w:r>
        <w:t xml:space="preserve">APÊNDICE K – RECURSOS DE APOIO À IMPLANTAÇÃO</w:t>
      </w:r>
      <w:r/>
    </w:p>
    <w:p>
      <w:pPr>
        <w:pBdr/>
        <w:spacing/>
        <w:ind/>
        <w:rPr/>
      </w:pPr>
      <w:r>
        <w:t xml:space="preserve">Os documentos de apoio ao usuário final estarão disponíveis na pasta “ApêndiceK” que acompanha este documento.</w:t>
      </w:r>
      <w:r/>
      <w:r/>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Times New Roman" w:hAnsi="Times New Roman"/>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customXml" Target="../customXml/item1.xm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196</cp:revision>
  <dcterms:created xsi:type="dcterms:W3CDTF">2026-06-10T17:27:00Z</dcterms:created>
  <dcterms:modified xsi:type="dcterms:W3CDTF">2026-09-01T19:25:28Z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