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53051" w14:textId="77777777" w:rsidR="009E612A" w:rsidRDefault="00B81B74" w:rsidP="00B81B74">
      <w:pPr>
        <w:jc w:val="both"/>
        <w:rPr>
          <w:rFonts w:ascii="Arial" w:hAnsi="Arial" w:cs="Arial"/>
          <w:b/>
          <w:sz w:val="24"/>
          <w:szCs w:val="24"/>
        </w:rPr>
      </w:pPr>
      <w:r w:rsidRPr="00B81B74">
        <w:rPr>
          <w:rFonts w:ascii="Arial" w:hAnsi="Arial" w:cs="Arial"/>
          <w:b/>
          <w:sz w:val="24"/>
          <w:szCs w:val="24"/>
        </w:rPr>
        <w:t>I</w:t>
      </w:r>
      <w:r>
        <w:rPr>
          <w:rFonts w:ascii="Arial" w:hAnsi="Arial" w:cs="Arial"/>
          <w:b/>
          <w:sz w:val="24"/>
          <w:szCs w:val="24"/>
        </w:rPr>
        <w:t>dentificador</w:t>
      </w:r>
      <w:r w:rsidRPr="00B81B74">
        <w:rPr>
          <w:rFonts w:ascii="Arial" w:hAnsi="Arial" w:cs="Arial"/>
          <w:b/>
          <w:sz w:val="24"/>
          <w:szCs w:val="24"/>
        </w:rPr>
        <w:t xml:space="preserve">: </w:t>
      </w:r>
      <w:r>
        <w:rPr>
          <w:rFonts w:ascii="Arial" w:hAnsi="Arial" w:cs="Arial"/>
          <w:b/>
          <w:sz w:val="24"/>
          <w:szCs w:val="24"/>
        </w:rPr>
        <w:t>RN0001</w:t>
      </w:r>
    </w:p>
    <w:p w14:paraId="623B610D" w14:textId="77777777" w:rsidR="00B81B74" w:rsidRDefault="00B81B74" w:rsidP="00B81B74">
      <w:pPr>
        <w:jc w:val="both"/>
        <w:rPr>
          <w:rFonts w:ascii="Arial" w:hAnsi="Arial" w:cs="Arial"/>
          <w:b/>
          <w:sz w:val="24"/>
          <w:szCs w:val="24"/>
        </w:rPr>
      </w:pPr>
      <w:r>
        <w:rPr>
          <w:rFonts w:ascii="Arial" w:hAnsi="Arial" w:cs="Arial"/>
          <w:b/>
          <w:sz w:val="24"/>
          <w:szCs w:val="24"/>
        </w:rPr>
        <w:t xml:space="preserve">Nome: </w:t>
      </w:r>
      <w:r w:rsidR="009377D8">
        <w:rPr>
          <w:rFonts w:ascii="Arial" w:hAnsi="Arial" w:cs="Arial"/>
          <w:b/>
          <w:sz w:val="24"/>
          <w:szCs w:val="24"/>
        </w:rPr>
        <w:t>Disponibilização de informações públicas da Prefeitura de Mogi das Cruzes</w:t>
      </w:r>
    </w:p>
    <w:p w14:paraId="1B071075" w14:textId="77777777" w:rsidR="009377D8" w:rsidRDefault="009377D8" w:rsidP="00B81B74">
      <w:pPr>
        <w:jc w:val="both"/>
        <w:rPr>
          <w:rFonts w:ascii="Arial" w:hAnsi="Arial" w:cs="Arial"/>
          <w:b/>
          <w:sz w:val="24"/>
          <w:szCs w:val="24"/>
        </w:rPr>
      </w:pPr>
      <w:r>
        <w:rPr>
          <w:rFonts w:ascii="Arial" w:hAnsi="Arial" w:cs="Arial"/>
          <w:b/>
          <w:sz w:val="24"/>
          <w:szCs w:val="24"/>
        </w:rPr>
        <w:t>Módulo: N/A</w:t>
      </w:r>
    </w:p>
    <w:p w14:paraId="790F1F15" w14:textId="77777777" w:rsidR="009377D8" w:rsidRDefault="009377D8" w:rsidP="00B81B74">
      <w:pPr>
        <w:jc w:val="both"/>
        <w:rPr>
          <w:rFonts w:ascii="Arial" w:hAnsi="Arial" w:cs="Arial"/>
          <w:b/>
          <w:sz w:val="24"/>
          <w:szCs w:val="24"/>
        </w:rPr>
      </w:pPr>
      <w:r>
        <w:rPr>
          <w:rFonts w:ascii="Arial" w:hAnsi="Arial" w:cs="Arial"/>
          <w:b/>
          <w:sz w:val="24"/>
          <w:szCs w:val="24"/>
        </w:rPr>
        <w:t>Data de criação: 01/03/2020</w:t>
      </w:r>
    </w:p>
    <w:p w14:paraId="54286CE0" w14:textId="77777777" w:rsidR="009377D8" w:rsidRDefault="009377D8" w:rsidP="00B81B74">
      <w:pPr>
        <w:jc w:val="both"/>
        <w:rPr>
          <w:rFonts w:ascii="Arial" w:hAnsi="Arial" w:cs="Arial"/>
          <w:b/>
          <w:sz w:val="24"/>
          <w:szCs w:val="24"/>
        </w:rPr>
      </w:pPr>
      <w:r>
        <w:rPr>
          <w:rFonts w:ascii="Arial" w:hAnsi="Arial" w:cs="Arial"/>
          <w:b/>
          <w:sz w:val="24"/>
          <w:szCs w:val="24"/>
        </w:rPr>
        <w:t xml:space="preserve">Autor: Gustavo </w:t>
      </w:r>
      <w:proofErr w:type="spellStart"/>
      <w:r>
        <w:rPr>
          <w:rFonts w:ascii="Arial" w:hAnsi="Arial" w:cs="Arial"/>
          <w:b/>
          <w:sz w:val="24"/>
          <w:szCs w:val="24"/>
        </w:rPr>
        <w:t>Koiti</w:t>
      </w:r>
      <w:proofErr w:type="spellEnd"/>
      <w:r>
        <w:rPr>
          <w:rFonts w:ascii="Arial" w:hAnsi="Arial" w:cs="Arial"/>
          <w:b/>
          <w:sz w:val="24"/>
          <w:szCs w:val="24"/>
        </w:rPr>
        <w:t xml:space="preserve"> </w:t>
      </w:r>
      <w:proofErr w:type="spellStart"/>
      <w:r>
        <w:rPr>
          <w:rFonts w:ascii="Arial" w:hAnsi="Arial" w:cs="Arial"/>
          <w:b/>
          <w:sz w:val="24"/>
          <w:szCs w:val="24"/>
        </w:rPr>
        <w:t>Kuwabata</w:t>
      </w:r>
      <w:proofErr w:type="spellEnd"/>
    </w:p>
    <w:p w14:paraId="2DE5BE25" w14:textId="42BF1197" w:rsidR="009377D8" w:rsidRDefault="00E34018" w:rsidP="00B81B74">
      <w:pPr>
        <w:jc w:val="both"/>
        <w:rPr>
          <w:rFonts w:ascii="Arial" w:hAnsi="Arial" w:cs="Arial"/>
          <w:b/>
          <w:sz w:val="24"/>
          <w:szCs w:val="24"/>
        </w:rPr>
      </w:pPr>
      <w:r>
        <w:rPr>
          <w:rFonts w:ascii="Arial" w:hAnsi="Arial" w:cs="Arial"/>
          <w:b/>
          <w:sz w:val="24"/>
          <w:szCs w:val="24"/>
        </w:rPr>
        <w:t>Data da última alteração: 01/03/2020</w:t>
      </w:r>
    </w:p>
    <w:p w14:paraId="61BC5314" w14:textId="60AFB53B" w:rsidR="009377D8" w:rsidRDefault="00E34018" w:rsidP="00B81B74">
      <w:pPr>
        <w:jc w:val="both"/>
        <w:rPr>
          <w:rFonts w:ascii="Arial" w:hAnsi="Arial" w:cs="Arial"/>
          <w:b/>
          <w:sz w:val="24"/>
          <w:szCs w:val="24"/>
        </w:rPr>
      </w:pPr>
      <w:r>
        <w:rPr>
          <w:rFonts w:ascii="Arial" w:hAnsi="Arial" w:cs="Arial"/>
          <w:b/>
          <w:sz w:val="24"/>
          <w:szCs w:val="24"/>
        </w:rPr>
        <w:t xml:space="preserve">Autor: Raphael </w:t>
      </w:r>
      <w:proofErr w:type="spellStart"/>
      <w:r>
        <w:rPr>
          <w:rFonts w:ascii="Arial" w:hAnsi="Arial" w:cs="Arial"/>
          <w:b/>
          <w:sz w:val="24"/>
          <w:szCs w:val="24"/>
        </w:rPr>
        <w:t>Rugna</w:t>
      </w:r>
      <w:proofErr w:type="spellEnd"/>
      <w:r>
        <w:rPr>
          <w:rFonts w:ascii="Arial" w:hAnsi="Arial" w:cs="Arial"/>
          <w:b/>
          <w:sz w:val="24"/>
          <w:szCs w:val="24"/>
        </w:rPr>
        <w:t xml:space="preserve"> Vaqueiro</w:t>
      </w:r>
    </w:p>
    <w:p w14:paraId="10CC049B" w14:textId="5CD6BF6C" w:rsidR="009377D8" w:rsidRDefault="00E34018" w:rsidP="00B81B74">
      <w:pPr>
        <w:jc w:val="both"/>
        <w:rPr>
          <w:rFonts w:ascii="Arial" w:hAnsi="Arial" w:cs="Arial"/>
          <w:b/>
          <w:sz w:val="24"/>
          <w:szCs w:val="24"/>
        </w:rPr>
      </w:pPr>
      <w:r>
        <w:rPr>
          <w:rFonts w:ascii="Arial" w:hAnsi="Arial" w:cs="Arial"/>
          <w:b/>
          <w:sz w:val="24"/>
          <w:szCs w:val="24"/>
        </w:rPr>
        <w:t>Versão: 2</w:t>
      </w:r>
    </w:p>
    <w:p w14:paraId="7DD955B8" w14:textId="77777777" w:rsidR="009377D8" w:rsidRDefault="009377D8" w:rsidP="00B81B74">
      <w:pPr>
        <w:jc w:val="both"/>
        <w:rPr>
          <w:rFonts w:ascii="Arial" w:hAnsi="Arial" w:cs="Arial"/>
          <w:b/>
          <w:sz w:val="24"/>
          <w:szCs w:val="24"/>
        </w:rPr>
      </w:pPr>
      <w:r>
        <w:rPr>
          <w:rFonts w:ascii="Arial" w:hAnsi="Arial" w:cs="Arial"/>
          <w:b/>
          <w:sz w:val="24"/>
          <w:szCs w:val="24"/>
        </w:rPr>
        <w:t>Dependência: RF0001</w:t>
      </w:r>
      <w:bookmarkStart w:id="0" w:name="_GoBack"/>
      <w:bookmarkEnd w:id="0"/>
    </w:p>
    <w:p w14:paraId="15BA6284" w14:textId="77777777" w:rsidR="000414D7" w:rsidRDefault="009377D8" w:rsidP="00B81B74">
      <w:pPr>
        <w:jc w:val="both"/>
        <w:rPr>
          <w:rFonts w:ascii="Arial" w:hAnsi="Arial" w:cs="Arial"/>
          <w:b/>
          <w:sz w:val="24"/>
          <w:szCs w:val="24"/>
        </w:rPr>
      </w:pPr>
      <w:r>
        <w:rPr>
          <w:rFonts w:ascii="Arial" w:hAnsi="Arial" w:cs="Arial"/>
          <w:b/>
          <w:sz w:val="24"/>
          <w:szCs w:val="24"/>
        </w:rPr>
        <w:t xml:space="preserve">Descrição: </w:t>
      </w:r>
    </w:p>
    <w:p w14:paraId="7CCEF668" w14:textId="589F1BFD" w:rsidR="00DB16A2" w:rsidRDefault="000C378B" w:rsidP="0075555C">
      <w:pPr>
        <w:ind w:firstLine="708"/>
        <w:jc w:val="both"/>
        <w:rPr>
          <w:rFonts w:ascii="Arial" w:hAnsi="Arial" w:cs="Arial"/>
          <w:b/>
          <w:sz w:val="24"/>
          <w:szCs w:val="24"/>
        </w:rPr>
      </w:pPr>
      <w:r>
        <w:rPr>
          <w:rFonts w:ascii="Arial" w:hAnsi="Arial" w:cs="Arial"/>
          <w:b/>
          <w:sz w:val="24"/>
          <w:szCs w:val="24"/>
        </w:rPr>
        <w:t>As regras de negócio seguem as diretrizes estipuladas na Lei 12.527/2011</w:t>
      </w:r>
      <w:r w:rsidR="007D2E62">
        <w:rPr>
          <w:rFonts w:ascii="Arial" w:hAnsi="Arial" w:cs="Arial"/>
          <w:b/>
          <w:sz w:val="24"/>
          <w:szCs w:val="24"/>
        </w:rPr>
        <w:t>, que definem, entre outros parâmetros:</w:t>
      </w:r>
    </w:p>
    <w:p w14:paraId="6B01936C" w14:textId="55FA36CF" w:rsidR="007D2E62" w:rsidRDefault="007D2E62" w:rsidP="0075555C">
      <w:pPr>
        <w:ind w:firstLine="708"/>
        <w:jc w:val="both"/>
        <w:rPr>
          <w:rFonts w:ascii="Arial" w:hAnsi="Arial" w:cs="Arial"/>
          <w:b/>
          <w:sz w:val="24"/>
          <w:szCs w:val="24"/>
        </w:rPr>
      </w:pPr>
      <w:r w:rsidRPr="007D2E62">
        <w:rPr>
          <w:rFonts w:ascii="Arial" w:hAnsi="Arial" w:cs="Arial"/>
          <w:b/>
          <w:sz w:val="24"/>
          <w:szCs w:val="24"/>
        </w:rPr>
        <w:t>Aplica-se a todas as entidades privadas, sem fins lucrativos que recebam, para realização de ações de interesse público, recursos públicos diretamente do orçamento ou mediante subvenções sociais, contrato de gestão, termo de parceria, convênios, acordo, ajustes ou outros instrumentos congêneres.</w:t>
      </w:r>
    </w:p>
    <w:p w14:paraId="0AD7776D" w14:textId="03C3AACA" w:rsidR="0075555C" w:rsidRPr="007D2E62" w:rsidRDefault="0075555C" w:rsidP="007D2E62">
      <w:pPr>
        <w:ind w:firstLine="708"/>
        <w:jc w:val="both"/>
        <w:rPr>
          <w:rFonts w:ascii="Arial" w:hAnsi="Arial" w:cs="Arial"/>
          <w:b/>
          <w:bCs/>
          <w:sz w:val="24"/>
          <w:szCs w:val="24"/>
        </w:rPr>
      </w:pPr>
      <w:r w:rsidRPr="007D2E62">
        <w:rPr>
          <w:rFonts w:ascii="Arial" w:hAnsi="Arial" w:cs="Arial"/>
          <w:b/>
          <w:bCs/>
          <w:sz w:val="24"/>
          <w:szCs w:val="24"/>
        </w:rPr>
        <w:t>O acesso à informação não compreende as informações referentes a projetos de pesquisa e desenvolvimento científicos ou tecnológicos cujo sigilo seja imprescindível à segurança da sociedade e do Estado.</w:t>
      </w:r>
    </w:p>
    <w:p w14:paraId="26353955" w14:textId="1A51D4DF" w:rsidR="0075555C" w:rsidRPr="007D2E62" w:rsidRDefault="0075555C" w:rsidP="007D2E62">
      <w:pPr>
        <w:ind w:firstLine="708"/>
        <w:jc w:val="both"/>
        <w:rPr>
          <w:rFonts w:ascii="Arial" w:hAnsi="Arial" w:cs="Arial"/>
          <w:b/>
          <w:bCs/>
          <w:sz w:val="24"/>
          <w:szCs w:val="24"/>
        </w:rPr>
      </w:pPr>
      <w:r w:rsidRPr="007D2E62">
        <w:rPr>
          <w:rFonts w:ascii="Arial" w:hAnsi="Arial" w:cs="Arial"/>
          <w:b/>
          <w:bCs/>
          <w:sz w:val="24"/>
          <w:szCs w:val="24"/>
        </w:rPr>
        <w:t>Quando não for autorizado acesso integral à informação por ser ela parcialmente sigilosa, é assegurado o acesso à parte não sigilosa por meio de certidão, extrato ou cópia com ocultação da parte sob sigilo.</w:t>
      </w:r>
    </w:p>
    <w:p w14:paraId="62E5274D" w14:textId="23C0BD9E" w:rsidR="0075555C" w:rsidRPr="007D2E62" w:rsidRDefault="0075555C" w:rsidP="007D2E62">
      <w:pPr>
        <w:ind w:firstLine="708"/>
        <w:jc w:val="both"/>
        <w:rPr>
          <w:rFonts w:ascii="Arial" w:hAnsi="Arial" w:cs="Arial"/>
          <w:b/>
          <w:bCs/>
          <w:sz w:val="24"/>
          <w:szCs w:val="24"/>
        </w:rPr>
      </w:pPr>
      <w:r w:rsidRPr="007D2E62">
        <w:rPr>
          <w:rFonts w:ascii="Arial" w:hAnsi="Arial" w:cs="Arial"/>
          <w:b/>
          <w:bCs/>
          <w:sz w:val="24"/>
          <w:szCs w:val="24"/>
        </w:rPr>
        <w:t>Na divulgação das informações, deverão constar, no mínimo:</w:t>
      </w:r>
    </w:p>
    <w:p w14:paraId="0C21A25F" w14:textId="77777777" w:rsidR="0075555C" w:rsidRPr="007D2E62" w:rsidRDefault="0075555C" w:rsidP="007D2E62">
      <w:pPr>
        <w:ind w:left="708"/>
        <w:jc w:val="both"/>
        <w:rPr>
          <w:rFonts w:ascii="Arial" w:hAnsi="Arial" w:cs="Arial"/>
          <w:b/>
          <w:bCs/>
          <w:sz w:val="24"/>
          <w:szCs w:val="24"/>
        </w:rPr>
      </w:pPr>
      <w:r w:rsidRPr="007D2E62">
        <w:rPr>
          <w:rFonts w:ascii="Arial" w:hAnsi="Arial" w:cs="Arial"/>
          <w:b/>
          <w:bCs/>
          <w:sz w:val="24"/>
          <w:szCs w:val="24"/>
        </w:rPr>
        <w:t>I - registro das competências e estrutura organizacional, endereços e telefones das respectivas unidades e horários de atendimento ao público;</w:t>
      </w:r>
    </w:p>
    <w:p w14:paraId="015ED17C" w14:textId="77777777" w:rsidR="0075555C" w:rsidRPr="007D2E62" w:rsidRDefault="0075555C" w:rsidP="007D2E62">
      <w:pPr>
        <w:ind w:left="708"/>
        <w:jc w:val="both"/>
        <w:rPr>
          <w:rFonts w:ascii="Arial" w:hAnsi="Arial" w:cs="Arial"/>
          <w:b/>
          <w:bCs/>
          <w:sz w:val="24"/>
          <w:szCs w:val="24"/>
        </w:rPr>
      </w:pPr>
      <w:r w:rsidRPr="007D2E62">
        <w:rPr>
          <w:rFonts w:ascii="Arial" w:hAnsi="Arial" w:cs="Arial"/>
          <w:b/>
          <w:bCs/>
          <w:sz w:val="24"/>
          <w:szCs w:val="24"/>
        </w:rPr>
        <w:t>II - registros de quaisquer repasses ou transferências de recursos financeiros;</w:t>
      </w:r>
    </w:p>
    <w:p w14:paraId="2D9733A7" w14:textId="77777777" w:rsidR="0075555C" w:rsidRPr="007D2E62" w:rsidRDefault="0075555C" w:rsidP="007D2E62">
      <w:pPr>
        <w:ind w:left="708"/>
        <w:jc w:val="both"/>
        <w:rPr>
          <w:rFonts w:ascii="Arial" w:hAnsi="Arial" w:cs="Arial"/>
          <w:b/>
          <w:bCs/>
          <w:sz w:val="24"/>
          <w:szCs w:val="24"/>
        </w:rPr>
      </w:pPr>
      <w:r w:rsidRPr="007D2E62">
        <w:rPr>
          <w:rFonts w:ascii="Arial" w:hAnsi="Arial" w:cs="Arial"/>
          <w:b/>
          <w:bCs/>
          <w:sz w:val="24"/>
          <w:szCs w:val="24"/>
        </w:rPr>
        <w:t>III - registros das despesas;</w:t>
      </w:r>
    </w:p>
    <w:p w14:paraId="1CA54A97" w14:textId="77777777" w:rsidR="0075555C" w:rsidRPr="007D2E62" w:rsidRDefault="0075555C" w:rsidP="007D2E62">
      <w:pPr>
        <w:ind w:left="708"/>
        <w:jc w:val="both"/>
        <w:rPr>
          <w:rFonts w:ascii="Arial" w:hAnsi="Arial" w:cs="Arial"/>
          <w:b/>
          <w:bCs/>
          <w:sz w:val="24"/>
          <w:szCs w:val="24"/>
        </w:rPr>
      </w:pPr>
      <w:r w:rsidRPr="007D2E62">
        <w:rPr>
          <w:rFonts w:ascii="Arial" w:hAnsi="Arial" w:cs="Arial"/>
          <w:b/>
          <w:bCs/>
          <w:sz w:val="24"/>
          <w:szCs w:val="24"/>
        </w:rPr>
        <w:t>IV - informações concernentes a procedimentos licitatórios, inclusive os respectivos editais e resultados, bem como a todos os contratos celebrados;</w:t>
      </w:r>
    </w:p>
    <w:p w14:paraId="0C2B3553" w14:textId="77777777" w:rsidR="0075555C" w:rsidRPr="007D2E62" w:rsidRDefault="0075555C" w:rsidP="007D2E62">
      <w:pPr>
        <w:ind w:left="708"/>
        <w:jc w:val="both"/>
        <w:rPr>
          <w:rFonts w:ascii="Arial" w:hAnsi="Arial" w:cs="Arial"/>
          <w:b/>
          <w:bCs/>
          <w:sz w:val="24"/>
          <w:szCs w:val="24"/>
        </w:rPr>
      </w:pPr>
      <w:r w:rsidRPr="007D2E62">
        <w:rPr>
          <w:rFonts w:ascii="Arial" w:hAnsi="Arial" w:cs="Arial"/>
          <w:b/>
          <w:bCs/>
          <w:sz w:val="24"/>
          <w:szCs w:val="24"/>
        </w:rPr>
        <w:t>V - dados gerais para o acompanhamento de programas, ações, projetos e obras de órgãos e entidades; e</w:t>
      </w:r>
    </w:p>
    <w:p w14:paraId="3F7F98E8" w14:textId="5F1B186F" w:rsidR="007D2E62" w:rsidRDefault="0075555C" w:rsidP="007D2E62">
      <w:pPr>
        <w:ind w:left="708"/>
        <w:jc w:val="both"/>
        <w:rPr>
          <w:rFonts w:ascii="Arial" w:hAnsi="Arial" w:cs="Arial"/>
          <w:b/>
          <w:bCs/>
          <w:sz w:val="24"/>
          <w:szCs w:val="24"/>
        </w:rPr>
      </w:pPr>
      <w:r w:rsidRPr="007D2E62">
        <w:rPr>
          <w:rFonts w:ascii="Arial" w:hAnsi="Arial" w:cs="Arial"/>
          <w:b/>
          <w:bCs/>
          <w:sz w:val="24"/>
          <w:szCs w:val="24"/>
        </w:rPr>
        <w:lastRenderedPageBreak/>
        <w:t>VI - respostas a perguntas mais frequentes da sociedade.</w:t>
      </w:r>
    </w:p>
    <w:p w14:paraId="2FBD5FFE" w14:textId="0333012D" w:rsidR="004308AC" w:rsidRDefault="004308AC" w:rsidP="004308AC">
      <w:pPr>
        <w:ind w:firstLine="708"/>
        <w:jc w:val="both"/>
        <w:rPr>
          <w:rFonts w:ascii="Arial" w:hAnsi="Arial" w:cs="Arial"/>
          <w:b/>
          <w:bCs/>
          <w:sz w:val="24"/>
          <w:szCs w:val="24"/>
        </w:rPr>
      </w:pPr>
      <w:r w:rsidRPr="004308AC">
        <w:rPr>
          <w:rFonts w:ascii="Arial" w:hAnsi="Arial" w:cs="Arial"/>
          <w:b/>
          <w:bCs/>
          <w:sz w:val="24"/>
          <w:szCs w:val="24"/>
        </w:rPr>
        <w:t>Para cumprimento do disposto no caput, os órgãos e entidades públicas deverão utilizar todos os meios e instrumentos legítimos de que dispuserem, sendo obrigatória a divulgação em sítios oficiais da rede mundial de computadores (internet).</w:t>
      </w:r>
    </w:p>
    <w:p w14:paraId="1F0551C6" w14:textId="705FBC1E" w:rsidR="007D2E62" w:rsidRPr="007D2E62" w:rsidRDefault="007D2E62" w:rsidP="004308AC">
      <w:pPr>
        <w:ind w:firstLine="708"/>
        <w:jc w:val="both"/>
        <w:rPr>
          <w:rFonts w:ascii="Arial" w:hAnsi="Arial" w:cs="Arial"/>
          <w:b/>
          <w:bCs/>
          <w:sz w:val="24"/>
          <w:szCs w:val="24"/>
        </w:rPr>
      </w:pPr>
      <w:r w:rsidRPr="007D2E62">
        <w:rPr>
          <w:rFonts w:ascii="Arial" w:hAnsi="Arial" w:cs="Arial"/>
          <w:b/>
          <w:bCs/>
          <w:sz w:val="24"/>
          <w:szCs w:val="24"/>
        </w:rPr>
        <w:t>Os sítios deverão, na forma de regulamento, atender, entre outros, aos seguintes requisitos:</w:t>
      </w:r>
    </w:p>
    <w:p w14:paraId="7B43DB90" w14:textId="7BFC2829" w:rsidR="007D2E62" w:rsidRPr="007D2E62" w:rsidRDefault="007D2E62" w:rsidP="007D2E62">
      <w:pPr>
        <w:ind w:left="708"/>
        <w:jc w:val="both"/>
        <w:rPr>
          <w:rFonts w:ascii="Arial" w:hAnsi="Arial" w:cs="Arial"/>
          <w:b/>
          <w:bCs/>
          <w:sz w:val="24"/>
          <w:szCs w:val="24"/>
        </w:rPr>
      </w:pPr>
      <w:r w:rsidRPr="007D2E62">
        <w:rPr>
          <w:rFonts w:ascii="Arial" w:hAnsi="Arial" w:cs="Arial"/>
          <w:b/>
          <w:bCs/>
          <w:sz w:val="24"/>
          <w:szCs w:val="24"/>
        </w:rPr>
        <w:t>I - conter ferramenta de pesquisa de conteúdo que permita o acesso à informação de forma objetiva, transparente, clara e em linguagem de fácil compreensão;</w:t>
      </w:r>
    </w:p>
    <w:p w14:paraId="5B5F9626" w14:textId="139DB3C5" w:rsidR="007D2E62" w:rsidRPr="007D2E62" w:rsidRDefault="007D2E62" w:rsidP="007D2E62">
      <w:pPr>
        <w:ind w:left="708"/>
        <w:jc w:val="both"/>
        <w:rPr>
          <w:rFonts w:ascii="Arial" w:hAnsi="Arial" w:cs="Arial"/>
          <w:b/>
          <w:bCs/>
          <w:sz w:val="24"/>
          <w:szCs w:val="24"/>
        </w:rPr>
      </w:pPr>
      <w:r w:rsidRPr="007D2E62">
        <w:rPr>
          <w:rFonts w:ascii="Arial" w:hAnsi="Arial" w:cs="Arial"/>
          <w:b/>
          <w:bCs/>
          <w:sz w:val="24"/>
          <w:szCs w:val="24"/>
        </w:rPr>
        <w:t>II - possibilitar a gravação de relatórios em diversos formatos eletrônicos, inclusive abertos e não proprietários, tais como planilhas e texto, de modo a facilitar a análise das informações;</w:t>
      </w:r>
    </w:p>
    <w:p w14:paraId="6D99363A" w14:textId="24063E3F" w:rsidR="007D2E62" w:rsidRPr="007D2E62" w:rsidRDefault="007D2E62" w:rsidP="007D2E62">
      <w:pPr>
        <w:ind w:left="708"/>
        <w:jc w:val="both"/>
        <w:rPr>
          <w:rFonts w:ascii="Arial" w:hAnsi="Arial" w:cs="Arial"/>
          <w:b/>
          <w:bCs/>
          <w:sz w:val="24"/>
          <w:szCs w:val="24"/>
        </w:rPr>
      </w:pPr>
      <w:r w:rsidRPr="007D2E62">
        <w:rPr>
          <w:rFonts w:ascii="Arial" w:hAnsi="Arial" w:cs="Arial"/>
          <w:b/>
          <w:bCs/>
          <w:sz w:val="24"/>
          <w:szCs w:val="24"/>
        </w:rPr>
        <w:t>III - possibilitar o acesso automatizado por sistemas externos em formatos abertos, estruturados e legíveis por máquina;</w:t>
      </w:r>
    </w:p>
    <w:p w14:paraId="1EDAFD01" w14:textId="1E8EBAC6" w:rsidR="007D2E62" w:rsidRPr="007D2E62" w:rsidRDefault="007D2E62" w:rsidP="007D2E62">
      <w:pPr>
        <w:ind w:left="708"/>
        <w:jc w:val="both"/>
        <w:rPr>
          <w:rFonts w:ascii="Arial" w:hAnsi="Arial" w:cs="Arial"/>
          <w:b/>
          <w:bCs/>
          <w:sz w:val="24"/>
          <w:szCs w:val="24"/>
        </w:rPr>
      </w:pPr>
      <w:r w:rsidRPr="007D2E62">
        <w:rPr>
          <w:rFonts w:ascii="Arial" w:hAnsi="Arial" w:cs="Arial"/>
          <w:b/>
          <w:bCs/>
          <w:sz w:val="24"/>
          <w:szCs w:val="24"/>
        </w:rPr>
        <w:t>IV - divulgar em detalhes os formatos utilizados para estruturação da informação;</w:t>
      </w:r>
    </w:p>
    <w:p w14:paraId="05CC69F9" w14:textId="64A00722" w:rsidR="007D2E62" w:rsidRPr="007D2E62" w:rsidRDefault="007D2E62" w:rsidP="007D2E62">
      <w:pPr>
        <w:ind w:left="708"/>
        <w:jc w:val="both"/>
        <w:rPr>
          <w:rFonts w:ascii="Arial" w:hAnsi="Arial" w:cs="Arial"/>
          <w:b/>
          <w:bCs/>
          <w:sz w:val="24"/>
          <w:szCs w:val="24"/>
        </w:rPr>
      </w:pPr>
      <w:r w:rsidRPr="007D2E62">
        <w:rPr>
          <w:rFonts w:ascii="Arial" w:hAnsi="Arial" w:cs="Arial"/>
          <w:b/>
          <w:bCs/>
          <w:sz w:val="24"/>
          <w:szCs w:val="24"/>
        </w:rPr>
        <w:t>V - garantir a autenticidade e a integridade das informações disponíveis para acesso;</w:t>
      </w:r>
    </w:p>
    <w:p w14:paraId="36A60C70" w14:textId="6A3E8EF2" w:rsidR="007D2E62" w:rsidRPr="007D2E62" w:rsidRDefault="007D2E62" w:rsidP="007D2E62">
      <w:pPr>
        <w:ind w:left="708"/>
        <w:jc w:val="both"/>
        <w:rPr>
          <w:rFonts w:ascii="Arial" w:hAnsi="Arial" w:cs="Arial"/>
          <w:b/>
          <w:bCs/>
          <w:sz w:val="24"/>
          <w:szCs w:val="24"/>
        </w:rPr>
      </w:pPr>
      <w:r w:rsidRPr="007D2E62">
        <w:rPr>
          <w:rFonts w:ascii="Arial" w:hAnsi="Arial" w:cs="Arial"/>
          <w:b/>
          <w:bCs/>
          <w:sz w:val="24"/>
          <w:szCs w:val="24"/>
        </w:rPr>
        <w:t>VI - manter atualizadas as informações disponíveis para acesso;</w:t>
      </w:r>
    </w:p>
    <w:p w14:paraId="4BDF0D3A" w14:textId="7CFED3D2" w:rsidR="007D2E62" w:rsidRPr="007D2E62" w:rsidRDefault="007D2E62" w:rsidP="007D2E62">
      <w:pPr>
        <w:ind w:left="708"/>
        <w:jc w:val="both"/>
        <w:rPr>
          <w:rFonts w:ascii="Arial" w:hAnsi="Arial" w:cs="Arial"/>
          <w:b/>
          <w:bCs/>
          <w:sz w:val="24"/>
          <w:szCs w:val="24"/>
        </w:rPr>
      </w:pPr>
      <w:r w:rsidRPr="007D2E62">
        <w:rPr>
          <w:rFonts w:ascii="Arial" w:hAnsi="Arial" w:cs="Arial"/>
          <w:b/>
          <w:bCs/>
          <w:sz w:val="24"/>
          <w:szCs w:val="24"/>
        </w:rPr>
        <w:t>VII - indicar local e instruções que permitam ao interessado comunicar-se, por via eletrônica ou telefônica, com o órgão ou entidade detentora do sítio; e</w:t>
      </w:r>
    </w:p>
    <w:p w14:paraId="2D855475" w14:textId="470B4449" w:rsidR="007D2E62" w:rsidRPr="007D2E62" w:rsidRDefault="007D2E62" w:rsidP="007D2E62">
      <w:pPr>
        <w:ind w:left="708"/>
        <w:jc w:val="both"/>
        <w:rPr>
          <w:rFonts w:ascii="Arial" w:hAnsi="Arial" w:cs="Arial"/>
          <w:b/>
          <w:bCs/>
          <w:sz w:val="24"/>
          <w:szCs w:val="24"/>
        </w:rPr>
      </w:pPr>
      <w:r w:rsidRPr="007D2E62">
        <w:rPr>
          <w:rFonts w:ascii="Arial" w:hAnsi="Arial" w:cs="Arial"/>
          <w:b/>
          <w:bCs/>
          <w:sz w:val="24"/>
          <w:szCs w:val="24"/>
        </w:rPr>
        <w:t>VIII - adotar as medidas necessárias para garantir a acessibilidade de conteúdo para pessoas com deficiência, nos termos do art. 17 da Lei nº 10.098, de 19 de dezembro de 2000, e do art. 9º da Convenção sobre os Direitos das Pessoas com Deficiência, aprovada pelo Decreto Legislativo nº 186, de 9 de julho de 2008.</w:t>
      </w:r>
    </w:p>
    <w:sectPr w:rsidR="007D2E62" w:rsidRPr="007D2E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076A3"/>
    <w:multiLevelType w:val="hybridMultilevel"/>
    <w:tmpl w:val="424849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74"/>
    <w:rsid w:val="000414D7"/>
    <w:rsid w:val="000C378B"/>
    <w:rsid w:val="000D1915"/>
    <w:rsid w:val="004308AC"/>
    <w:rsid w:val="0075555C"/>
    <w:rsid w:val="0077422F"/>
    <w:rsid w:val="007D2E62"/>
    <w:rsid w:val="00887757"/>
    <w:rsid w:val="009377D8"/>
    <w:rsid w:val="00A77727"/>
    <w:rsid w:val="00A81CE6"/>
    <w:rsid w:val="00B81B74"/>
    <w:rsid w:val="00DB16A2"/>
    <w:rsid w:val="00E34018"/>
    <w:rsid w:val="00EA01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26ED"/>
  <w15:chartTrackingRefBased/>
  <w15:docId w15:val="{40F82B25-5C08-408D-8371-E2BE5E60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1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11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8816</TotalTime>
  <Pages>2</Pages>
  <Words>503</Words>
  <Characters>2720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Kuwabata</dc:creator>
  <cp:keywords/>
  <dc:description/>
  <cp:lastModifiedBy>Hewlett-Packard Company</cp:lastModifiedBy>
  <cp:revision>3</cp:revision>
  <dcterms:created xsi:type="dcterms:W3CDTF">2020-02-24T20:42:00Z</dcterms:created>
  <dcterms:modified xsi:type="dcterms:W3CDTF">2020-03-03T01:21:00Z</dcterms:modified>
</cp:coreProperties>
</file>