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Gerald Hawkins's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Gerald Hawkins’s innovative analysis of Stonehenge as an astronomical observatory revealed the sophisticated understanding of celestial mechanics by ancient civilizations. This paper integrates Hawkins’s contributions with Multiplicity Theory, emphasizing the mathematical modeling of alignments, periodic phenomena, and interconnected systems. Using eigenvalue-driven dynamics, tensor interactions, and recursive feedback, this framework explores the interplay between astronomical cycles, structural alignments, and systemic coherence.</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Gerald Hawkins demonstrated that Stonehenge and similar megalithic structures were designed to track celestial events such as solstices, equinoxes, and lunar cycles. Multiplicity Theory, with its emphasis on eigenvalue-based dynamics, feedback loops, and systemic interconnectivity, offers a mathematical framework to expand Hawkins's findings into models capturing the geometric, astronomical, and temporal coherence of these structures.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\section{Astronomical Alignments and Multiplicity Theory}</w:t>
      </w:r>
    </w:p>
    <w:p w:rsidR="00000000" w:rsidDel="00000000" w:rsidP="00000000" w:rsidRDefault="00000000" w:rsidRPr="00000000" w14:paraId="00000016">
      <w:pPr>
        <w:rPr/>
      </w:pPr>
      <w:r w:rsidDel="00000000" w:rsidR="00000000" w:rsidRPr="00000000">
        <w:rPr>
          <w:rtl w:val="0"/>
        </w:rPr>
        <w:t xml:space="preserve">Hawkins's work identified alignments in Stonehenge that correspond to key astronomical events. These alignments can be modeled mathematically as eigenvalue relationships in Multiplicity Theory:</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M(t) = \sum_{i=1}^N \lambda_i \mu_i e^{i\theta_i(t)} \cdot v_i,</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\(\lambda_i\): Eigenvalues representing the precision of astronomical alignments,</w:t>
      </w:r>
    </w:p>
    <w:p w:rsidR="00000000" w:rsidDel="00000000" w:rsidP="00000000" w:rsidRDefault="00000000" w:rsidRPr="00000000" w14:paraId="0000001D">
      <w:pPr>
        <w:rPr/>
      </w:pPr>
      <w:r w:rsidDel="00000000" w:rsidR="00000000" w:rsidRPr="00000000">
        <w:rPr>
          <w:rtl w:val="0"/>
        </w:rPr>
        <w:t xml:space="preserve">    \item \(\mu_i\): Multiplicity of alignments associated with each celestial event,</w:t>
      </w:r>
    </w:p>
    <w:p w:rsidR="00000000" w:rsidDel="00000000" w:rsidP="00000000" w:rsidRDefault="00000000" w:rsidRPr="00000000" w14:paraId="0000001E">
      <w:pPr>
        <w:rPr/>
      </w:pPr>
      <w:r w:rsidDel="00000000" w:rsidR="00000000" w:rsidRPr="00000000">
        <w:rPr>
          <w:rtl w:val="0"/>
        </w:rPr>
        <w:t xml:space="preserve">    \item \(e^{i\theta_i(t)}\): Phase term capturing temporal coherence,</w:t>
      </w:r>
    </w:p>
    <w:p w:rsidR="00000000" w:rsidDel="00000000" w:rsidP="00000000" w:rsidRDefault="00000000" w:rsidRPr="00000000" w14:paraId="0000001F">
      <w:pPr>
        <w:rPr/>
      </w:pPr>
      <w:r w:rsidDel="00000000" w:rsidR="00000000" w:rsidRPr="00000000">
        <w:rPr>
          <w:rtl w:val="0"/>
        </w:rPr>
        <w:t xml:space="preserve">    \item \(v_i\): Eigenvectors representing spatial configurations of alignments.</w:t>
      </w:r>
    </w:p>
    <w:p w:rsidR="00000000" w:rsidDel="00000000" w:rsidP="00000000" w:rsidRDefault="00000000" w:rsidRPr="00000000" w14:paraId="00000020">
      <w:pPr>
        <w:rPr/>
      </w:pPr>
      <w:r w:rsidDel="00000000" w:rsidR="00000000" w:rsidRPr="00000000">
        <w:rPr>
          <w:rtl w:val="0"/>
        </w:rPr>
        <w:t xml:space="preserve">\end{itemize}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\subsection{Periodicity of Celestial Events}</w:t>
      </w:r>
    </w:p>
    <w:p w:rsidR="00000000" w:rsidDel="00000000" w:rsidP="00000000" w:rsidRDefault="00000000" w:rsidRPr="00000000" w14:paraId="00000023">
      <w:pPr>
        <w:rPr/>
      </w:pPr>
      <w:r w:rsidDel="00000000" w:rsidR="00000000" w:rsidRPr="00000000">
        <w:rPr>
          <w:rtl w:val="0"/>
        </w:rPr>
        <w:t xml:space="preserve">The periodic nature of celestial events can be represented as:</w:t>
      </w:r>
    </w:p>
    <w:p w:rsidR="00000000" w:rsidDel="00000000" w:rsidP="00000000" w:rsidRDefault="00000000" w:rsidRPr="00000000" w14:paraId="00000024">
      <w:pPr>
        <w:rPr/>
      </w:pPr>
      <w:r w:rsidDel="00000000" w:rsidR="00000000" w:rsidRPr="00000000">
        <w:rPr>
          <w:rtl w:val="0"/>
        </w:rPr>
        <w:t xml:space="preserve">\begin{equation}</w:t>
      </w:r>
    </w:p>
    <w:p w:rsidR="00000000" w:rsidDel="00000000" w:rsidP="00000000" w:rsidRDefault="00000000" w:rsidRPr="00000000" w14:paraId="00000025">
      <w:pPr>
        <w:rPr/>
      </w:pPr>
      <w:r w:rsidDel="00000000" w:rsidR="00000000" w:rsidRPr="00000000">
        <w:rPr>
          <w:rtl w:val="0"/>
        </w:rPr>
        <w:t xml:space="preserve">\theta(t) = \omega t + \theta_0,</w:t>
      </w:r>
    </w:p>
    <w:p w:rsidR="00000000" w:rsidDel="00000000" w:rsidP="00000000" w:rsidRDefault="00000000" w:rsidRPr="00000000" w14:paraId="00000026">
      <w:pPr>
        <w:rPr/>
      </w:pPr>
      <w:r w:rsidDel="00000000" w:rsidR="00000000" w:rsidRPr="00000000">
        <w:rPr>
          <w:rtl w:val="0"/>
        </w:rPr>
        <w:t xml:space="preserve">\end{equation}</w:t>
      </w:r>
    </w:p>
    <w:p w:rsidR="00000000" w:rsidDel="00000000" w:rsidP="00000000" w:rsidRDefault="00000000" w:rsidRPr="00000000" w14:paraId="00000027">
      <w:pPr>
        <w:rPr/>
      </w:pPr>
      <w:r w:rsidDel="00000000" w:rsidR="00000000" w:rsidRPr="00000000">
        <w:rPr>
          <w:rtl w:val="0"/>
        </w:rPr>
        <w:t xml:space="preserve">where:</w:t>
      </w:r>
    </w:p>
    <w:p w:rsidR="00000000" w:rsidDel="00000000" w:rsidP="00000000" w:rsidRDefault="00000000" w:rsidRPr="00000000" w14:paraId="00000028">
      <w:pPr>
        <w:rPr/>
      </w:pPr>
      <w:r w:rsidDel="00000000" w:rsidR="00000000" w:rsidRPr="00000000">
        <w:rPr>
          <w:rtl w:val="0"/>
        </w:rPr>
        <w:t xml:space="preserve">\begin{itemize}</w:t>
      </w:r>
    </w:p>
    <w:p w:rsidR="00000000" w:rsidDel="00000000" w:rsidP="00000000" w:rsidRDefault="00000000" w:rsidRPr="00000000" w14:paraId="00000029">
      <w:pPr>
        <w:rPr/>
      </w:pPr>
      <w:r w:rsidDel="00000000" w:rsidR="00000000" w:rsidRPr="00000000">
        <w:rPr>
          <w:rtl w:val="0"/>
        </w:rPr>
        <w:t xml:space="preserve">    \item \(\omega\): Angular frequency of the celestial event,</w:t>
      </w:r>
    </w:p>
    <w:p w:rsidR="00000000" w:rsidDel="00000000" w:rsidP="00000000" w:rsidRDefault="00000000" w:rsidRPr="00000000" w14:paraId="0000002A">
      <w:pPr>
        <w:rPr/>
      </w:pPr>
      <w:r w:rsidDel="00000000" w:rsidR="00000000" w:rsidRPr="00000000">
        <w:rPr>
          <w:rtl w:val="0"/>
        </w:rPr>
        <w:t xml:space="preserve">    \item \(\theta_0\): Initial phase.</w:t>
      </w:r>
    </w:p>
    <w:p w:rsidR="00000000" w:rsidDel="00000000" w:rsidP="00000000" w:rsidRDefault="00000000" w:rsidRPr="00000000" w14:paraId="0000002B">
      <w:pPr>
        <w:rPr/>
      </w:pPr>
      <w:r w:rsidDel="00000000" w:rsidR="00000000" w:rsidRPr="00000000">
        <w:rPr>
          <w:rtl w:val="0"/>
        </w:rPr>
        <w:t xml:space="preserve">\end{itemize}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\section{Geometric Patterns and Astronomical Cycles}</w:t>
      </w:r>
    </w:p>
    <w:p w:rsidR="00000000" w:rsidDel="00000000" w:rsidP="00000000" w:rsidRDefault="00000000" w:rsidRPr="00000000" w14:paraId="0000002E">
      <w:pPr>
        <w:rPr/>
      </w:pPr>
      <w:r w:rsidDel="00000000" w:rsidR="00000000" w:rsidRPr="00000000">
        <w:rPr>
          <w:rtl w:val="0"/>
        </w:rPr>
        <w:t xml:space="preserve">Hawkins demonstrated that geometric patterns in Stonehenge align with astronomical cycles. The angular separations between key stones can be expressed as:</w:t>
      </w:r>
    </w:p>
    <w:p w:rsidR="00000000" w:rsidDel="00000000" w:rsidP="00000000" w:rsidRDefault="00000000" w:rsidRPr="00000000" w14:paraId="0000002F">
      <w:pPr>
        <w:rPr/>
      </w:pPr>
      <w:r w:rsidDel="00000000" w:rsidR="00000000" w:rsidRPr="00000000">
        <w:rPr>
          <w:rtl w:val="0"/>
        </w:rPr>
        <w:t xml:space="preserve">\begin{equation}</w:t>
      </w:r>
    </w:p>
    <w:p w:rsidR="00000000" w:rsidDel="00000000" w:rsidP="00000000" w:rsidRDefault="00000000" w:rsidRPr="00000000" w14:paraId="00000030">
      <w:pPr>
        <w:rPr/>
      </w:pPr>
      <w:r w:rsidDel="00000000" w:rsidR="00000000" w:rsidRPr="00000000">
        <w:rPr>
          <w:rtl w:val="0"/>
        </w:rPr>
        <w:t xml:space="preserve">\theta = \arccos\left(\frac{\vec{A} \cdot \vec{B}}{|\vec{A}||\vec{B}|}\right),</w:t>
      </w:r>
    </w:p>
    <w:p w:rsidR="00000000" w:rsidDel="00000000" w:rsidP="00000000" w:rsidRDefault="00000000" w:rsidRPr="00000000" w14:paraId="00000031">
      <w:pPr>
        <w:rPr/>
      </w:pPr>
      <w:r w:rsidDel="00000000" w:rsidR="00000000" w:rsidRPr="00000000">
        <w:rPr>
          <w:rtl w:val="0"/>
        </w:rPr>
        <w:t xml:space="preserve">\end{equation}</w:t>
      </w:r>
    </w:p>
    <w:p w:rsidR="00000000" w:rsidDel="00000000" w:rsidP="00000000" w:rsidRDefault="00000000" w:rsidRPr="00000000" w14:paraId="00000032">
      <w:pPr>
        <w:rPr/>
      </w:pPr>
      <w:r w:rsidDel="00000000" w:rsidR="00000000" w:rsidRPr="00000000">
        <w:rPr>
          <w:rtl w:val="0"/>
        </w:rPr>
        <w:t xml:space="preserve">where:</w:t>
      </w:r>
    </w:p>
    <w:p w:rsidR="00000000" w:rsidDel="00000000" w:rsidP="00000000" w:rsidRDefault="00000000" w:rsidRPr="00000000" w14:paraId="00000033">
      <w:pPr>
        <w:rPr/>
      </w:pPr>
      <w:r w:rsidDel="00000000" w:rsidR="00000000" w:rsidRPr="00000000">
        <w:rPr>
          <w:rtl w:val="0"/>
        </w:rPr>
        <w:t xml:space="preserve">\begin{itemize}</w:t>
      </w:r>
    </w:p>
    <w:p w:rsidR="00000000" w:rsidDel="00000000" w:rsidP="00000000" w:rsidRDefault="00000000" w:rsidRPr="00000000" w14:paraId="00000034">
      <w:pPr>
        <w:rPr/>
      </w:pPr>
      <w:r w:rsidDel="00000000" w:rsidR="00000000" w:rsidRPr="00000000">
        <w:rPr>
          <w:rtl w:val="0"/>
        </w:rPr>
        <w:t xml:space="preserve">    \item \(\vec{A}\): Vector pointing to a celestial body,</w:t>
      </w:r>
    </w:p>
    <w:p w:rsidR="00000000" w:rsidDel="00000000" w:rsidP="00000000" w:rsidRDefault="00000000" w:rsidRPr="00000000" w14:paraId="00000035">
      <w:pPr>
        <w:rPr/>
      </w:pPr>
      <w:r w:rsidDel="00000000" w:rsidR="00000000" w:rsidRPr="00000000">
        <w:rPr>
          <w:rtl w:val="0"/>
        </w:rPr>
        <w:t xml:space="preserve">    \item \(\vec{B}\): Vector of the structural alignment.</w:t>
      </w:r>
    </w:p>
    <w:p w:rsidR="00000000" w:rsidDel="00000000" w:rsidP="00000000" w:rsidRDefault="00000000" w:rsidRPr="00000000" w14:paraId="00000036">
      <w:pPr>
        <w:rPr/>
      </w:pPr>
      <w:r w:rsidDel="00000000" w:rsidR="00000000" w:rsidRPr="00000000">
        <w:rPr>
          <w:rtl w:val="0"/>
        </w:rPr>
        <w:t xml:space="preserve">\end{itemize}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\subsection{Eigenvalue Dynamics of Cycles}</w:t>
      </w:r>
    </w:p>
    <w:p w:rsidR="00000000" w:rsidDel="00000000" w:rsidP="00000000" w:rsidRDefault="00000000" w:rsidRPr="00000000" w14:paraId="00000039">
      <w:pPr>
        <w:rPr/>
      </w:pPr>
      <w:r w:rsidDel="00000000" w:rsidR="00000000" w:rsidRPr="00000000">
        <w:rPr>
          <w:rtl w:val="0"/>
        </w:rPr>
        <w:t xml:space="preserve">The eigenvalue dynamics governing the alignment and evolution of cycles are:</w:t>
      </w:r>
    </w:p>
    <w:p w:rsidR="00000000" w:rsidDel="00000000" w:rsidP="00000000" w:rsidRDefault="00000000" w:rsidRPr="00000000" w14:paraId="0000003A">
      <w:pPr>
        <w:rPr/>
      </w:pPr>
      <w:r w:rsidDel="00000000" w:rsidR="00000000" w:rsidRPr="00000000">
        <w:rPr>
          <w:rtl w:val="0"/>
        </w:rPr>
        <w:t xml:space="preserve">\begin{equation}</w:t>
      </w:r>
    </w:p>
    <w:p w:rsidR="00000000" w:rsidDel="00000000" w:rsidP="00000000" w:rsidRDefault="00000000" w:rsidRPr="00000000" w14:paraId="0000003B">
      <w:pPr>
        <w:rPr/>
      </w:pPr>
      <w:r w:rsidDel="00000000" w:rsidR="00000000" w:rsidRPr="00000000">
        <w:rPr>
          <w:rtl w:val="0"/>
        </w:rPr>
        <w:t xml:space="preserve">\Delta M(t) = \sum_{i, j} \Delta \lambda_{ij} \mu_{ij} e^{i(\theta_i(t) - \theta_j(t))}.</w:t>
      </w:r>
    </w:p>
    <w:p w:rsidR="00000000" w:rsidDel="00000000" w:rsidP="00000000" w:rsidRDefault="00000000" w:rsidRPr="00000000" w14:paraId="0000003C">
      <w:pPr>
        <w:rPr/>
      </w:pPr>
      <w:r w:rsidDel="00000000" w:rsidR="00000000" w:rsidRPr="00000000">
        <w:rPr>
          <w:rtl w:val="0"/>
        </w:rPr>
        <w:t xml:space="preserve">\end{equation}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\section{Tensor Networks for Celestial and Structural Interactions}</w:t>
      </w:r>
    </w:p>
    <w:p w:rsidR="00000000" w:rsidDel="00000000" w:rsidP="00000000" w:rsidRDefault="00000000" w:rsidRPr="00000000" w14:paraId="0000003F">
      <w:pPr>
        <w:rPr/>
      </w:pPr>
      <w:r w:rsidDel="00000000" w:rsidR="00000000" w:rsidRPr="00000000">
        <w:rPr>
          <w:rtl w:val="0"/>
        </w:rPr>
        <w:t xml:space="preserve">The interplay between celestial cycles and structural alignments can be represented using tensors:</w:t>
      </w:r>
    </w:p>
    <w:p w:rsidR="00000000" w:rsidDel="00000000" w:rsidP="00000000" w:rsidRDefault="00000000" w:rsidRPr="00000000" w14:paraId="00000040">
      <w:pPr>
        <w:rPr/>
      </w:pPr>
      <w:r w:rsidDel="00000000" w:rsidR="00000000" w:rsidRPr="00000000">
        <w:rPr>
          <w:rtl w:val="0"/>
        </w:rPr>
        <w:t xml:space="preserve">\begin{equation}</w:t>
      </w:r>
    </w:p>
    <w:p w:rsidR="00000000" w:rsidDel="00000000" w:rsidP="00000000" w:rsidRDefault="00000000" w:rsidRPr="00000000" w14:paraId="00000041">
      <w:pPr>
        <w:rPr/>
      </w:pPr>
      <w:r w:rsidDel="00000000" w:rsidR="00000000" w:rsidRPr="00000000">
        <w:rPr>
          <w:rtl w:val="0"/>
        </w:rPr>
        <w:t xml:space="preserve">T_{ijk} = \sum_{\alpha, \beta} A_i^\alpha G_j^\beta \psi_k,</w:t>
      </w:r>
    </w:p>
    <w:p w:rsidR="00000000" w:rsidDel="00000000" w:rsidP="00000000" w:rsidRDefault="00000000" w:rsidRPr="00000000" w14:paraId="00000042">
      <w:pPr>
        <w:rPr/>
      </w:pPr>
      <w:r w:rsidDel="00000000" w:rsidR="00000000" w:rsidRPr="00000000">
        <w:rPr>
          <w:rtl w:val="0"/>
        </w:rPr>
        <w:t xml:space="preserve">\end{equation}</w:t>
      </w:r>
    </w:p>
    <w:p w:rsidR="00000000" w:rsidDel="00000000" w:rsidP="00000000" w:rsidRDefault="00000000" w:rsidRPr="00000000" w14:paraId="00000043">
      <w:pPr>
        <w:rPr/>
      </w:pPr>
      <w:r w:rsidDel="00000000" w:rsidR="00000000" w:rsidRPr="00000000">
        <w:rPr>
          <w:rtl w:val="0"/>
        </w:rPr>
        <w:t xml:space="preserve">where:</w:t>
      </w:r>
    </w:p>
    <w:p w:rsidR="00000000" w:rsidDel="00000000" w:rsidP="00000000" w:rsidRDefault="00000000" w:rsidRPr="00000000" w14:paraId="00000044">
      <w:pPr>
        <w:rPr/>
      </w:pPr>
      <w:r w:rsidDel="00000000" w:rsidR="00000000" w:rsidRPr="00000000">
        <w:rPr>
          <w:rtl w:val="0"/>
        </w:rPr>
        <w:t xml:space="preserve">\begin{itemize}</w:t>
      </w:r>
    </w:p>
    <w:p w:rsidR="00000000" w:rsidDel="00000000" w:rsidP="00000000" w:rsidRDefault="00000000" w:rsidRPr="00000000" w14:paraId="00000045">
      <w:pPr>
        <w:rPr/>
      </w:pPr>
      <w:r w:rsidDel="00000000" w:rsidR="00000000" w:rsidRPr="00000000">
        <w:rPr>
          <w:rtl w:val="0"/>
        </w:rPr>
        <w:t xml:space="preserve">    \item \(A_i^\alpha\): Astronomical parameters (e.g., declination, azimuth),</w:t>
      </w:r>
    </w:p>
    <w:p w:rsidR="00000000" w:rsidDel="00000000" w:rsidP="00000000" w:rsidRDefault="00000000" w:rsidRPr="00000000" w14:paraId="00000046">
      <w:pPr>
        <w:rPr/>
      </w:pPr>
      <w:r w:rsidDel="00000000" w:rsidR="00000000" w:rsidRPr="00000000">
        <w:rPr>
          <w:rtl w:val="0"/>
        </w:rPr>
        <w:t xml:space="preserve">    \item \(G_j^\beta\): Geometric parameters (e.g., stone positions, angles),</w:t>
      </w:r>
    </w:p>
    <w:p w:rsidR="00000000" w:rsidDel="00000000" w:rsidP="00000000" w:rsidRDefault="00000000" w:rsidRPr="00000000" w14:paraId="00000047">
      <w:pPr>
        <w:rPr/>
      </w:pPr>
      <w:r w:rsidDel="00000000" w:rsidR="00000000" w:rsidRPr="00000000">
        <w:rPr>
          <w:rtl w:val="0"/>
        </w:rPr>
        <w:t xml:space="preserve">    \item \(\psi_k\): Tensor weights representing coherence between cycles and alignments.</w:t>
      </w:r>
    </w:p>
    <w:p w:rsidR="00000000" w:rsidDel="00000000" w:rsidP="00000000" w:rsidRDefault="00000000" w:rsidRPr="00000000" w14:paraId="00000048">
      <w:pPr>
        <w:rPr/>
      </w:pPr>
      <w:r w:rsidDel="00000000" w:rsidR="00000000" w:rsidRPr="00000000">
        <w:rPr>
          <w:rtl w:val="0"/>
        </w:rPr>
        <w:t xml:space="preserve">\end{itemize}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\subsection{Coherence and Resonance in Multiplicity Theory}</w:t>
      </w:r>
    </w:p>
    <w:p w:rsidR="00000000" w:rsidDel="00000000" w:rsidP="00000000" w:rsidRDefault="00000000" w:rsidRPr="00000000" w14:paraId="0000004B">
      <w:pPr>
        <w:rPr/>
      </w:pPr>
      <w:r w:rsidDel="00000000" w:rsidR="00000000" w:rsidRPr="00000000">
        <w:rPr>
          <w:rtl w:val="0"/>
        </w:rPr>
        <w:t xml:space="preserve">Systemic resonance between celestial events and structural alignments can be expressed as:</w:t>
      </w:r>
    </w:p>
    <w:p w:rsidR="00000000" w:rsidDel="00000000" w:rsidP="00000000" w:rsidRDefault="00000000" w:rsidRPr="00000000" w14:paraId="0000004C">
      <w:pPr>
        <w:rPr/>
      </w:pPr>
      <w:r w:rsidDel="00000000" w:rsidR="00000000" w:rsidRPr="00000000">
        <w:rPr>
          <w:rtl w:val="0"/>
        </w:rPr>
        <w:t xml:space="preserve">\begin{equation}</w:t>
      </w:r>
    </w:p>
    <w:p w:rsidR="00000000" w:rsidDel="00000000" w:rsidP="00000000" w:rsidRDefault="00000000" w:rsidRPr="00000000" w14:paraId="0000004D">
      <w:pPr>
        <w:rPr/>
      </w:pPr>
      <w:r w:rsidDel="00000000" w:rsidR="00000000" w:rsidRPr="00000000">
        <w:rPr>
          <w:rtl w:val="0"/>
        </w:rPr>
        <w:t xml:space="preserve">\Psi_\text{res}(t) = \sum_{i,j} T_{ij} \cos(\omega_i t - \omega_j t),</w:t>
      </w:r>
    </w:p>
    <w:p w:rsidR="00000000" w:rsidDel="00000000" w:rsidP="00000000" w:rsidRDefault="00000000" w:rsidRPr="00000000" w14:paraId="0000004E">
      <w:pPr>
        <w:rPr/>
      </w:pPr>
      <w:r w:rsidDel="00000000" w:rsidR="00000000" w:rsidRPr="00000000">
        <w:rPr>
          <w:rtl w:val="0"/>
        </w:rPr>
        <w:t xml:space="preserve">\end{equation}</w:t>
      </w:r>
    </w:p>
    <w:p w:rsidR="00000000" w:rsidDel="00000000" w:rsidP="00000000" w:rsidRDefault="00000000" w:rsidRPr="00000000" w14:paraId="0000004F">
      <w:pPr>
        <w:rPr/>
      </w:pPr>
      <w:r w:rsidDel="00000000" w:rsidR="00000000" w:rsidRPr="00000000">
        <w:rPr>
          <w:rtl w:val="0"/>
        </w:rPr>
        <w:t xml:space="preserve">where \(\omega_i\) and \(\omega_j\) are the angular frequencies of celestial phenomena.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\section{Feedback Mechanisms in Astronomical Systems}</w:t>
      </w:r>
    </w:p>
    <w:p w:rsidR="00000000" w:rsidDel="00000000" w:rsidP="00000000" w:rsidRDefault="00000000" w:rsidRPr="00000000" w14:paraId="00000052">
      <w:pPr>
        <w:rPr/>
      </w:pPr>
      <w:r w:rsidDel="00000000" w:rsidR="00000000" w:rsidRPr="00000000">
        <w:rPr>
          <w:rtl w:val="0"/>
        </w:rPr>
        <w:t xml:space="preserve">\subsection{Recursive Feedback for Alignment Adaptations}</w:t>
      </w:r>
    </w:p>
    <w:p w:rsidR="00000000" w:rsidDel="00000000" w:rsidP="00000000" w:rsidRDefault="00000000" w:rsidRPr="00000000" w14:paraId="00000053">
      <w:pPr>
        <w:rPr/>
      </w:pPr>
      <w:r w:rsidDel="00000000" w:rsidR="00000000" w:rsidRPr="00000000">
        <w:rPr>
          <w:rtl w:val="0"/>
        </w:rPr>
        <w:t xml:space="preserve">The recursive feedback loops regulating alignments and coherence are given by:</w:t>
      </w:r>
    </w:p>
    <w:p w:rsidR="00000000" w:rsidDel="00000000" w:rsidP="00000000" w:rsidRDefault="00000000" w:rsidRPr="00000000" w14:paraId="00000054">
      <w:pPr>
        <w:rPr/>
      </w:pPr>
      <w:r w:rsidDel="00000000" w:rsidR="00000000" w:rsidRPr="00000000">
        <w:rPr>
          <w:rtl w:val="0"/>
        </w:rPr>
        <w:t xml:space="preserve">\begin{equation}</w:t>
      </w:r>
    </w:p>
    <w:p w:rsidR="00000000" w:rsidDel="00000000" w:rsidP="00000000" w:rsidRDefault="00000000" w:rsidRPr="00000000" w14:paraId="00000055">
      <w:pPr>
        <w:rPr/>
      </w:pPr>
      <w:r w:rsidDel="00000000" w:rsidR="00000000" w:rsidRPr="00000000">
        <w:rPr>
          <w:rtl w:val="0"/>
        </w:rPr>
        <w:t xml:space="preserve">\frac{d\lambda_i}{dt} = F(\mu_i, \psi(t)),</w:t>
      </w:r>
    </w:p>
    <w:p w:rsidR="00000000" w:rsidDel="00000000" w:rsidP="00000000" w:rsidRDefault="00000000" w:rsidRPr="00000000" w14:paraId="00000056">
      <w:pPr>
        <w:rPr/>
      </w:pPr>
      <w:r w:rsidDel="00000000" w:rsidR="00000000" w:rsidRPr="00000000">
        <w:rPr>
          <w:rtl w:val="0"/>
        </w:rPr>
        <w:t xml:space="preserve">\end{equation}</w:t>
      </w:r>
    </w:p>
    <w:p w:rsidR="00000000" w:rsidDel="00000000" w:rsidP="00000000" w:rsidRDefault="00000000" w:rsidRPr="00000000" w14:paraId="00000057">
      <w:pPr>
        <w:rPr/>
      </w:pPr>
      <w:r w:rsidDel="00000000" w:rsidR="00000000" w:rsidRPr="00000000">
        <w:rPr>
          <w:rtl w:val="0"/>
        </w:rPr>
        <w:t xml:space="preserve">where \(F(\mu_i, \psi(t))\) adjusts eigenvalues based on environmental and temporal inputs.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\subsection{Stability of Alignment Systems}</w:t>
      </w:r>
    </w:p>
    <w:p w:rsidR="00000000" w:rsidDel="00000000" w:rsidP="00000000" w:rsidRDefault="00000000" w:rsidRPr="00000000" w14:paraId="0000005A">
      <w:pPr>
        <w:rPr/>
      </w:pPr>
      <w:r w:rsidDel="00000000" w:rsidR="00000000" w:rsidRPr="00000000">
        <w:rPr>
          <w:rtl w:val="0"/>
        </w:rPr>
        <w:t xml:space="preserve">The stability of alignments over time is modeled as:</w:t>
      </w:r>
    </w:p>
    <w:p w:rsidR="00000000" w:rsidDel="00000000" w:rsidP="00000000" w:rsidRDefault="00000000" w:rsidRPr="00000000" w14:paraId="0000005B">
      <w:pPr>
        <w:rPr/>
      </w:pPr>
      <w:r w:rsidDel="00000000" w:rsidR="00000000" w:rsidRPr="00000000">
        <w:rPr>
          <w:rtl w:val="0"/>
        </w:rPr>
        <w:t xml:space="preserve">\begin{equation}</w:t>
      </w:r>
    </w:p>
    <w:p w:rsidR="00000000" w:rsidDel="00000000" w:rsidP="00000000" w:rsidRDefault="00000000" w:rsidRPr="00000000" w14:paraId="0000005C">
      <w:pPr>
        <w:rPr/>
      </w:pPr>
      <w:r w:rsidDel="00000000" w:rsidR="00000000" w:rsidRPr="00000000">
        <w:rPr>
          <w:rtl w:val="0"/>
        </w:rPr>
        <w:t xml:space="preserve">\lambda_i(t+1) = \lambda_i(t) + \Delta \lambda_i \cdot e^{-\gamma t},</w:t>
      </w:r>
    </w:p>
    <w:p w:rsidR="00000000" w:rsidDel="00000000" w:rsidP="00000000" w:rsidRDefault="00000000" w:rsidRPr="00000000" w14:paraId="0000005D">
      <w:pPr>
        <w:rPr/>
      </w:pPr>
      <w:r w:rsidDel="00000000" w:rsidR="00000000" w:rsidRPr="00000000">
        <w:rPr>
          <w:rtl w:val="0"/>
        </w:rPr>
        <w:t xml:space="preserve">\end{equation}</w:t>
      </w:r>
    </w:p>
    <w:p w:rsidR="00000000" w:rsidDel="00000000" w:rsidP="00000000" w:rsidRDefault="00000000" w:rsidRPr="00000000" w14:paraId="0000005E">
      <w:pPr>
        <w:rPr/>
      </w:pPr>
      <w:r w:rsidDel="00000000" w:rsidR="00000000" w:rsidRPr="00000000">
        <w:rPr>
          <w:rtl w:val="0"/>
        </w:rPr>
        <w:t xml:space="preserve">where \(\gamma\) is a damping coefficient representing environmental and structural stability.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\section{Applications of the Hawkins-Multiplicity Framework}</w:t>
      </w:r>
    </w:p>
    <w:p w:rsidR="00000000" w:rsidDel="00000000" w:rsidP="00000000" w:rsidRDefault="00000000" w:rsidRPr="00000000" w14:paraId="00000061">
      <w:pPr>
        <w:rPr/>
      </w:pPr>
      <w:r w:rsidDel="00000000" w:rsidR="00000000" w:rsidRPr="00000000">
        <w:rPr>
          <w:rtl w:val="0"/>
        </w:rPr>
        <w:t xml:space="preserve">\subsection{Astronomical Observatories}</w:t>
      </w:r>
    </w:p>
    <w:p w:rsidR="00000000" w:rsidDel="00000000" w:rsidP="00000000" w:rsidRDefault="00000000" w:rsidRPr="00000000" w14:paraId="00000062">
      <w:pPr>
        <w:rPr/>
      </w:pPr>
      <w:r w:rsidDel="00000000" w:rsidR="00000000" w:rsidRPr="00000000">
        <w:rPr>
          <w:rtl w:val="0"/>
        </w:rPr>
        <w:t xml:space="preserve">The framework models:</w:t>
      </w:r>
    </w:p>
    <w:p w:rsidR="00000000" w:rsidDel="00000000" w:rsidP="00000000" w:rsidRDefault="00000000" w:rsidRPr="00000000" w14:paraId="00000063">
      <w:pPr>
        <w:rPr/>
      </w:pPr>
      <w:r w:rsidDel="00000000" w:rsidR="00000000" w:rsidRPr="00000000">
        <w:rPr>
          <w:rtl w:val="0"/>
        </w:rPr>
        <w:t xml:space="preserve">\begin{itemize}</w:t>
      </w:r>
    </w:p>
    <w:p w:rsidR="00000000" w:rsidDel="00000000" w:rsidP="00000000" w:rsidRDefault="00000000" w:rsidRPr="00000000" w14:paraId="00000064">
      <w:pPr>
        <w:rPr/>
      </w:pPr>
      <w:r w:rsidDel="00000000" w:rsidR="00000000" w:rsidRPr="00000000">
        <w:rPr>
          <w:rtl w:val="0"/>
        </w:rPr>
        <w:t xml:space="preserve">    \item The precision of alignments in ancient observatories,</w:t>
      </w:r>
    </w:p>
    <w:p w:rsidR="00000000" w:rsidDel="00000000" w:rsidP="00000000" w:rsidRDefault="00000000" w:rsidRPr="00000000" w14:paraId="00000065">
      <w:pPr>
        <w:rPr/>
      </w:pPr>
      <w:r w:rsidDel="00000000" w:rsidR="00000000" w:rsidRPr="00000000">
        <w:rPr>
          <w:rtl w:val="0"/>
        </w:rPr>
        <w:t xml:space="preserve">    \item Tracking of lunar and solar cycles.</w:t>
      </w:r>
    </w:p>
    <w:p w:rsidR="00000000" w:rsidDel="00000000" w:rsidP="00000000" w:rsidRDefault="00000000" w:rsidRPr="00000000" w14:paraId="00000066">
      <w:pPr>
        <w:rPr/>
      </w:pPr>
      <w:r w:rsidDel="00000000" w:rsidR="00000000" w:rsidRPr="00000000">
        <w:rPr>
          <w:rtl w:val="0"/>
        </w:rPr>
        <w:t xml:space="preserve">\end{itemize}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\subsection{Predictive Modeling of Ancient Systems}</w:t>
      </w:r>
    </w:p>
    <w:p w:rsidR="00000000" w:rsidDel="00000000" w:rsidP="00000000" w:rsidRDefault="00000000" w:rsidRPr="00000000" w14:paraId="00000069">
      <w:pPr>
        <w:rPr/>
      </w:pPr>
      <w:r w:rsidDel="00000000" w:rsidR="00000000" w:rsidRPr="00000000">
        <w:rPr>
          <w:rtl w:val="0"/>
        </w:rPr>
        <w:t xml:space="preserve">Potential applications include:</w:t>
      </w:r>
    </w:p>
    <w:p w:rsidR="00000000" w:rsidDel="00000000" w:rsidP="00000000" w:rsidRDefault="00000000" w:rsidRPr="00000000" w14:paraId="0000006A">
      <w:pPr>
        <w:rPr/>
      </w:pPr>
      <w:r w:rsidDel="00000000" w:rsidR="00000000" w:rsidRPr="00000000">
        <w:rPr>
          <w:rtl w:val="0"/>
        </w:rPr>
        <w:t xml:space="preserve">\begin{itemize}</w:t>
      </w:r>
    </w:p>
    <w:p w:rsidR="00000000" w:rsidDel="00000000" w:rsidP="00000000" w:rsidRDefault="00000000" w:rsidRPr="00000000" w14:paraId="0000006B">
      <w:pPr>
        <w:rPr/>
      </w:pPr>
      <w:r w:rsidDel="00000000" w:rsidR="00000000" w:rsidRPr="00000000">
        <w:rPr>
          <w:rtl w:val="0"/>
        </w:rPr>
        <w:t xml:space="preserve">    \item Simulating precession effects on alignments,</w:t>
      </w:r>
    </w:p>
    <w:p w:rsidR="00000000" w:rsidDel="00000000" w:rsidP="00000000" w:rsidRDefault="00000000" w:rsidRPr="00000000" w14:paraId="0000006C">
      <w:pPr>
        <w:rPr/>
      </w:pPr>
      <w:r w:rsidDel="00000000" w:rsidR="00000000" w:rsidRPr="00000000">
        <w:rPr>
          <w:rtl w:val="0"/>
        </w:rPr>
        <w:t xml:space="preserve">    \item Reconstructing damaged or incomplete megalithic sites.</w:t>
      </w:r>
    </w:p>
    <w:p w:rsidR="00000000" w:rsidDel="00000000" w:rsidP="00000000" w:rsidRDefault="00000000" w:rsidRPr="00000000" w14:paraId="0000006D">
      <w:pPr>
        <w:rPr/>
      </w:pPr>
      <w:r w:rsidDel="00000000" w:rsidR="00000000" w:rsidRPr="00000000">
        <w:rPr>
          <w:rtl w:val="0"/>
        </w:rPr>
        <w:t xml:space="preserve">\end{itemize}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\subsection{Modern Applications in Astronomy and Architecture}</w:t>
      </w:r>
    </w:p>
    <w:p w:rsidR="00000000" w:rsidDel="00000000" w:rsidP="00000000" w:rsidRDefault="00000000" w:rsidRPr="00000000" w14:paraId="00000070">
      <w:pPr>
        <w:rPr/>
      </w:pPr>
      <w:r w:rsidDel="00000000" w:rsidR="00000000" w:rsidRPr="00000000">
        <w:rPr>
          <w:rtl w:val="0"/>
        </w:rPr>
        <w:t xml:space="preserve">The integration supports:</w:t>
      </w:r>
    </w:p>
    <w:p w:rsidR="00000000" w:rsidDel="00000000" w:rsidP="00000000" w:rsidRDefault="00000000" w:rsidRPr="00000000" w14:paraId="00000071">
      <w:pPr>
        <w:rPr/>
      </w:pPr>
      <w:r w:rsidDel="00000000" w:rsidR="00000000" w:rsidRPr="00000000">
        <w:rPr>
          <w:rtl w:val="0"/>
        </w:rPr>
        <w:t xml:space="preserve">\begin{itemize}</w:t>
      </w:r>
    </w:p>
    <w:p w:rsidR="00000000" w:rsidDel="00000000" w:rsidP="00000000" w:rsidRDefault="00000000" w:rsidRPr="00000000" w14:paraId="00000072">
      <w:pPr>
        <w:rPr/>
      </w:pPr>
      <w:r w:rsidDel="00000000" w:rsidR="00000000" w:rsidRPr="00000000">
        <w:rPr>
          <w:rtl w:val="0"/>
        </w:rPr>
        <w:t xml:space="preserve">    \item Designing observatories with systemic coherence,</w:t>
      </w:r>
    </w:p>
    <w:p w:rsidR="00000000" w:rsidDel="00000000" w:rsidP="00000000" w:rsidRDefault="00000000" w:rsidRPr="00000000" w14:paraId="00000073">
      <w:pPr>
        <w:rPr/>
      </w:pPr>
      <w:r w:rsidDel="00000000" w:rsidR="00000000" w:rsidRPr="00000000">
        <w:rPr>
          <w:rtl w:val="0"/>
        </w:rPr>
        <w:t xml:space="preserve">    \item Applying geometric and periodic principles in modern architecture.</w:t>
      </w:r>
    </w:p>
    <w:p w:rsidR="00000000" w:rsidDel="00000000" w:rsidP="00000000" w:rsidRDefault="00000000" w:rsidRPr="00000000" w14:paraId="00000074">
      <w:pPr>
        <w:rPr/>
      </w:pPr>
      <w:r w:rsidDel="00000000" w:rsidR="00000000" w:rsidRPr="00000000">
        <w:rPr>
          <w:rtl w:val="0"/>
        </w:rPr>
        <w:t xml:space="preserve">\end{itemize}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\section{Conclusion}</w:t>
      </w:r>
    </w:p>
    <w:p w:rsidR="00000000" w:rsidDel="00000000" w:rsidP="00000000" w:rsidRDefault="00000000" w:rsidRPr="00000000" w14:paraId="00000077">
      <w:pPr>
        <w:rPr/>
      </w:pPr>
      <w:r w:rsidDel="00000000" w:rsidR="00000000" w:rsidRPr="00000000">
        <w:rPr>
          <w:rtl w:val="0"/>
        </w:rPr>
        <w:t xml:space="preserve">Gerald Hawkins’s contributions, integrated with Multiplicity Theory, offer a comprehensive framework for modeling the astronomical, geometric, and systemic dynamics of ancient observatories like Stonehenge. By leveraging eigenvalue dynamics, tensor networks, and recursive feedback, this synthesis enhances our understanding of ancient knowledge systems and their relevance to modern science.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\bibliographystyle{plain}</w:t>
      </w:r>
    </w:p>
    <w:p w:rsidR="00000000" w:rsidDel="00000000" w:rsidP="00000000" w:rsidRDefault="00000000" w:rsidRPr="00000000" w14:paraId="0000007A">
      <w:pPr>
        <w:rPr/>
      </w:pPr>
      <w:r w:rsidDel="00000000" w:rsidR="00000000" w:rsidRPr="00000000">
        <w:rPr>
          <w:rtl w:val="0"/>
        </w:rPr>
        <w:t xml:space="preserve">\bibliography{references}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\end{document}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aG-Multiplicity © 2024 by Dr. Ryan Van Gelder</w:t>
    </w:r>
  </w:p>
  <w:p w:rsidR="00000000" w:rsidDel="00000000" w:rsidP="00000000" w:rsidRDefault="00000000" w:rsidRPr="00000000" w14:paraId="0000008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