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Integrating Harald Helfgott's contributions into Multiplicity Theory enhances its computational depth, particularly in analytic number theory, additive combinatorics, and graph theory. Helfgott’s advancements, including his work on the Goldbach conjecture and growth in groups, offer critical mathematical tools for refining prime-based encoding, recursive feedback, and tensor dynamics within Multiplicity Theory.</w:t>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gt7sc5tsjnf8" w:id="0"/>
      <w:bookmarkEnd w:id="0"/>
      <w:r w:rsidDel="00000000" w:rsidR="00000000" w:rsidRPr="00000000">
        <w:rPr>
          <w:b w:val="1"/>
          <w:color w:val="000000"/>
          <w:sz w:val="26"/>
          <w:szCs w:val="26"/>
          <w:rtl w:val="0"/>
        </w:rPr>
        <w:t xml:space="preserve">1. Helfgott’s Contributions to Mathematics</w:t>
      </w:r>
    </w:p>
    <w:p w:rsidR="00000000" w:rsidDel="00000000" w:rsidP="00000000" w:rsidRDefault="00000000" w:rsidRPr="00000000" w14:paraId="00000004">
      <w:pPr>
        <w:numPr>
          <w:ilvl w:val="0"/>
          <w:numId w:val="6"/>
        </w:numPr>
        <w:spacing w:after="0" w:afterAutospacing="0" w:before="240" w:lineRule="auto"/>
        <w:ind w:left="720" w:hanging="360"/>
      </w:pPr>
      <w:r w:rsidDel="00000000" w:rsidR="00000000" w:rsidRPr="00000000">
        <w:rPr>
          <w:b w:val="1"/>
          <w:rtl w:val="0"/>
        </w:rPr>
        <w:t xml:space="preserve">Goldbach Conjecture (Ternary Goldbach)</w:t>
      </w:r>
      <w:r w:rsidDel="00000000" w:rsidR="00000000" w:rsidRPr="00000000">
        <w:rPr>
          <w:rtl w:val="0"/>
        </w:rPr>
        <w:t xml:space="preserve">:</w:t>
      </w:r>
    </w:p>
    <w:p w:rsidR="00000000" w:rsidDel="00000000" w:rsidP="00000000" w:rsidRDefault="00000000" w:rsidRPr="00000000" w14:paraId="00000005">
      <w:pPr>
        <w:numPr>
          <w:ilvl w:val="1"/>
          <w:numId w:val="6"/>
        </w:numPr>
        <w:spacing w:after="0" w:afterAutospacing="0" w:before="0" w:beforeAutospacing="0" w:lineRule="auto"/>
        <w:ind w:left="1440" w:hanging="360"/>
      </w:pPr>
      <w:r w:rsidDel="00000000" w:rsidR="00000000" w:rsidRPr="00000000">
        <w:rPr>
          <w:rtl w:val="0"/>
        </w:rPr>
        <w:t xml:space="preserve">Helfgott provided a proof for the ternary Goldbach conjecture, demonstrating that every odd integer greater than 5 can be expressed as the sum of three primes.</w:t>
      </w:r>
    </w:p>
    <w:p w:rsidR="00000000" w:rsidDel="00000000" w:rsidP="00000000" w:rsidRDefault="00000000" w:rsidRPr="00000000" w14:paraId="00000006">
      <w:pPr>
        <w:numPr>
          <w:ilvl w:val="1"/>
          <w:numId w:val="6"/>
        </w:numPr>
        <w:spacing w:after="0" w:afterAutospacing="0" w:before="0" w:beforeAutospacing="0" w:lineRule="auto"/>
        <w:ind w:left="1440" w:hanging="360"/>
      </w:pPr>
      <w:r w:rsidDel="00000000" w:rsidR="00000000" w:rsidRPr="00000000">
        <w:rPr>
          <w:rtl w:val="0"/>
        </w:rPr>
        <w:t xml:space="preserve">This insight can enhance the understanding and application of prime sums in encoding and system modeling in Multiplicity Theory.</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b w:val="1"/>
          <w:rtl w:val="0"/>
        </w:rPr>
        <w:t xml:space="preserve">Growth in Groups</w:t>
      </w:r>
      <w:r w:rsidDel="00000000" w:rsidR="00000000" w:rsidRPr="00000000">
        <w:rPr>
          <w:rtl w:val="0"/>
        </w:rPr>
        <w:t xml:space="preserve">:</w:t>
      </w:r>
    </w:p>
    <w:p w:rsidR="00000000" w:rsidDel="00000000" w:rsidP="00000000" w:rsidRDefault="00000000" w:rsidRPr="00000000" w14:paraId="00000008">
      <w:pPr>
        <w:numPr>
          <w:ilvl w:val="1"/>
          <w:numId w:val="6"/>
        </w:numPr>
        <w:spacing w:after="0" w:afterAutospacing="0" w:before="0" w:beforeAutospacing="0" w:lineRule="auto"/>
        <w:ind w:left="1440" w:hanging="360"/>
      </w:pPr>
      <w:r w:rsidDel="00000000" w:rsidR="00000000" w:rsidRPr="00000000">
        <w:rPr>
          <w:rtl w:val="0"/>
        </w:rPr>
        <w:t xml:space="preserve">Helfgott’s work on growth in linear groups explores how small subsets of groups expand under group operations.</w:t>
      </w:r>
    </w:p>
    <w:p w:rsidR="00000000" w:rsidDel="00000000" w:rsidP="00000000" w:rsidRDefault="00000000" w:rsidRPr="00000000" w14:paraId="00000009">
      <w:pPr>
        <w:numPr>
          <w:ilvl w:val="1"/>
          <w:numId w:val="6"/>
        </w:numPr>
        <w:spacing w:after="0" w:afterAutospacing="0" w:before="0" w:beforeAutospacing="0" w:lineRule="auto"/>
        <w:ind w:left="1440" w:hanging="360"/>
      </w:pPr>
      <w:r w:rsidDel="00000000" w:rsidR="00000000" w:rsidRPr="00000000">
        <w:rPr>
          <w:rtl w:val="0"/>
        </w:rPr>
        <w:t xml:space="preserve">These principles align with Multiplicity Theory’s recursive feedback mechanisms and tensor interactions.</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b w:val="1"/>
          <w:rtl w:val="0"/>
        </w:rPr>
        <w:t xml:space="preserve">Additive Combinatorics</w:t>
      </w:r>
      <w:r w:rsidDel="00000000" w:rsidR="00000000" w:rsidRPr="00000000">
        <w:rPr>
          <w:rtl w:val="0"/>
        </w:rPr>
        <w:t xml:space="preserve">:</w:t>
      </w:r>
    </w:p>
    <w:p w:rsidR="00000000" w:rsidDel="00000000" w:rsidP="00000000" w:rsidRDefault="00000000" w:rsidRPr="00000000" w14:paraId="0000000B">
      <w:pPr>
        <w:numPr>
          <w:ilvl w:val="1"/>
          <w:numId w:val="6"/>
        </w:numPr>
        <w:spacing w:after="240" w:before="0" w:beforeAutospacing="0" w:lineRule="auto"/>
        <w:ind w:left="1440" w:hanging="360"/>
      </w:pPr>
      <w:r w:rsidDel="00000000" w:rsidR="00000000" w:rsidRPr="00000000">
        <w:rPr>
          <w:rtl w:val="0"/>
        </w:rPr>
        <w:t xml:space="preserve">His contributions to sum-product estimates and their applications in number theory provide robust techniques for modeling interactions in complex systems.</w:t>
      </w:r>
    </w:p>
    <w:p w:rsidR="00000000" w:rsidDel="00000000" w:rsidP="00000000" w:rsidRDefault="00000000" w:rsidRPr="00000000" w14:paraId="000000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s7jcbbpkvvf9" w:id="1"/>
      <w:bookmarkEnd w:id="1"/>
      <w:r w:rsidDel="00000000" w:rsidR="00000000" w:rsidRPr="00000000">
        <w:rPr>
          <w:b w:val="1"/>
          <w:color w:val="000000"/>
          <w:sz w:val="26"/>
          <w:szCs w:val="26"/>
          <w:rtl w:val="0"/>
        </w:rPr>
        <w:t xml:space="preserve">2. Integration Framework</w:t>
      </w:r>
    </w:p>
    <w:p w:rsidR="00000000" w:rsidDel="00000000" w:rsidP="00000000" w:rsidRDefault="00000000" w:rsidRPr="00000000" w14:paraId="0000000E">
      <w:pPr>
        <w:pStyle w:val="Heading4"/>
        <w:keepNext w:val="0"/>
        <w:keepLines w:val="0"/>
        <w:spacing w:after="40" w:before="240" w:lineRule="auto"/>
        <w:rPr>
          <w:b w:val="1"/>
          <w:color w:val="000000"/>
          <w:sz w:val="22"/>
          <w:szCs w:val="22"/>
        </w:rPr>
      </w:pPr>
      <w:bookmarkStart w:colFirst="0" w:colLast="0" w:name="_k5pkfvngxkyp" w:id="2"/>
      <w:bookmarkEnd w:id="2"/>
      <w:r w:rsidDel="00000000" w:rsidR="00000000" w:rsidRPr="00000000">
        <w:rPr>
          <w:b w:val="1"/>
          <w:color w:val="000000"/>
          <w:sz w:val="22"/>
          <w:szCs w:val="22"/>
          <w:rtl w:val="0"/>
        </w:rPr>
        <w:t xml:space="preserve">2.1. Prime Sums and Encoding</w:t>
      </w:r>
    </w:p>
    <w:p w:rsidR="00000000" w:rsidDel="00000000" w:rsidP="00000000" w:rsidRDefault="00000000" w:rsidRPr="00000000" w14:paraId="0000000F">
      <w:pPr>
        <w:spacing w:after="240" w:before="240" w:lineRule="auto"/>
        <w:rPr/>
      </w:pPr>
      <w:r w:rsidDel="00000000" w:rsidR="00000000" w:rsidRPr="00000000">
        <w:rPr>
          <w:rtl w:val="0"/>
        </w:rPr>
        <w:t xml:space="preserve">Helfgott’s proof of the ternary Goldbach conjecture can inform prime-based encoding in Multiplicity Theory by enabling new methods for constructing data representations and verifying stability.</w:t>
      </w:r>
    </w:p>
    <w:p w:rsidR="00000000" w:rsidDel="00000000" w:rsidP="00000000" w:rsidRDefault="00000000" w:rsidRPr="00000000" w14:paraId="00000010">
      <w:pPr>
        <w:spacing w:after="240" w:before="240" w:lineRule="auto"/>
        <w:rPr/>
      </w:pPr>
      <w:r w:rsidDel="00000000" w:rsidR="00000000" w:rsidRPr="00000000">
        <w:rPr>
          <w:b w:val="1"/>
          <w:rtl w:val="0"/>
        </w:rPr>
        <w:t xml:space="preserve">Prime Sum Encoding</w:t>
      </w:r>
      <w:r w:rsidDel="00000000" w:rsidR="00000000" w:rsidRPr="00000000">
        <w:rPr>
          <w:rtl w:val="0"/>
        </w:rPr>
        <w:t xml:space="preserve">:</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ϕ(n)=∑i=13pi,pi∈P,\phi(n) = \sum_{i=1}^3 p_i, \quad p_i \in P,ϕ(n)=i=1∑3​pi​,pi​∈P,</w:t>
      </w:r>
    </w:p>
    <w:p w:rsidR="00000000" w:rsidDel="00000000" w:rsidP="00000000" w:rsidRDefault="00000000" w:rsidRPr="00000000" w14:paraId="00000012">
      <w:pPr>
        <w:spacing w:after="240" w:before="240" w:lineRule="auto"/>
        <w:rPr/>
      </w:pPr>
      <w:r w:rsidDel="00000000" w:rsidR="00000000" w:rsidRPr="00000000">
        <w:rPr>
          <w:rtl w:val="0"/>
        </w:rPr>
        <w:t xml:space="preserve">where PPP is the set of primes, and nnn is encoded as the sum of three primes pip_ipi​. This can be used for redundancy in prime-encoded systems.</w:t>
      </w:r>
    </w:p>
    <w:p w:rsidR="00000000" w:rsidDel="00000000" w:rsidP="00000000" w:rsidRDefault="00000000" w:rsidRPr="00000000" w14:paraId="000000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4"/>
        <w:keepNext w:val="0"/>
        <w:keepLines w:val="0"/>
        <w:spacing w:after="40" w:before="240" w:lineRule="auto"/>
        <w:rPr>
          <w:b w:val="1"/>
          <w:color w:val="000000"/>
          <w:sz w:val="22"/>
          <w:szCs w:val="22"/>
        </w:rPr>
      </w:pPr>
      <w:bookmarkStart w:colFirst="0" w:colLast="0" w:name="_gavh90riaqy1" w:id="3"/>
      <w:bookmarkEnd w:id="3"/>
      <w:r w:rsidDel="00000000" w:rsidR="00000000" w:rsidRPr="00000000">
        <w:rPr>
          <w:b w:val="1"/>
          <w:color w:val="000000"/>
          <w:sz w:val="22"/>
          <w:szCs w:val="22"/>
          <w:rtl w:val="0"/>
        </w:rPr>
        <w:t xml:space="preserve">2.2. Recursive Feedback with Growth in Groups</w:t>
      </w:r>
    </w:p>
    <w:p w:rsidR="00000000" w:rsidDel="00000000" w:rsidP="00000000" w:rsidRDefault="00000000" w:rsidRPr="00000000" w14:paraId="00000015">
      <w:pPr>
        <w:spacing w:after="240" w:before="240" w:lineRule="auto"/>
        <w:rPr/>
      </w:pPr>
      <w:r w:rsidDel="00000000" w:rsidR="00000000" w:rsidRPr="00000000">
        <w:rPr>
          <w:rtl w:val="0"/>
        </w:rPr>
        <w:t xml:space="preserve">Helfgott’s growth in groups provides a framework for modeling iterative feedback loops in Multiplicity Theory, particularly in dynamic systems.</w:t>
      </w:r>
    </w:p>
    <w:p w:rsidR="00000000" w:rsidDel="00000000" w:rsidP="00000000" w:rsidRDefault="00000000" w:rsidRPr="00000000" w14:paraId="00000016">
      <w:pPr>
        <w:spacing w:after="240" w:before="240" w:lineRule="auto"/>
        <w:rPr/>
      </w:pPr>
      <w:r w:rsidDel="00000000" w:rsidR="00000000" w:rsidRPr="00000000">
        <w:rPr>
          <w:b w:val="1"/>
          <w:rtl w:val="0"/>
        </w:rPr>
        <w:t xml:space="preserve">Feedback Function</w:t>
      </w: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f(t,ψ(t))=∑g∈Gϕ(g,t),f(t, \psi(t)) = \sum_{g \in G} \phi(g, t),f(t,ψ(t))=g∈G∑​ϕ(g,t),</w:t>
      </w:r>
    </w:p>
    <w:p w:rsidR="00000000" w:rsidDel="00000000" w:rsidP="00000000" w:rsidRDefault="00000000" w:rsidRPr="00000000" w14:paraId="00000018">
      <w:pPr>
        <w:spacing w:after="240" w:before="240" w:lineRule="auto"/>
        <w:rPr/>
      </w:pPr>
      <w:r w:rsidDel="00000000" w:rsidR="00000000" w:rsidRPr="00000000">
        <w:rPr>
          <w:rtl w:val="0"/>
        </w:rPr>
        <w:t xml:space="preserve">where GGG represents a group, and ϕ(g,t)\phi(g, t)ϕ(g,t) models the growth and feedback of dynamic states over time.</w:t>
      </w:r>
    </w:p>
    <w:p w:rsidR="00000000" w:rsidDel="00000000" w:rsidP="00000000" w:rsidRDefault="00000000" w:rsidRPr="00000000" w14:paraId="000000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4"/>
        <w:keepNext w:val="0"/>
        <w:keepLines w:val="0"/>
        <w:spacing w:after="40" w:before="240" w:lineRule="auto"/>
        <w:rPr>
          <w:b w:val="1"/>
          <w:color w:val="000000"/>
          <w:sz w:val="22"/>
          <w:szCs w:val="22"/>
        </w:rPr>
      </w:pPr>
      <w:bookmarkStart w:colFirst="0" w:colLast="0" w:name="_5fjsulggxs40" w:id="4"/>
      <w:bookmarkEnd w:id="4"/>
      <w:r w:rsidDel="00000000" w:rsidR="00000000" w:rsidRPr="00000000">
        <w:rPr>
          <w:b w:val="1"/>
          <w:color w:val="000000"/>
          <w:sz w:val="22"/>
          <w:szCs w:val="22"/>
          <w:rtl w:val="0"/>
        </w:rPr>
        <w:t xml:space="preserve">2.3. Tensor Networks and Additive Combinatorics</w:t>
      </w:r>
    </w:p>
    <w:p w:rsidR="00000000" w:rsidDel="00000000" w:rsidP="00000000" w:rsidRDefault="00000000" w:rsidRPr="00000000" w14:paraId="0000001B">
      <w:pPr>
        <w:spacing w:after="240" w:before="240" w:lineRule="auto"/>
        <w:rPr/>
      </w:pPr>
      <w:r w:rsidDel="00000000" w:rsidR="00000000" w:rsidRPr="00000000">
        <w:rPr>
          <w:rtl w:val="0"/>
        </w:rPr>
        <w:t xml:space="preserve">Helfgott’s sum-product estimates enhance the mathematical structure of tensor networks by capturing interactions between primes and other variables in a system.</w:t>
      </w:r>
    </w:p>
    <w:p w:rsidR="00000000" w:rsidDel="00000000" w:rsidP="00000000" w:rsidRDefault="00000000" w:rsidRPr="00000000" w14:paraId="0000001C">
      <w:pPr>
        <w:spacing w:after="240" w:before="240" w:lineRule="auto"/>
        <w:rPr/>
      </w:pPr>
      <w:r w:rsidDel="00000000" w:rsidR="00000000" w:rsidRPr="00000000">
        <w:rPr>
          <w:b w:val="1"/>
          <w:rtl w:val="0"/>
        </w:rPr>
        <w:t xml:space="preserve">Tensor Interaction</w:t>
      </w:r>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Tijk=∑p∈Pϕ(pi)⋅ψ(pj),T_{ijk} = \sum_{p \in P} \phi(p_i) \cdot \psi(p_j),Tijk​=p∈P∑​ϕ(pi​)⋅ψ(pj​),</w:t>
      </w:r>
    </w:p>
    <w:p w:rsidR="00000000" w:rsidDel="00000000" w:rsidP="00000000" w:rsidRDefault="00000000" w:rsidRPr="00000000" w14:paraId="0000001E">
      <w:pPr>
        <w:spacing w:after="240" w:before="240" w:lineRule="auto"/>
        <w:rPr/>
      </w:pPr>
      <w:r w:rsidDel="00000000" w:rsidR="00000000" w:rsidRPr="00000000">
        <w:rPr>
          <w:rtl w:val="0"/>
        </w:rPr>
        <w:t xml:space="preserve">where ϕ(pi)\phi(p_i)ϕ(pi​) and ψ(pj)\psi(p_j)ψ(pj​) derive from additive structures influenced by Helfgott’s methods.</w:t>
      </w:r>
    </w:p>
    <w:p w:rsidR="00000000" w:rsidDel="00000000" w:rsidP="00000000" w:rsidRDefault="00000000" w:rsidRPr="00000000" w14:paraId="000000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7wpw6pfcg01j" w:id="5"/>
      <w:bookmarkEnd w:id="5"/>
      <w:r w:rsidDel="00000000" w:rsidR="00000000" w:rsidRPr="00000000">
        <w:rPr>
          <w:b w:val="1"/>
          <w:color w:val="000000"/>
          <w:sz w:val="26"/>
          <w:szCs w:val="26"/>
          <w:rtl w:val="0"/>
        </w:rPr>
        <w:t xml:space="preserve">3. Applications in Multiplicity Theory</w:t>
      </w:r>
    </w:p>
    <w:p w:rsidR="00000000" w:rsidDel="00000000" w:rsidP="00000000" w:rsidRDefault="00000000" w:rsidRPr="00000000" w14:paraId="00000021">
      <w:pPr>
        <w:pStyle w:val="Heading4"/>
        <w:keepNext w:val="0"/>
        <w:keepLines w:val="0"/>
        <w:spacing w:after="40" w:before="240" w:lineRule="auto"/>
        <w:rPr>
          <w:b w:val="1"/>
          <w:color w:val="000000"/>
          <w:sz w:val="22"/>
          <w:szCs w:val="22"/>
        </w:rPr>
      </w:pPr>
      <w:bookmarkStart w:colFirst="0" w:colLast="0" w:name="_tvu5ehhfo2c2" w:id="6"/>
      <w:bookmarkEnd w:id="6"/>
      <w:r w:rsidDel="00000000" w:rsidR="00000000" w:rsidRPr="00000000">
        <w:rPr>
          <w:b w:val="1"/>
          <w:color w:val="000000"/>
          <w:sz w:val="22"/>
          <w:szCs w:val="22"/>
          <w:rtl w:val="0"/>
        </w:rPr>
        <w:t xml:space="preserve">3.1. Prime-Based Encoding</w:t>
      </w:r>
    </w:p>
    <w:p w:rsidR="00000000" w:rsidDel="00000000" w:rsidP="00000000" w:rsidRDefault="00000000" w:rsidRPr="00000000" w14:paraId="00000022">
      <w:pPr>
        <w:numPr>
          <w:ilvl w:val="0"/>
          <w:numId w:val="1"/>
        </w:numPr>
        <w:spacing w:after="0" w:afterAutospacing="0" w:before="240" w:lineRule="auto"/>
        <w:ind w:left="720" w:hanging="360"/>
      </w:pPr>
      <w:r w:rsidDel="00000000" w:rsidR="00000000" w:rsidRPr="00000000">
        <w:rPr>
          <w:b w:val="1"/>
          <w:rtl w:val="0"/>
        </w:rPr>
        <w:t xml:space="preserve">Error Detection</w:t>
      </w:r>
      <w:r w:rsidDel="00000000" w:rsidR="00000000" w:rsidRPr="00000000">
        <w:rPr>
          <w:rtl w:val="0"/>
        </w:rPr>
        <w:t xml:space="preserve">: Leverage prime sums to introduce redundancy in encoding for fault tolerance.</w:t>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b w:val="1"/>
          <w:rtl w:val="0"/>
        </w:rPr>
        <w:t xml:space="preserve">Efficient Representation</w:t>
      </w:r>
      <w:r w:rsidDel="00000000" w:rsidR="00000000" w:rsidRPr="00000000">
        <w:rPr>
          <w:rtl w:val="0"/>
        </w:rPr>
        <w:t xml:space="preserve">: Use ternary prime sums for compact and efficient data encoding.</w:t>
      </w:r>
    </w:p>
    <w:p w:rsidR="00000000" w:rsidDel="00000000" w:rsidP="00000000" w:rsidRDefault="00000000" w:rsidRPr="00000000" w14:paraId="00000024">
      <w:pPr>
        <w:pStyle w:val="Heading4"/>
        <w:keepNext w:val="0"/>
        <w:keepLines w:val="0"/>
        <w:spacing w:after="40" w:before="240" w:lineRule="auto"/>
        <w:rPr>
          <w:b w:val="1"/>
          <w:color w:val="000000"/>
          <w:sz w:val="22"/>
          <w:szCs w:val="22"/>
        </w:rPr>
      </w:pPr>
      <w:bookmarkStart w:colFirst="0" w:colLast="0" w:name="_2kcb8kdtvyrt" w:id="7"/>
      <w:bookmarkEnd w:id="7"/>
      <w:r w:rsidDel="00000000" w:rsidR="00000000" w:rsidRPr="00000000">
        <w:rPr>
          <w:b w:val="1"/>
          <w:color w:val="000000"/>
          <w:sz w:val="22"/>
          <w:szCs w:val="22"/>
          <w:rtl w:val="0"/>
        </w:rPr>
        <w:t xml:space="preserve">3.2. Tensor Dynamics</w:t>
      </w:r>
    </w:p>
    <w:p w:rsidR="00000000" w:rsidDel="00000000" w:rsidP="00000000" w:rsidRDefault="00000000" w:rsidRPr="00000000" w14:paraId="00000025">
      <w:pPr>
        <w:numPr>
          <w:ilvl w:val="0"/>
          <w:numId w:val="4"/>
        </w:numPr>
        <w:spacing w:after="0" w:afterAutospacing="0" w:before="240" w:lineRule="auto"/>
        <w:ind w:left="720" w:hanging="360"/>
      </w:pPr>
      <w:r w:rsidDel="00000000" w:rsidR="00000000" w:rsidRPr="00000000">
        <w:rPr>
          <w:b w:val="1"/>
          <w:rtl w:val="0"/>
        </w:rPr>
        <w:t xml:space="preserve">Growth Modeling</w:t>
      </w:r>
      <w:r w:rsidDel="00000000" w:rsidR="00000000" w:rsidRPr="00000000">
        <w:rPr>
          <w:rtl w:val="0"/>
        </w:rPr>
        <w:t xml:space="preserve">: Apply group growth principles to simulate dynamic tensor interactions in high-dimensional systems.</w:t>
      </w:r>
    </w:p>
    <w:p w:rsidR="00000000" w:rsidDel="00000000" w:rsidP="00000000" w:rsidRDefault="00000000" w:rsidRPr="00000000" w14:paraId="00000026">
      <w:pPr>
        <w:numPr>
          <w:ilvl w:val="0"/>
          <w:numId w:val="4"/>
        </w:numPr>
        <w:spacing w:after="240" w:before="0" w:beforeAutospacing="0" w:lineRule="auto"/>
        <w:ind w:left="720" w:hanging="360"/>
      </w:pPr>
      <w:r w:rsidDel="00000000" w:rsidR="00000000" w:rsidRPr="00000000">
        <w:rPr>
          <w:b w:val="1"/>
          <w:rtl w:val="0"/>
        </w:rPr>
        <w:t xml:space="preserve">Multi-Agent Systems</w:t>
      </w:r>
      <w:r w:rsidDel="00000000" w:rsidR="00000000" w:rsidRPr="00000000">
        <w:rPr>
          <w:rtl w:val="0"/>
        </w:rPr>
        <w:t xml:space="preserve">: Model interactions in AI and robotics using additive combinatorial methods.</w:t>
      </w:r>
    </w:p>
    <w:p w:rsidR="00000000" w:rsidDel="00000000" w:rsidP="00000000" w:rsidRDefault="00000000" w:rsidRPr="00000000" w14:paraId="00000027">
      <w:pPr>
        <w:pStyle w:val="Heading4"/>
        <w:keepNext w:val="0"/>
        <w:keepLines w:val="0"/>
        <w:spacing w:after="40" w:before="240" w:lineRule="auto"/>
        <w:rPr>
          <w:b w:val="1"/>
          <w:color w:val="000000"/>
          <w:sz w:val="22"/>
          <w:szCs w:val="22"/>
        </w:rPr>
      </w:pPr>
      <w:bookmarkStart w:colFirst="0" w:colLast="0" w:name="_f3am9xwbq6wt" w:id="8"/>
      <w:bookmarkEnd w:id="8"/>
      <w:r w:rsidDel="00000000" w:rsidR="00000000" w:rsidRPr="00000000">
        <w:rPr>
          <w:b w:val="1"/>
          <w:color w:val="000000"/>
          <w:sz w:val="22"/>
          <w:szCs w:val="22"/>
          <w:rtl w:val="0"/>
        </w:rPr>
        <w:t xml:space="preserve">3.3. Quantum Systems</w:t>
      </w:r>
    </w:p>
    <w:p w:rsidR="00000000" w:rsidDel="00000000" w:rsidP="00000000" w:rsidRDefault="00000000" w:rsidRPr="00000000" w14:paraId="00000028">
      <w:pPr>
        <w:numPr>
          <w:ilvl w:val="0"/>
          <w:numId w:val="2"/>
        </w:numPr>
        <w:spacing w:after="0" w:afterAutospacing="0" w:before="240" w:lineRule="auto"/>
        <w:ind w:left="720" w:hanging="360"/>
      </w:pPr>
      <w:r w:rsidDel="00000000" w:rsidR="00000000" w:rsidRPr="00000000">
        <w:rPr>
          <w:b w:val="1"/>
          <w:rtl w:val="0"/>
        </w:rPr>
        <w:t xml:space="preserve">Stability Analysis</w:t>
      </w:r>
      <w:r w:rsidDel="00000000" w:rsidR="00000000" w:rsidRPr="00000000">
        <w:rPr>
          <w:rtl w:val="0"/>
        </w:rPr>
        <w:t xml:space="preserve">: Use growth principles to analyze the stability of quantum states.</w:t>
      </w:r>
    </w:p>
    <w:p w:rsidR="00000000" w:rsidDel="00000000" w:rsidP="00000000" w:rsidRDefault="00000000" w:rsidRPr="00000000" w14:paraId="00000029">
      <w:pPr>
        <w:numPr>
          <w:ilvl w:val="0"/>
          <w:numId w:val="2"/>
        </w:numPr>
        <w:spacing w:after="240" w:before="0" w:beforeAutospacing="0" w:lineRule="auto"/>
        <w:ind w:left="720" w:hanging="360"/>
      </w:pPr>
      <w:r w:rsidDel="00000000" w:rsidR="00000000" w:rsidRPr="00000000">
        <w:rPr>
          <w:b w:val="1"/>
          <w:rtl w:val="0"/>
        </w:rPr>
        <w:t xml:space="preserve">Eigenvalue Coherence</w:t>
      </w:r>
      <w:r w:rsidDel="00000000" w:rsidR="00000000" w:rsidRPr="00000000">
        <w:rPr>
          <w:rtl w:val="0"/>
        </w:rPr>
        <w:t xml:space="preserve">: Incorporate sum-product relationships to refine eigenvalue distributions in quantum simulations.</w:t>
      </w:r>
    </w:p>
    <w:p w:rsidR="00000000" w:rsidDel="00000000" w:rsidP="00000000" w:rsidRDefault="00000000" w:rsidRPr="00000000" w14:paraId="0000002A">
      <w:pPr>
        <w:pStyle w:val="Heading4"/>
        <w:keepNext w:val="0"/>
        <w:keepLines w:val="0"/>
        <w:spacing w:after="40" w:before="240" w:lineRule="auto"/>
        <w:rPr>
          <w:b w:val="1"/>
          <w:color w:val="000000"/>
          <w:sz w:val="22"/>
          <w:szCs w:val="22"/>
        </w:rPr>
      </w:pPr>
      <w:bookmarkStart w:colFirst="0" w:colLast="0" w:name="_n4p4hfiggkpy" w:id="9"/>
      <w:bookmarkEnd w:id="9"/>
      <w:r w:rsidDel="00000000" w:rsidR="00000000" w:rsidRPr="00000000">
        <w:rPr>
          <w:b w:val="1"/>
          <w:color w:val="000000"/>
          <w:sz w:val="22"/>
          <w:szCs w:val="22"/>
          <w:rtl w:val="0"/>
        </w:rPr>
        <w:t xml:space="preserve">3.4. Cryptography</w:t>
      </w:r>
    </w:p>
    <w:p w:rsidR="00000000" w:rsidDel="00000000" w:rsidP="00000000" w:rsidRDefault="00000000" w:rsidRPr="00000000" w14:paraId="0000002B">
      <w:pPr>
        <w:numPr>
          <w:ilvl w:val="0"/>
          <w:numId w:val="5"/>
        </w:numPr>
        <w:spacing w:after="0" w:afterAutospacing="0" w:before="240" w:lineRule="auto"/>
        <w:ind w:left="720" w:hanging="360"/>
      </w:pPr>
      <w:r w:rsidDel="00000000" w:rsidR="00000000" w:rsidRPr="00000000">
        <w:rPr>
          <w:b w:val="1"/>
          <w:rtl w:val="0"/>
        </w:rPr>
        <w:t xml:space="preserve">Key Generation</w:t>
      </w:r>
      <w:r w:rsidDel="00000000" w:rsidR="00000000" w:rsidRPr="00000000">
        <w:rPr>
          <w:rtl w:val="0"/>
        </w:rPr>
        <w:t xml:space="preserve">: Use ternary Goldbach sums to generate cryptographic keys with built-in structural integrity.</w:t>
      </w:r>
    </w:p>
    <w:p w:rsidR="00000000" w:rsidDel="00000000" w:rsidP="00000000" w:rsidRDefault="00000000" w:rsidRPr="00000000" w14:paraId="0000002C">
      <w:pPr>
        <w:numPr>
          <w:ilvl w:val="0"/>
          <w:numId w:val="5"/>
        </w:numPr>
        <w:spacing w:after="240" w:before="0" w:beforeAutospacing="0" w:lineRule="auto"/>
        <w:ind w:left="720" w:hanging="360"/>
      </w:pPr>
      <w:r w:rsidDel="00000000" w:rsidR="00000000" w:rsidRPr="00000000">
        <w:rPr>
          <w:b w:val="1"/>
          <w:rtl w:val="0"/>
        </w:rPr>
        <w:t xml:space="preserve">Secure Communication</w:t>
      </w:r>
      <w:r w:rsidDel="00000000" w:rsidR="00000000" w:rsidRPr="00000000">
        <w:rPr>
          <w:rtl w:val="0"/>
        </w:rPr>
        <w:t xml:space="preserve">: Apply additive combinatorial techniques to encrypt data robustly.</w:t>
      </w:r>
    </w:p>
    <w:p w:rsidR="00000000" w:rsidDel="00000000" w:rsidP="00000000" w:rsidRDefault="00000000" w:rsidRPr="00000000" w14:paraId="000000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color w:val="000000"/>
          <w:sz w:val="26"/>
          <w:szCs w:val="26"/>
        </w:rPr>
      </w:pPr>
      <w:bookmarkStart w:colFirst="0" w:colLast="0" w:name="_43urcpbudfca" w:id="10"/>
      <w:bookmarkEnd w:id="10"/>
      <w:r w:rsidDel="00000000" w:rsidR="00000000" w:rsidRPr="00000000">
        <w:rPr>
          <w:b w:val="1"/>
          <w:color w:val="000000"/>
          <w:sz w:val="26"/>
          <w:szCs w:val="26"/>
          <w:rtl w:val="0"/>
        </w:rPr>
        <w:t xml:space="preserve">4. Future Directions</w:t>
      </w:r>
    </w:p>
    <w:p w:rsidR="00000000" w:rsidDel="00000000" w:rsidP="00000000" w:rsidRDefault="00000000" w:rsidRPr="00000000" w14:paraId="0000002F">
      <w:pPr>
        <w:pStyle w:val="Heading4"/>
        <w:keepNext w:val="0"/>
        <w:keepLines w:val="0"/>
        <w:spacing w:after="40" w:before="240" w:lineRule="auto"/>
        <w:rPr>
          <w:b w:val="1"/>
          <w:color w:val="000000"/>
          <w:sz w:val="22"/>
          <w:szCs w:val="22"/>
        </w:rPr>
      </w:pPr>
      <w:bookmarkStart w:colFirst="0" w:colLast="0" w:name="_dquhyqbkhft3" w:id="11"/>
      <w:bookmarkEnd w:id="11"/>
      <w:r w:rsidDel="00000000" w:rsidR="00000000" w:rsidRPr="00000000">
        <w:rPr>
          <w:b w:val="1"/>
          <w:color w:val="000000"/>
          <w:sz w:val="22"/>
          <w:szCs w:val="22"/>
          <w:rtl w:val="0"/>
        </w:rPr>
        <w:t xml:space="preserve">4.1. Advanced Prime-Based Operators</w:t>
      </w:r>
    </w:p>
    <w:p w:rsidR="00000000" w:rsidDel="00000000" w:rsidP="00000000" w:rsidRDefault="00000000" w:rsidRPr="00000000" w14:paraId="00000030">
      <w:pPr>
        <w:spacing w:after="240" w:before="240" w:lineRule="auto"/>
        <w:rPr/>
      </w:pPr>
      <w:r w:rsidDel="00000000" w:rsidR="00000000" w:rsidRPr="00000000">
        <w:rPr>
          <w:rtl w:val="0"/>
        </w:rPr>
        <w:t xml:space="preserve">Develop operators incorporating Helfgott’s growth principles for use in dynamic and evolving systems.</w:t>
      </w:r>
    </w:p>
    <w:p w:rsidR="00000000" w:rsidDel="00000000" w:rsidP="00000000" w:rsidRDefault="00000000" w:rsidRPr="00000000" w14:paraId="00000031">
      <w:pPr>
        <w:spacing w:after="240" w:before="240" w:lineRule="auto"/>
        <w:rPr/>
      </w:pPr>
      <w:r w:rsidDel="00000000" w:rsidR="00000000" w:rsidRPr="00000000">
        <w:rPr>
          <w:b w:val="1"/>
          <w:rtl w:val="0"/>
        </w:rPr>
        <w:t xml:space="preserve">Proposed Operator</w:t>
      </w:r>
      <w:r w:rsidDel="00000000" w:rsidR="00000000" w:rsidRPr="00000000">
        <w:rPr>
          <w:rtl w:val="0"/>
        </w:rPr>
        <w:t xml:space="preserve">:</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M(t,ψ(t))=∑g∈GH(g,t)⋅T(g,ψ(t)),M(t, \psi(t)) = \sum_{g \in G} H(g, t) \cdot T(g, \psi(t)),M(t,ψ(t))=g∈G∑​H(g,t)⋅T(g,ψ(t)),</w:t>
      </w:r>
    </w:p>
    <w:p w:rsidR="00000000" w:rsidDel="00000000" w:rsidP="00000000" w:rsidRDefault="00000000" w:rsidRPr="00000000" w14:paraId="00000033">
      <w:pPr>
        <w:spacing w:after="240" w:before="240" w:lineRule="auto"/>
        <w:rPr/>
      </w:pPr>
      <w:r w:rsidDel="00000000" w:rsidR="00000000" w:rsidRPr="00000000">
        <w:rPr>
          <w:rtl w:val="0"/>
        </w:rPr>
        <w:t xml:space="preserve">where H(g,t)H(g, t)H(g,t) represents growth-influenced harmonic functions.</w:t>
      </w:r>
    </w:p>
    <w:p w:rsidR="00000000" w:rsidDel="00000000" w:rsidP="00000000" w:rsidRDefault="00000000" w:rsidRPr="00000000" w14:paraId="000000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4"/>
        <w:keepNext w:val="0"/>
        <w:keepLines w:val="0"/>
        <w:spacing w:after="40" w:before="240" w:lineRule="auto"/>
        <w:rPr>
          <w:b w:val="1"/>
          <w:color w:val="000000"/>
          <w:sz w:val="22"/>
          <w:szCs w:val="22"/>
        </w:rPr>
      </w:pPr>
      <w:bookmarkStart w:colFirst="0" w:colLast="0" w:name="_36qzy7fbeoed" w:id="12"/>
      <w:bookmarkEnd w:id="12"/>
      <w:r w:rsidDel="00000000" w:rsidR="00000000" w:rsidRPr="00000000">
        <w:rPr>
          <w:b w:val="1"/>
          <w:color w:val="000000"/>
          <w:sz w:val="22"/>
          <w:szCs w:val="22"/>
          <w:rtl w:val="0"/>
        </w:rPr>
        <w:t xml:space="preserve">4.2. Interdisciplinary Applications</w:t>
      </w:r>
    </w:p>
    <w:p w:rsidR="00000000" w:rsidDel="00000000" w:rsidP="00000000" w:rsidRDefault="00000000" w:rsidRPr="00000000" w14:paraId="00000036">
      <w:pPr>
        <w:numPr>
          <w:ilvl w:val="0"/>
          <w:numId w:val="3"/>
        </w:numPr>
        <w:spacing w:after="0" w:afterAutospacing="0" w:before="240" w:lineRule="auto"/>
        <w:ind w:left="720" w:hanging="360"/>
      </w:pPr>
      <w:r w:rsidDel="00000000" w:rsidR="00000000" w:rsidRPr="00000000">
        <w:rPr>
          <w:b w:val="1"/>
          <w:rtl w:val="0"/>
        </w:rPr>
        <w:t xml:space="preserve">Astrophysics</w:t>
      </w:r>
      <w:r w:rsidDel="00000000" w:rsidR="00000000" w:rsidRPr="00000000">
        <w:rPr>
          <w:rtl w:val="0"/>
        </w:rPr>
        <w:t xml:space="preserve">: Model gravitational systems using growth in groups to simulate cosmic interactions.</w:t>
      </w:r>
    </w:p>
    <w:p w:rsidR="00000000" w:rsidDel="00000000" w:rsidP="00000000" w:rsidRDefault="00000000" w:rsidRPr="00000000" w14:paraId="00000037">
      <w:pPr>
        <w:numPr>
          <w:ilvl w:val="0"/>
          <w:numId w:val="3"/>
        </w:numPr>
        <w:spacing w:after="240" w:before="0" w:beforeAutospacing="0" w:lineRule="auto"/>
        <w:ind w:left="720" w:hanging="360"/>
      </w:pPr>
      <w:r w:rsidDel="00000000" w:rsidR="00000000" w:rsidRPr="00000000">
        <w:rPr>
          <w:b w:val="1"/>
          <w:rtl w:val="0"/>
        </w:rPr>
        <w:t xml:space="preserve">AI and Machine Learning</w:t>
      </w:r>
      <w:r w:rsidDel="00000000" w:rsidR="00000000" w:rsidRPr="00000000">
        <w:rPr>
          <w:rtl w:val="0"/>
        </w:rPr>
        <w:t xml:space="preserve">: Optimize neural network architectures with sum-product dynamics.</w:t>
      </w:r>
    </w:p>
    <w:p w:rsidR="00000000" w:rsidDel="00000000" w:rsidP="00000000" w:rsidRDefault="00000000" w:rsidRPr="00000000" w14:paraId="000000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color w:val="000000"/>
          <w:sz w:val="26"/>
          <w:szCs w:val="26"/>
        </w:rPr>
      </w:pPr>
      <w:bookmarkStart w:colFirst="0" w:colLast="0" w:name="_a7p4q7ln20hs" w:id="13"/>
      <w:bookmarkEnd w:id="13"/>
      <w:r w:rsidDel="00000000" w:rsidR="00000000" w:rsidRPr="00000000">
        <w:rPr>
          <w:b w:val="1"/>
          <w:color w:val="000000"/>
          <w:sz w:val="26"/>
          <w:szCs w:val="26"/>
          <w:rtl w:val="0"/>
        </w:rPr>
        <w:t xml:space="preserve">Conclusion</w:t>
      </w:r>
    </w:p>
    <w:p w:rsidR="00000000" w:rsidDel="00000000" w:rsidP="00000000" w:rsidRDefault="00000000" w:rsidRPr="00000000" w14:paraId="0000003A">
      <w:pPr>
        <w:spacing w:after="240" w:before="240" w:lineRule="auto"/>
        <w:rPr/>
      </w:pPr>
      <w:r w:rsidDel="00000000" w:rsidR="00000000" w:rsidRPr="00000000">
        <w:rPr>
          <w:rtl w:val="0"/>
        </w:rPr>
        <w:t xml:space="preserve">Harald Helfgott’s work on the ternary Goldbach conjecture, growth in groups, and additive combinatorics provides a powerful mathematical foundation for advancing Multiplicity Theory. His contributions enable refined models for prime-based encoding, tensor dynamics, and recursive feedback, supporting applications in quantum computing, cryptography, artificial intelligence, and astrophysical modeling. By integrating these insights, Multiplicity Theory gains enhanced mathematical precision and broader interdisciplinary relevance.</w:t>
      </w:r>
    </w:p>
    <w:p w:rsidR="00000000" w:rsidDel="00000000" w:rsidP="00000000" w:rsidRDefault="00000000" w:rsidRPr="00000000" w14:paraId="0000003B">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3D">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