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AUTHORIZED PRODUCT PREVIEW / 14 SEPTEMBER 2026</w:t>
      </w:r>
    </w:p>
    <w:p>
      <w:pPr>
        <w:pStyle w:val="Title"/>
      </w:pPr>
      <w:r>
        <w:t>FREIGHT DECISIONS.</w:t>
        <w:br/>
        <w:t>BACKED BY CARBON DATA.</w:t>
      </w:r>
    </w:p>
    <w:p>
      <w:pPr>
        <w:pStyle w:val="Subtitle"/>
      </w:pPr>
      <w:r>
        <w:t>A cinematic product experience for India's sustainability and supply-chain teams.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CellMar>
          <w:top w:w="0" w:type="dxa"/>
          <w:bottom w:w="0" w:type="dxa"/>
          <w:start w:w="0" w:type="dxa"/>
          <w:end w:w="0" w:type="dxa"/>
        </w:tblCellMar>
        <w:tblBorders>
          <w:top w:val="nil"/>
          <w:bottom w:val="nil"/>
          <w:left w:val="nil"/>
          <w:right w:val="nil"/>
          <w:insideH w:val="nil"/>
          <w:insideV w:val="nil"/>
        </w:tblBorders>
      </w:tblPr>
      <w:tblGrid>
        <w:gridCol w:w="7352"/>
        <w:gridCol w:w="2008"/>
      </w:tblGrid>
      <w:tr>
        <w:trPr>
          <w:cantSplit/>
        </w:trPr>
        <w:tc>
          <w:tcPr>
            <w:tcW w:type="dxa" w:w="7352"/>
            <w:vAlign w:val="center"/>
          </w:tcPr>
          <w:p>
            <w:pPr>
              <w:pStyle w:val="Figure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52544" cy="3022600"/>
                  <wp:docPr id="1" name="Picture 1" descr="The revised desktop TEMT hero with an illustrative freight network, four story chapters and a working estimator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302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08"/>
            <w:vAlign w:val="center"/>
          </w:tcPr>
          <w:p>
            <w:pPr>
              <w:pStyle w:val="Figure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2852928"/>
                  <wp:docPr id="2" name="Picture 2" descr="The revised mobile hero prioritizes the estimated result and usable controls before the freight st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b/>
        </w:rPr>
        <w:t xml:space="preserve">FIG. 01  </w:t>
      </w:r>
      <w:r>
        <w:t>Production-build desktop and mobile captures. The opening connects a freight story to a working decision; the narrow layout gives the estimator priority.</w:t>
      </w:r>
    </w:p>
    <w:p>
      <w:pPr>
        <w:pStyle w:val="Metric"/>
      </w:pPr>
      <w:r>
        <w:t>4 story chapters  /  4 transport modes  /  501 company records</w:t>
      </w:r>
    </w:p>
    <w:p>
      <w:pPr/>
      <w:r>
        <w:t>I built a cinematic landing page around a working shipment-analysis product. The visual revision brings calculation, comparison and evidence into the opening while preserving the company directory, analysis workspace, API and reporting workflow.</w:t>
      </w:r>
    </w:p>
    <w:p>
      <w:pPr>
        <w:pStyle w:val="Small"/>
      </w:pPr>
      <w:r>
        <w:t>Company names come from the official NIFTY 500 snapshot. Scenario activity is synthetic; company selection does not imply a customer relationship or actual company emissions.</w:t>
      </w:r>
    </w:p>
    <w:p>
      <w:pPr>
        <w:pStyle w:val="PageBreak"/>
      </w:pPr>
      <w:r>
        <w:br w:type="page"/>
      </w:r>
    </w:p>
    <w:p>
      <w:pPr>
        <w:pStyle w:val="Kicker"/>
      </w:pPr>
      <w:r>
        <w:t>02 / DESIGN &amp; ENGINEERING</w:t>
      </w:r>
    </w:p>
    <w:p>
      <w:pPr>
        <w:pStyle w:val="PageHeading"/>
      </w:pPr>
      <w:r>
        <w:t>TRY THE PRODUCT. KEEP THE CONTEXT.</w:t>
      </w:r>
    </w:p>
    <w:p>
      <w:pPr>
        <w:pStyle w:val="Lead"/>
      </w:pPr>
      <w:r>
        <w:t>The landing offers a useful first decision, then opens the evidence behind it.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CellMar>
          <w:top w:w="0" w:type="dxa"/>
          <w:bottom w:w="0" w:type="dxa"/>
          <w:start w:w="0" w:type="dxa"/>
          <w:end w:w="0" w:type="dxa"/>
        </w:tblCellMar>
        <w:tblBorders>
          <w:top w:val="nil"/>
          <w:bottom w:val="nil"/>
          <w:left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</w:tcPr>
          <w:p>
            <w:pPr>
              <w:pStyle w:val="Figure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9776" cy="1930400"/>
                  <wp:docPr id="3" name="Picture 3" descr="Interactive landing analytics calculated from the synthetic FMCG sample, with mode and month views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3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vAlign w:val="center"/>
          </w:tcPr>
          <w:p>
            <w:pPr>
              <w:pStyle w:val="Figure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9776" cy="1930400"/>
                  <wp:docPr id="4" name="Picture 4" descr="The enterprise workspace shows shipment totals, analytics and an editable ledger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desktop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3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b/>
        </w:rPr>
        <w:t xml:space="preserve">FIG. 02  </w:t>
      </w:r>
      <w:r>
        <w:t>Production-build landing analytics and the existing public workspace expose the same synthetic FMCG sample at different levels of detail.</w:t>
      </w:r>
    </w:p>
    <w:p>
      <w:pPr/>
      <w:r>
        <w:rPr>
          <w:b/>
        </w:rPr>
        <w:t xml:space="preserve">Follow the story. </w:t>
      </w:r>
      <w:r>
        <w:t>Connect, Measure, Compare and Report chapters link inputs to a baseline, an alternative and reporting evidence. Pause and manual chapter selection keep the pace in the visitor's hands.</w:t>
      </w:r>
    </w:p>
    <w:p>
      <w:pPr/>
      <w:r>
        <w:rPr>
          <w:b/>
        </w:rPr>
        <w:t xml:space="preserve">Carry the decision forward. </w:t>
      </w:r>
      <w:r>
        <w:t>Freight weight, distance and rail share recalculate immediately. The primary CTA carries all three through the URL into an editable monthly road baseline and its mode-shift comparison.</w:t>
      </w:r>
    </w:p>
    <w:p>
      <w:pPr/>
      <w:r>
        <w:rPr>
          <w:b/>
        </w:rPr>
        <w:t xml:space="preserve">Inspect the detail. </w:t>
      </w:r>
      <w:r>
        <w:t>Sector examples show calculated shipment legs and mode contributions. The landing report switches between modes and months, with exact chart data available before opening the full workspace.</w:t>
      </w:r>
    </w:p>
    <w:p>
      <w:pPr>
        <w:pStyle w:val="Small"/>
      </w:pPr>
      <w:r>
        <w:t>Motion pauses when the hero leaves view or the tab is hidden. Reduced-motion and supported data-saving preferences use manual playback. Native inputs, keyboard tabs and visible focus support access.</w:t>
      </w:r>
    </w:p>
    <w:p>
      <w:pPr>
        <w:pStyle w:val="PageBreak"/>
      </w:pPr>
      <w:r>
        <w:br w:type="page"/>
      </w:r>
    </w:p>
    <w:p>
      <w:pPr>
        <w:pStyle w:val="Kicker"/>
      </w:pPr>
      <w:r>
        <w:t>03 / DESIGN &amp; ENGINEERING</w:t>
      </w:r>
    </w:p>
    <w:p>
      <w:pPr>
        <w:pStyle w:val="PageHeading"/>
      </w:pPr>
      <w:r>
        <w:t>FROM SHIPMENT ROWS TO EVIDENCE.</w:t>
      </w:r>
    </w:p>
    <w:p>
      <w:pPr>
        <w:pStyle w:val="Lead"/>
      </w:pPr>
      <w:r>
        <w:t>The demonstration does real calculation work, with explicit validation and a reporting trail.</w:t>
      </w:r>
    </w:p>
    <w:p>
      <w:pPr>
        <w:pStyle w:val="Figure"/>
        <w:jc w:val="center"/>
      </w:pPr>
      <w:r>
        <w:drawing>
          <wp:inline xmlns:a="http://schemas.openxmlformats.org/drawingml/2006/main" xmlns:pic="http://schemas.openxmlformats.org/drawingml/2006/picture">
            <wp:extent cx="4608576" cy="3200400"/>
            <wp:docPr id="5" name="Picture 5" descr="TEMT shipment processing interface showing inputs, validation, calculation progress and outpu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 xml:space="preserve">FIG. 03  </w:t>
      </w:r>
      <w:r>
        <w:t>Production-build pipeline, with the valid sample completed. The missing-load control lets the visitor inspect how an exception changes the total.</w:t>
      </w:r>
    </w:p>
    <w:p>
      <w:pPr/>
      <w:r>
        <w:rPr>
          <w:b/>
        </w:rPr>
        <w:t xml:space="preserve">Validate. </w:t>
      </w:r>
      <w:r>
        <w:t>Toggle a missing load, then run the three-row sample. The complete two-leg shipment is excluded until corrected. The calculation trail shows accepted rows and validation exceptions.</w:t>
      </w:r>
    </w:p>
    <w:p>
      <w:pPr/>
      <w:r>
        <w:rPr>
          <w:b/>
        </w:rPr>
        <w:t xml:space="preserve">Calculate. </w:t>
      </w:r>
      <w:r>
        <w:t>Each accepted leg uses tonnes × kilometres × a published WTW factor. The full browser and API engines share unrounded TypeScript calculations; accepted legs aggregate by mode, month and subsidiary.</w:t>
      </w:r>
    </w:p>
    <w:p>
      <w:pPr/>
      <w:r>
        <w:rPr>
          <w:b/>
        </w:rPr>
        <w:t xml:space="preserve">Export. </w:t>
      </w:r>
      <w:r>
        <w:t>Filtered results become CSV, a PDF report and a Power BI import pack. The files preserve factor context and active filters. The pack is an import workflow, not a live Power BI connection.</w:t>
      </w:r>
    </w:p>
    <w:p>
      <w:pPr>
        <w:pStyle w:val="Small"/>
      </w:pPr>
      <w:r>
        <w:t>Methodology boundary: GLEC v3.2 defaults support scenario estimates. This separate demo engine is not the certified TEMT product, a carrier measurement system or a complete corporate inventory.</w:t>
      </w:r>
    </w:p>
    <w:p>
      <w:pPr>
        <w:pStyle w:val="PageBreak"/>
      </w:pPr>
      <w:r>
        <w:br w:type="page"/>
      </w:r>
    </w:p>
    <w:p>
      <w:pPr>
        <w:pStyle w:val="Kicker"/>
      </w:pPr>
      <w:r>
        <w:t>04 / DESIGN &amp; ENGINEERING</w:t>
      </w:r>
    </w:p>
    <w:p>
      <w:pPr>
        <w:pStyle w:val="PageHeading"/>
      </w:pPr>
      <w:r>
        <w:t>BUILT TO BE INSPECTED.</w:t>
      </w:r>
    </w:p>
    <w:p>
      <w:pPr>
        <w:pStyle w:val="Lead"/>
      </w:pPr>
      <w:r>
        <w:t>A small, transparent architecture keeps the landing immediate and makes the server-side work demonstrable.</w:t>
      </w:r>
    </w:p>
    <w:p>
      <w:pPr/>
      <w:r>
        <w:rPr>
          <w:b/>
        </w:rPr>
        <w:t xml:space="preserve">01 / Static frontend. </w:t>
      </w:r>
      <w:r>
        <w:t>Next.js, React and Tailwind export to Render's CDN. Local image and font assets, CSS animation, SVG scenes, Recharts and Lucide shape the experience.</w:t>
      </w:r>
    </w:p>
    <w:p>
      <w:pPr/>
      <w:r>
        <w:rPr>
          <w:b/>
        </w:rPr>
        <w:t xml:space="preserve">02 / Stateless API. </w:t>
      </w:r>
      <w:r>
        <w:t>Express processes requested analyses in memory, with request limits, validation and CORS. It does not persist shipments or log request bodies.</w:t>
      </w:r>
    </w:p>
    <w:p>
      <w:pPr/>
      <w:r>
        <w:rPr>
          <w:b/>
        </w:rPr>
        <w:t xml:space="preserve">03 / Shared calculator. </w:t>
      </w:r>
      <w:r>
        <w:t>One versioned package serves the browser and API. If the free backend is waking, local processing remains available and its origin is shown.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color="D9DDD5"/>
          <w:left w:val="single" w:sz="4" w:color="D9DDD5"/>
          <w:bottom w:val="single" w:sz="4" w:color="D9DDD5"/>
          <w:right w:val="single" w:sz="4" w:color="D9DDD5"/>
          <w:insideH w:val="single" w:sz="4" w:color="D9DDD5"/>
          <w:insideV w:val="single" w:sz="4" w:color="D9DDD5"/>
        </w:tblBorders>
      </w:tblPr>
      <w:tblGrid>
        <w:gridCol w:w="4752"/>
        <w:gridCol w:w="4608"/>
      </w:tblGrid>
      <w:tr>
        <w:trPr>
          <w:tblHeader/>
        </w:trPr>
        <w:tc>
          <w:tcPr>
            <w:tcW w:type="dxa" w:w="4752"/>
            <w:vAlign w:val="center"/>
            <w:shd w:fill="F4F2EB"/>
          </w:tcPr>
          <w:p>
            <w:pPr>
              <w:pStyle w:val="TableText"/>
            </w:pPr>
            <w:r>
              <w:rPr>
                <w:b/>
              </w:rPr>
              <w:t>Verification</w:t>
            </w:r>
          </w:p>
        </w:tc>
        <w:tc>
          <w:tcPr>
            <w:tcW w:type="dxa" w:w="4608"/>
            <w:vAlign w:val="center"/>
            <w:shd w:fill="F4F2EB"/>
          </w:tcPr>
          <w:p>
            <w:pPr>
              <w:pStyle w:val="TableText"/>
            </w:pPr>
            <w:r>
              <w:rPr>
                <w:b/>
              </w:rPr>
              <w:t>Observed result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Automated tests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112 passed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TypeScript and source integrity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Production frontend and API builds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Passed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Live server analysis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Exact 1-leg parity; 1.82 ms engine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Lighthouse performance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100 desktop / 91 mobile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Lighthouse accessibility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100 desktop / 100 mobile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Largest contentful paint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0.6 s desktop / 2.9 s mobile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Total blocking time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0 ms desktop / 50 ms mobile</w:t>
            </w:r>
          </w:p>
        </w:tc>
      </w:tr>
      <w:tr>
        <w:tc>
          <w:tcPr>
            <w:tcW w:type="dxa" w:w="4752"/>
            <w:vAlign w:val="center"/>
          </w:tcPr>
          <w:p>
            <w:pPr>
              <w:pStyle w:val="TableText"/>
            </w:pPr>
            <w:r>
              <w:rPr>
                <w:b w:val="0"/>
              </w:rPr>
              <w:t>Cumulative layout shift</w:t>
            </w:r>
          </w:p>
        </w:tc>
        <w:tc>
          <w:tcPr>
            <w:tcW w:type="dxa" w:w="4608"/>
            <w:vAlign w:val="center"/>
          </w:tcPr>
          <w:p>
            <w:pPr>
              <w:pStyle w:val="TableText"/>
            </w:pPr>
            <w:r>
              <w:rPr>
                <w:b w:val="0"/>
              </w:rPr>
              <w:t>0 desktop / 0 mobile</w:t>
            </w:r>
          </w:p>
        </w:tc>
      </w:tr>
    </w:tbl>
    <w:p>
      <w:pPr>
        <w:pStyle w:val="TableNote"/>
      </w:pPr>
      <w:r>
        <w:t>Results describe the tested build and conditions. They are not an uptime SLA, a latency guarantee or evidence of customer emissions reductions.</w:t>
      </w:r>
    </w:p>
    <w:p>
      <w:pPr>
        <w:pStyle w:val="Small"/>
      </w:pPr>
      <w:r>
        <w:t>Lighthouse 13.4.1 on the public site, 14 September 2026. Mobile: simulated 4× CPU slowdown, 150 ms RTT. Project performance floors of 95 desktop and 90 mobile were met. These are lab observations, not field measurements.</w:t>
      </w:r>
    </w:p>
    <w:p>
      <w:pPr>
        <w:pStyle w:val="Small"/>
      </w:pPr>
      <w:r>
        <w:t>Warm quick-scenario API: 66,300 kgCO₂e; 112.83 ms including response transfer, 1.82 ms engine. Exact client/server parity. Initial health request: 23.25 s with unknown prior idle time, not a controlled cold-start test.</w:t>
      </w:r>
    </w:p>
    <w:p>
      <w:pPr/>
      <w:r>
        <w:t>Release engineering: locked dependencies, a retained NSE source snapshot, pinned CI actions and separate Render services keep the implementation reproducible.</w:t>
      </w:r>
    </w:p>
    <w:p>
      <w:pPr>
        <w:pStyle w:val="Small"/>
      </w:pPr>
      <w:hyperlink r:id="rId16">
        <w:r>
          <w:rPr>
            <w:color w:val="C6471D"/>
            <w:u w:val="single"/>
          </w:rPr>
          <w:t>View the successful CI run for the validated release</w:t>
        </w:r>
      </w:hyperlink>
    </w:p>
    <w:p>
      <w:pPr>
        <w:pStyle w:val="PageBreak"/>
      </w:pPr>
      <w:r>
        <w:br w:type="page"/>
      </w:r>
    </w:p>
    <w:p>
      <w:pPr>
        <w:pStyle w:val="Kicker"/>
      </w:pPr>
      <w:r>
        <w:t>05 / DESIGN &amp; ENGINEERING</w:t>
      </w:r>
    </w:p>
    <w:p>
      <w:pPr>
        <w:pStyle w:val="PageHeading"/>
      </w:pPr>
      <w:r>
        <w:t>A PRODUCT CONVERSATION, READY TO OPEN.</w:t>
      </w:r>
    </w:p>
    <w:p>
      <w:pPr>
        <w:pStyle w:val="Lead"/>
      </w:pPr>
      <w:r>
        <w:t>The handoff includes the live experience, editable source and concrete examples of the reporting workflow.</w:t>
      </w:r>
    </w:p>
    <w:p>
      <w:pPr>
        <w:pStyle w:val="Link"/>
      </w:pPr>
      <w:hyperlink r:id="rId17">
        <w:r>
          <w:rPr>
            <w:color w:val="C6471D"/>
            <w:u w:val="single"/>
          </w:rPr>
          <w:t>Live product: temt-iimb-sample.onrender.com</w:t>
        </w:r>
      </w:hyperlink>
    </w:p>
    <w:p>
      <w:pPr>
        <w:pStyle w:val="Link"/>
      </w:pPr>
      <w:hyperlink r:id="rId18">
        <w:r>
          <w:rPr>
            <w:color w:val="C6471D"/>
            <w:u w:val="single"/>
          </w:rPr>
          <w:t>Explore the working scenario</w:t>
        </w:r>
      </w:hyperlink>
    </w:p>
    <w:p>
      <w:pPr>
        <w:pStyle w:val="Link"/>
      </w:pPr>
      <w:hyperlink r:id="rId19">
        <w:r>
          <w:rPr>
            <w:color w:val="C6471D"/>
            <w:u w:val="single"/>
          </w:rPr>
          <w:t>Download the sample PDF report</w:t>
        </w:r>
      </w:hyperlink>
    </w:p>
    <w:p>
      <w:pPr>
        <w:pStyle w:val="Link"/>
      </w:pPr>
      <w:hyperlink r:id="rId20">
        <w:r>
          <w:rPr>
            <w:color w:val="C6471D"/>
            <w:u w:val="single"/>
          </w:rPr>
          <w:t>Download the Power BI import pack</w:t>
        </w:r>
      </w:hyperlink>
    </w:p>
    <w:p>
      <w:pPr>
        <w:pStyle w:val="Link"/>
      </w:pPr>
      <w:hyperlink r:id="rId21">
        <w:r>
          <w:rPr>
            <w:color w:val="C6471D"/>
            <w:u w:val="single"/>
          </w:rPr>
          <w:t>Download the sample shipment CSV</w:t>
        </w:r>
      </w:hyperlink>
    </w:p>
    <w:p>
      <w:pPr>
        <w:pStyle w:val="Link"/>
      </w:pPr>
      <w:hyperlink r:id="rId22">
        <w:r>
          <w:rPr>
            <w:color w:val="C6471D"/>
            <w:u w:val="single"/>
          </w:rPr>
          <w:t>Review the source repository</w:t>
        </w:r>
      </w:hyperlink>
    </w:p>
    <w:p>
      <w:pPr>
        <w:pStyle w:val="Kicker"/>
      </w:pPr>
      <w:r>
        <w:t>THE DECISIONS THAT MATTER</w:t>
      </w:r>
    </w:p>
    <w:p>
      <w:pPr/>
      <w:r>
        <w:rPr>
          <w:b/>
        </w:rPr>
        <w:t xml:space="preserve">Personalization with clear boundaries. </w:t>
      </w:r>
      <w:r>
        <w:t>Real company names make the demonstration relevant. Synthetic labels prevent example activity from looking like confidential company data.</w:t>
      </w:r>
    </w:p>
    <w:p>
      <w:pPr/>
      <w:r>
        <w:rPr>
          <w:b/>
        </w:rPr>
        <w:t xml:space="preserve">A traceable commercial story. </w:t>
      </w:r>
      <w:r>
        <w:t>Institutional references open the original evidence. Product verification is scoped to its published version, while demonstration factors and assumptions remain inspectable.</w:t>
      </w:r>
    </w:p>
    <w:p>
      <w:pPr/>
      <w:r>
        <w:rPr>
          <w:b/>
        </w:rPr>
        <w:t xml:space="preserve">An expressive, useful opening. </w:t>
      </w:r>
      <w:r>
        <w:t>Four chapters make the freight story visible. The estimator stays usable while the scene plays, and its inputs continue into the workspace. The static landing loads independently of the API.</w:t>
      </w:r>
    </w:p>
    <w:p>
      <w:pPr>
        <w:pStyle w:val="Kicker"/>
      </w:pPr>
      <w:r>
        <w:t>SELECTED REFERENCES</w:t>
      </w:r>
    </w:p>
    <w:p>
      <w:pPr>
        <w:pStyle w:val="Small"/>
      </w:pPr>
      <w:hyperlink r:id="rId23">
        <w:r>
          <w:rPr>
            <w:color w:val="C6471D"/>
            <w:u w:val="single"/>
          </w:rPr>
          <w:t>IIMB: DPIIT adoption and ULIP</w:t>
        </w:r>
      </w:hyperlink>
    </w:p>
    <w:p>
      <w:pPr>
        <w:pStyle w:val="Small"/>
      </w:pPr>
      <w:hyperlink r:id="rId24">
        <w:r>
          <w:rPr>
            <w:color w:val="C6471D"/>
            <w:u w:val="single"/>
          </w:rPr>
          <w:t>TEMT v1.3: SGS validation statement</w:t>
        </w:r>
      </w:hyperlink>
    </w:p>
    <w:p>
      <w:pPr>
        <w:pStyle w:val="Small"/>
      </w:pPr>
      <w:hyperlink r:id="rId25">
        <w:r>
          <w:rPr>
            <w:color w:val="C6471D"/>
            <w:u w:val="single"/>
          </w:rPr>
          <w:t>Smart Freight Centre: GLEC v3.2</w:t>
        </w:r>
      </w:hyperlink>
    </w:p>
    <w:p>
      <w:pPr>
        <w:pStyle w:val="Small"/>
      </w:pPr>
      <w:hyperlink r:id="rId26">
        <w:r>
          <w:rPr>
            <w:color w:val="C6471D"/>
            <w:u w:val="single"/>
          </w:rPr>
          <w:t>NSE: constituent snapshot</w:t>
        </w:r>
      </w:hyperlink>
    </w:p>
    <w:p>
      <w:pPr>
        <w:pStyle w:val="Small"/>
      </w:pPr>
      <w:r>
        <w:t>Sources and design rationale: docs/SOURCES.md and docs/ux-research.md. Photography: CHUTTERSNAP / Unsplash. Fonts: Barlow Condensed, Manrope and IBM Plex Mono under their included licenses.</w:t>
      </w:r>
    </w:p>
    <w:p>
      <w:pPr>
        <w:pStyle w:val="Small"/>
      </w:pPr>
      <w:r>
        <w:t>Validated release 81f7a0b / 14 September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t>DESIGN + ENGINEERING / SEPTEMBER 2026</w:t>
      <w:tab/>
    </w:r>
    <w:r/>
    <w:fldSimple w:instr="PAGE"/>
    <w:r>
      <w:t xml:space="preserve"> / 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t>TEMT / ENTERPRISE PREVIEW</w:t>
      <w:tab/>
      <w:t>PRODUCT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ind w:left="0" w:right="0" w:firstLine="0"/>
    </w:pPr>
    <w:rPr>
      <w:rFonts w:ascii="Manrope" w:hAnsi="Manrope" w:eastAsia="Manrope" w:cs="Manrope"/>
      <w:b w:val="0"/>
      <w:i w:val="0"/>
      <w:color w:val="10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64" w:lineRule="auto" w:before="0"/>
      <w:ind w:left="0" w:right="0" w:firstLine="0"/>
    </w:pPr>
    <w:rPr>
      <w:rFonts w:ascii="IBM Plex Mono" w:hAnsi="IBM Plex Mono" w:eastAsia="IBM Plex Mono" w:cs="IBM Plex Mono"/>
      <w:b w:val="0"/>
      <w:i w:val="0"/>
      <w:color w:val="566059"/>
      <w:sz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64" w:lineRule="auto" w:before="0"/>
      <w:ind w:left="0" w:right="0" w:firstLine="0"/>
    </w:pPr>
    <w:rPr>
      <w:rFonts w:ascii="IBM Plex Mono" w:hAnsi="IBM Plex Mono" w:eastAsia="IBM Plex Mono" w:cs="IBM Plex Mono"/>
      <w:b w:val="0"/>
      <w:i w:val="0"/>
      <w:color w:val="566059"/>
      <w:sz w:val="14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ind w:left="0" w:right="0" w:firstLine="0"/>
      <w:outlineLvl w:val="0"/>
    </w:pPr>
    <w:rPr>
      <w:rFonts w:ascii="Barlow Condensed" w:hAnsi="Barlow Condensed" w:eastAsia="Barlow Condensed" w:cs="Barlow Condensed"/>
      <w:b w:val="0"/>
      <w:bCs/>
      <w:i w:val="0"/>
      <w:color w:val="C6471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ind w:left="0" w:right="0" w:firstLine="0"/>
      <w:outlineLvl w:val="1"/>
    </w:pPr>
    <w:rPr>
      <w:rFonts w:ascii="Barlow Condensed" w:hAnsi="Barlow Condensed" w:eastAsia="Barlow Condensed" w:cs="Barlow Condensed"/>
      <w:b w:val="0"/>
      <w:bCs/>
      <w:i w:val="0"/>
      <w:color w:val="C6471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ind w:left="0" w:right="0" w:firstLine="0"/>
      <w:outlineLvl w:val="2"/>
    </w:pPr>
    <w:rPr>
      <w:rFonts w:ascii="Barlow Condensed" w:hAnsi="Barlow Condensed" w:eastAsia="Barlow Condensed" w:cs="Barlow Condensed"/>
      <w:b w:val="0"/>
      <w:bCs/>
      <w:i w:val="0"/>
      <w:color w:val="10151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30" w:lineRule="auto" w:before="0"/>
      <w:ind w:left="0" w:right="0" w:firstLine="0"/>
    </w:pPr>
    <w:rPr>
      <w:rFonts w:ascii="Barlow Condensed" w:hAnsi="Barlow Condensed" w:eastAsia="Barlow Condensed" w:cs="Barlow Condensed"/>
      <w:b w:val="0"/>
      <w:i w:val="0"/>
      <w:color w:val="101512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60" w:line="264" w:lineRule="auto"/>
      <w:ind w:left="0" w:right="0" w:firstLine="0"/>
    </w:pPr>
    <w:rPr>
      <w:rFonts w:ascii="Manrope" w:hAnsi="Manrope" w:eastAsia="Manrope" w:cs="Manrope"/>
      <w:b w:val="0"/>
      <w:i w:val="0"/>
      <w:color w:val="566059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before="100" w:after="200"/>
      <w:ind w:left="0" w:right="0" w:firstLine="0"/>
    </w:pPr>
    <w:rPr>
      <w:rFonts w:ascii="Manrope" w:hAnsi="Manrope" w:eastAsia="Manrope" w:cs="Manrope"/>
      <w:b w:val="0"/>
      <w:bCs/>
      <w:i w:val="0"/>
      <w:color w:val="5660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geHeading">
    <w:name w:val="Page Heading"/>
    <w:basedOn w:val="Heading1"/>
    <w:pPr>
      <w:keepNext/>
      <w:spacing w:before="0" w:after="180" w:line="240" w:lineRule="auto"/>
      <w:ind w:left="0" w:right="0" w:firstLine="0"/>
      <w:outlineLvl w:val="0"/>
    </w:pPr>
    <w:rPr>
      <w:rFonts w:ascii="Barlow Condensed" w:hAnsi="Barlow Condensed" w:eastAsia="Barlow Condensed" w:cs="Barlow Condensed"/>
      <w:b w:val="0"/>
      <w:i w:val="0"/>
      <w:color w:val="101512"/>
      <w:sz w:val="52"/>
    </w:rPr>
  </w:style>
  <w:style w:type="paragraph" w:customStyle="1" w:styleId="Kicker">
    <w:name w:val="Kicker"/>
    <w:pPr>
      <w:keepNext/>
      <w:spacing w:before="0" w:after="160" w:line="264" w:lineRule="auto"/>
      <w:ind w:left="0" w:right="0" w:firstLine="0"/>
    </w:pPr>
    <w:rPr>
      <w:rFonts w:ascii="IBM Plex Mono" w:hAnsi="IBM Plex Mono" w:eastAsia="IBM Plex Mono" w:cs="IBM Plex Mono"/>
      <w:b w:val="0"/>
      <w:i w:val="0"/>
      <w:color w:val="C6471D"/>
      <w:sz w:val="16"/>
    </w:rPr>
  </w:style>
  <w:style w:type="paragraph" w:customStyle="1" w:styleId="Lead">
    <w:name w:val="Lead"/>
    <w:pPr>
      <w:spacing w:before="0" w:after="240" w:line="264" w:lineRule="auto"/>
      <w:ind w:left="0" w:right="0" w:firstLine="0"/>
    </w:pPr>
    <w:rPr>
      <w:rFonts w:ascii="Manrope" w:hAnsi="Manrope" w:eastAsia="Manrope" w:cs="Manrope"/>
      <w:b w:val="0"/>
      <w:i w:val="0"/>
      <w:color w:val="566059"/>
      <w:sz w:val="22"/>
    </w:rPr>
  </w:style>
  <w:style w:type="paragraph" w:customStyle="1" w:styleId="Figure">
    <w:name w:val="Figure"/>
    <w:pPr>
      <w:keepNext/>
      <w:spacing w:before="0" w:after="0" w:line="240" w:lineRule="auto"/>
      <w:ind w:left="0" w:right="0" w:firstLine="0"/>
    </w:pPr>
    <w:rPr>
      <w:rFonts w:ascii="Manrope" w:hAnsi="Manrope" w:eastAsia="Manrope" w:cs="Manrope"/>
      <w:b w:val="0"/>
      <w:i w:val="0"/>
      <w:color w:val="101512"/>
      <w:sz w:val="2"/>
    </w:rPr>
  </w:style>
  <w:style w:type="paragraph" w:customStyle="1" w:styleId="TableText">
    <w:name w:val="Table Text"/>
    <w:pPr>
      <w:spacing w:before="0" w:after="0" w:line="264" w:lineRule="auto"/>
      <w:ind w:left="0" w:right="0" w:firstLine="0"/>
    </w:pPr>
    <w:rPr>
      <w:rFonts w:ascii="Manrope" w:hAnsi="Manrope" w:eastAsia="Manrope" w:cs="Manrope"/>
      <w:b w:val="0"/>
      <w:i w:val="0"/>
      <w:color w:val="101512"/>
      <w:sz w:val="20"/>
    </w:rPr>
  </w:style>
  <w:style w:type="paragraph" w:customStyle="1" w:styleId="TableNote">
    <w:name w:val="Table Note"/>
    <w:pPr>
      <w:spacing w:before="80" w:after="80" w:line="269" w:lineRule="auto"/>
      <w:ind w:left="0" w:right="0" w:firstLine="0"/>
    </w:pPr>
    <w:rPr>
      <w:rFonts w:ascii="Manrope" w:hAnsi="Manrope" w:eastAsia="Manrope" w:cs="Manrope"/>
      <w:b w:val="0"/>
      <w:i w:val="0"/>
      <w:color w:val="566059"/>
      <w:sz w:val="18"/>
    </w:rPr>
  </w:style>
  <w:style w:type="paragraph" w:customStyle="1" w:styleId="Small">
    <w:name w:val="Small"/>
    <w:pPr>
      <w:spacing w:before="0" w:after="100" w:line="269" w:lineRule="auto"/>
      <w:ind w:left="0" w:right="0" w:firstLine="0"/>
    </w:pPr>
    <w:rPr>
      <w:rFonts w:ascii="Manrope" w:hAnsi="Manrope" w:eastAsia="Manrope" w:cs="Manrope"/>
      <w:b w:val="0"/>
      <w:i w:val="0"/>
      <w:color w:val="566059"/>
      <w:sz w:val="18"/>
    </w:rPr>
  </w:style>
  <w:style w:type="paragraph" w:customStyle="1" w:styleId="Metric">
    <w:name w:val="Metric"/>
    <w:pPr>
      <w:spacing w:before="0" w:after="100" w:line="264" w:lineRule="auto"/>
      <w:ind w:left="0" w:right="0" w:firstLine="0"/>
    </w:pPr>
    <w:rPr>
      <w:rFonts w:ascii="Barlow Condensed" w:hAnsi="Barlow Condensed" w:eastAsia="Barlow Condensed" w:cs="Barlow Condensed"/>
      <w:b w:val="0"/>
      <w:i w:val="0"/>
      <w:color w:val="C6471D"/>
      <w:sz w:val="40"/>
    </w:rPr>
  </w:style>
  <w:style w:type="paragraph" w:customStyle="1" w:styleId="Link">
    <w:name w:val="Link"/>
    <w:pPr>
      <w:spacing w:before="0" w:after="120" w:line="276" w:lineRule="auto"/>
      <w:ind w:left="0" w:right="0" w:firstLine="0"/>
    </w:pPr>
    <w:rPr>
      <w:rFonts w:ascii="Manrope" w:hAnsi="Manrope" w:eastAsia="Manrope" w:cs="Manrope"/>
      <w:b w:val="0"/>
      <w:i w:val="0"/>
      <w:color w:val="101512"/>
      <w:sz w:val="20"/>
    </w:rPr>
  </w:style>
  <w:style w:type="paragraph" w:customStyle="1" w:styleId="PageBreak">
    <w:name w:val="Page Break"/>
    <w:pPr>
      <w:spacing w:before="0" w:after="0" w:line="240" w:lineRule="auto"/>
      <w:ind w:left="0" w:right="0" w:firstLine="0"/>
    </w:pPr>
    <w:rPr>
      <w:rFonts w:ascii="Manrope" w:hAnsi="Manrope" w:eastAsia="Manrope" w:cs="Manrope"/>
      <w:b w:val="0"/>
      <w:i w:val="0"/>
      <w:color w:val="101512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hyperlink" Target="https://github.com/RS-010806/temt_iimb_sample/actions/runs/34784180046" TargetMode="External"/><Relationship Id="rId17" Type="http://schemas.openxmlformats.org/officeDocument/2006/relationships/hyperlink" Target="https://temt-iimb-sample.onrender.com" TargetMode="External"/><Relationship Id="rId18" Type="http://schemas.openxmlformats.org/officeDocument/2006/relationships/hyperlink" Target="https://temt-iimb-sample.onrender.com/demo/" TargetMode="External"/><Relationship Id="rId19" Type="http://schemas.openxmlformats.org/officeDocument/2006/relationships/hyperlink" Target="https://temt-iimb-sample.onrender.com/downloads/temt-example-report.pdf" TargetMode="External"/><Relationship Id="rId20" Type="http://schemas.openxmlformats.org/officeDocument/2006/relationships/hyperlink" Target="https://temt-iimb-sample.onrender.com/downloads/temt-power-bi-pack.zip" TargetMode="External"/><Relationship Id="rId21" Type="http://schemas.openxmlformats.org/officeDocument/2006/relationships/hyperlink" Target="https://temt-iimb-sample.onrender.com/downloads/temt-sample-shipments.csv" TargetMode="External"/><Relationship Id="rId22" Type="http://schemas.openxmlformats.org/officeDocument/2006/relationships/hyperlink" Target="https://github.com/RS-010806/temt_iimb_sample" TargetMode="External"/><Relationship Id="rId23" Type="http://schemas.openxmlformats.org/officeDocument/2006/relationships/hyperlink" Target="https://www.iimb.ac.in/node/14281" TargetMode="External"/><Relationship Id="rId24" Type="http://schemas.openxmlformats.org/officeDocument/2006/relationships/hyperlink" Target="https://dpiit.freightemissions.com/certification.pdf" TargetMode="External"/><Relationship Id="rId25" Type="http://schemas.openxmlformats.org/officeDocument/2006/relationships/hyperlink" Target="https://smartfreightcentre.org/news/13311209" TargetMode="External"/><Relationship Id="rId26" Type="http://schemas.openxmlformats.org/officeDocument/2006/relationships/hyperlink" Target="https://www.niftyindices.com/IndexConstituent/ind_nifty500list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TEMT: freight decisions backed by carbon data</dc:title>
  <dc:subject>Five-page enterprise product preview case study</dc:subject>
  <dc:creator>TEMT project</dc:creator>
  <cp:keywords>TEMT, freight emissions, NIFTY 500, product design, full-stack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