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B12322"/>
          <w:sz w:val="18"/>
          <w:szCs w:val="18"/>
        </w:rPr>
        <w:t xml:space="preserve">TEMT · TRANSPORTATION EMISSION MEASUREMENT TOOL</w:t>
      </w:r>
    </w:p>
    <w:p>
      <w:pPr>
        <w:pStyle w:val="Title"/>
        <w:spacing w:after="160"/>
      </w:pPr>
      <w:r>
        <w:t xml:space="preserve">Freight emissions report</w:t>
      </w:r>
    </w:p>
    <w:p>
      <w:pPr>
        <w:spacing w:after="120"/>
      </w:pPr>
      <w:r>
        <w:rPr>
          <w:b/>
          <w:bCs/>
          <w:sz w:val="30"/>
          <w:szCs w:val="30"/>
        </w:rPr>
        <w:t xml:space="preserve">Sample FMCG company (synthetic data)</w:t>
      </w:r>
    </w:p>
    <w:p>
      <w:pPr>
        <w:spacing w:after="320"/>
      </w:pPr>
      <w:r>
        <w:rPr>
          <w:i/>
          <w:iCs/>
          <w:color w:val="636363"/>
        </w:rPr>
        <w:t xml:space="preserve">FY 2025–26 · Generated 27 September 2026 · GLEC Framework v3.2 · India defaults · engine temt-engine-2.0.0</w:t>
      </w:r>
    </w:p>
    <w:p>
      <w:pPr>
        <w:pStyle w:val="Heading1"/>
        <w:spacing w:after="120" w:before="360"/>
      </w:pPr>
      <w:r>
        <w:rPr>
          <w:color w:val="740000"/>
        </w:rPr>
        <w:t xml:space="preserve">Summary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E8E3DB" w:sz="4"/>
          <w:right w:val="none" w:color="FFFFFF" w:sz="0"/>
          <w:insideH w:val="single" w:color="E8E3DB" w:sz="4"/>
          <w:insideV w:val="none" w:color="FFFFFF" w:sz="0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pct" w:w="40%"/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 emissions, well-to-wheel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325.5 t CO₂e</w:t>
            </w:r>
          </w:p>
        </w:tc>
      </w:tr>
      <w:tr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Tank-to-wheel (vehicle operation)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241.4 t CO₂e</w:t>
            </w:r>
          </w:p>
        </w:tc>
      </w:tr>
      <w:tr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Well-to-tank (energy provision)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78.95 t CO₂e</w:t>
            </w:r>
          </w:p>
        </w:tc>
      </w:tr>
      <w:tr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Hubs and terminals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5.21 t CO₂e</w:t>
            </w:r>
          </w:p>
        </w:tc>
      </w:tr>
      <w:tr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Shipments and legs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169 shipments · 334 legs</w:t>
            </w:r>
          </w:p>
        </w:tc>
      </w:tr>
      <w:tr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Emission intensity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22.4 g CO₂e per tonne-km</w:t>
            </w:r>
          </w:p>
        </w:tc>
      </w:tr>
      <w:tr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Emissions per tonne shipped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66.6 kg CO₂e</w:t>
            </w:r>
          </w:p>
        </w:tc>
      </w:tr>
      <w:tr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 vs FY 2024–25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-8.4%</w:t>
            </w:r>
          </w:p>
        </w:tc>
      </w:tr>
    </w:tbl>
    <w:p>
      <w:pPr>
        <w:pStyle w:val="Heading1"/>
        <w:spacing w:after="120" w:before="360"/>
      </w:pPr>
      <w:r>
        <w:rPr>
          <w:color w:val="740000"/>
        </w:rPr>
        <w:t xml:space="preserve">Key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Road is your largest source. 68% of emissions from 24% of tonne-kilometres.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heaviest lane. Hosur → Delhi accounts for 12% of emissions across 6 shipments.</w:t>
      </w:r>
    </w:p>
    <w:p>
      <w:pPr>
        <w:pStyle w:val="Heading1"/>
        <w:spacing w:after="120" w:before="360"/>
      </w:pPr>
      <w:r>
        <w:rPr>
          <w:color w:val="740000"/>
        </w:rPr>
        <w:t xml:space="preserve">Emissions by transport mode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E8E3DB" w:sz="4"/>
          <w:right w:val="none" w:color="FFFFFF" w:sz="0"/>
          <w:insideH w:val="single" w:color="E8E3DB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 CO₂e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Tonne-km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222.9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68.5%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35,24,570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22.8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21,71,296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Air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6.43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5,769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68.15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20.9%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88,57,481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Hubs and terminals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5.21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1.6%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1"/>
        <w:spacing w:after="120" w:before="360"/>
      </w:pPr>
      <w:r>
        <w:rPr>
          <w:color w:val="740000"/>
        </w:rPr>
        <w:t xml:space="preserve">GHG Protocol scopes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E8E3DB" w:sz="4"/>
          <w:right w:val="none" w:color="FFFFFF" w:sz="0"/>
          <w:insideH w:val="single" w:color="E8E3DB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 CO₂e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Tonne-km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Scope 3 · Category 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280.8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86.2%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1,07,78,433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Scope 3 · Category 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42.56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13.1%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37,55,646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Scope 1 · own fleet fuel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24,575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Scope 2 · own fleet electricity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463</w:t>
            </w:r>
          </w:p>
        </w:tc>
      </w:tr>
    </w:tbl>
    <w:p>
      <w:pPr>
        <w:pStyle w:val="Heading1"/>
        <w:spacing w:after="120" w:before="360"/>
      </w:pPr>
      <w:r>
        <w:rPr>
          <w:color w:val="740000"/>
        </w:rPr>
        <w:t xml:space="preserve">Business units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E8E3DB" w:sz="4"/>
          <w:right w:val="none" w:color="FFFFFF" w:sz="0"/>
          <w:insideH w:val="single" w:color="E8E3DB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Business unit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 CO₂e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Tonne-km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 Care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112.1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34.4%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49,65,753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Home Care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109.4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33.6%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53,10,548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Foods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31.9%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42,82,815</w:t>
            </w:r>
          </w:p>
        </w:tc>
      </w:tr>
    </w:tbl>
    <w:p>
      <w:pPr>
        <w:pStyle w:val="Heading1"/>
        <w:spacing w:after="120" w:before="360"/>
      </w:pPr>
      <w:r>
        <w:rPr>
          <w:color w:val="740000"/>
        </w:rPr>
        <w:t xml:space="preserve">Top lanes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E8E3DB" w:sz="4"/>
          <w:right w:val="none" w:color="FFFFFF" w:sz="0"/>
          <w:insideH w:val="single" w:color="E8E3DB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 CO₂e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Tonne-km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Hosur → Delhi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37.62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11.6%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16,01,320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Hosur → Jaipur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20.54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6.3%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7,70,691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Hosur → Rotterdam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20.11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6.2%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17,60,073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Hosur → Kochi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19.83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6.1%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7,30,877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Baddi → Chennai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18.22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5.6%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4,71,662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Baddi → Hyderabad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15.28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4.7%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2,94,057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Baddi → Rotterdam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13.95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4.3%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10,80,446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Silvassa → Delhi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13.75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4.2%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10,19,633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Baddi → Kolkata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12.45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3.8%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2,62,205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Hosur → Chennai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11.07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3.4%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3,53,541</w:t>
            </w:r>
          </w:p>
        </w:tc>
      </w:tr>
    </w:tbl>
    <w:p>
      <w:pPr>
        <w:pStyle w:val="Heading1"/>
        <w:spacing w:after="120" w:before="360"/>
      </w:pPr>
      <w:r>
        <w:rPr>
          <w:color w:val="740000"/>
        </w:rPr>
        <w:t xml:space="preserve">Data quality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E8E3DB" w:sz="4"/>
          <w:right w:val="none" w:color="FFFFFF" w:sz="0"/>
          <w:insideH w:val="single" w:color="E8E3DB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 CO₂e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Tonne-km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factors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323.3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99.3%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1,45,34,079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Primary data (measured fuel, energy or carrier value)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2.21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25,038</w:t>
            </w:r>
          </w:p>
        </w:tc>
      </w:tr>
    </w:tbl>
    <w:p>
      <w:pPr>
        <w:pStyle w:val="Heading1"/>
        <w:spacing w:after="120" w:before="360"/>
      </w:pPr>
      <w:r>
        <w:rPr>
          <w:color w:val="740000"/>
        </w:rPr>
        <w:t xml:space="preserve">Reduction opportunities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 long road hauls to rail (up to 148.7 t CO₂e). 53 road legs of 500 km or more with at least 8 t of cargo could move by rail with 30 km road drayage at each end. Biggest lanes: Hosur → Delhi; Baddi → Chennai; Hosur → Jaipur. Check rail access, capacity and transit time before committing.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short air legs with road (up to 5.44 t CO₂e). 2 air legs of up to 2,500 km. Moving time-flexible consignments to an intermediate truck would avoid most of their emissions.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Consolidate long hauls into larger trucks (up to 0.65 t CO₂e). 6 long-haul legs use trucks of 12 t GVW or less. Consolidating loads into a 12–20 t truck lowers emissions per tonne-kilometre.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default factors with primary data. 98% of emissions use default factors. Ask your top carriers for fuel or energy records; ISO 14083 prefers primary data and it usually shows the effect of your own improvements.</w:t>
      </w:r>
    </w:p>
    <w:p>
      <w:pPr>
        <w:pStyle w:val="Heading1"/>
        <w:spacing w:after="120" w:before="360"/>
      </w:pPr>
      <w:r>
        <w:rPr>
          <w:color w:val="740000"/>
        </w:rPr>
        <w:t xml:space="preserve">BRSR mapping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E8E3DB" w:sz="4"/>
          <w:right w:val="none" w:color="FFFFFF" w:sz="0"/>
          <w:insideH w:val="single" w:color="E8E3DB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pct" w:w="22%"/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pct" w:w="44%"/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Principle 6 · Scope 3 GHG emissions (freight share)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323.31 t CO₂e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Leadership indicator. Category 4 and Category 9 transport, well-to-wheel.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Principle 6 · Scope 1 and 2 GHG emissions (own fleet share)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2.21 t CO₂e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Own fleet fuel (Scope 1) and electricity for own electric vehicles (Scope 2). Add to your site-level Scope 1 and 2 inventory.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Freight emission intensity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22.4 g CO₂e per tonne-km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Physical intensity for year-on-year comparison.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Freight emissions per ₹ crore of revenue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0.026 t CO₂e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Revenue entered in Settings: ₹12,500 crore.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Methodology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GLEC v3.2 India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ISO 14083-aligned; factor sources listed in the methodology section.</w:t>
            </w:r>
          </w:p>
        </w:tc>
      </w:tr>
    </w:tbl>
    <w:p>
      <w:pPr>
        <w:pStyle w:val="Heading1"/>
        <w:spacing w:after="120" w:before="360"/>
      </w:pPr>
      <w:r>
        <w:rPr>
          <w:color w:val="740000"/>
        </w:rPr>
        <w:t xml:space="preserve">Methodology</w:t>
      </w:r>
    </w:p>
    <w:p>
      <w:pPr>
        <w:spacing w:after="120"/>
      </w:pPr>
      <w:r>
        <w:rPr>
          <w:b/>
          <w:bCs/>
        </w:rPr>
        <w:t xml:space="preserve">GLEC Framework v3.2 · India defaults</w:t>
      </w:r>
    </w:p>
    <w:p>
      <w:pPr>
        <w:spacing w:after="120"/>
      </w:pPr>
      <w:r>
        <w:t xml:space="preserve">Latest published defaults (October 2025). Indian road intensities originate from TCI–IIMB Supply Chain Sustainability Lab research; rail, air, sea, inland waterway and hub values follow GLEC Module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Emissions are reported well-to-wheel (WTW) in kg or tonnes CO₂e, split into tank-to-wheel (vehicle operation), well-to-tank (energy provision) and hub operations, following ISO 14083:2023 and the GLEC Framework v3.2.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Default factors are estimates for typical operations. Replace them with primary fuel or energy data from carriers where 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Distances marked as estimated come from straight-line distance multiplied by network factors or from sea-lane routing; actual distances were used where supplied.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Scope classification follows the GHG Protocol: own fleet → Scope 1/2; purchased transport → Scope 3 Category 4; customer-paid downstream transport → Scope 3 Category 9.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Production TEMT's ISO 14083 and ISO/IEC 27001:2022 certifications apply to that platform and its stated scope.</w:t>
      </w:r>
    </w:p>
    <w:p>
      <w:pPr>
        <w:pStyle w:val="Heading2"/>
        <w:spacing w:after="120" w:before="240"/>
      </w:pPr>
      <w:r>
        <w:rPr>
          <w:color w:val="1C1917"/>
        </w:rPr>
        <w:t xml:space="preserve">Factors used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E8E3DB" w:sz="4"/>
          <w:right w:val="none" w:color="FFFFFF" w:sz="0"/>
          <w:insideH w:val="single" w:color="E8E3DB" w:sz="4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pct" w:w="10%"/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WTT</w:t>
            </w:r>
          </w:p>
        </w:tc>
        <w:tc>
          <w:tcPr>
            <w:tcW w:type="pct" w:w="10%"/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TTW</w:t>
            </w:r>
          </w:p>
        </w:tc>
        <w:tc>
          <w:tcPr>
            <w:tcW w:type="pct" w:w="14%"/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pct" w:w="30%"/>
            <w:shd w:fill="B123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Heavy rigid truck, 20–30 t GVW, diesel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0.0191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0.0632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Table 13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Multi-axle heavy truck, 30–50 t GVW, diesel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0.0154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0.0509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Table 13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Indian Railways average, mixed diesel/electric traction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0.0064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0.0041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Module 2, rail, Region: India (mixed diesel/electric traction)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Tractor-trailer, 30–60 t GVW, diesel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0.0128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0.0423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Table 13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Light commercial vehicle, up to 3.5 t GVW, diesel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0.0879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0.2916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Table 13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Medium rigid truck, 12–20 t GVW, diesel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0.0209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0.0692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Table 13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Container, Intra Middle East / India (coastal and regional), dry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0.00141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0.00648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Sea Table 18, container end-user values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Intermediate rigid truck, 5–12 t GVW, diesel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0.0324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0.1075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Table 13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Small commercial vehicle, 3–5 t GVW, diesel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0.0514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0.1707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Table 13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Diesel (HSD)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0.97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3.24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CO₂e/kg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Module 1, Indian sources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Container, Europe (North &amp; Med) ↔ Middle East / India, dry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0.0013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0.00604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Sea Table 18, container end-user values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Container, Industry average (lane unknown), dry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0.00127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0.0059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Sea Table 18, container end-user values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Intermediate rigid truck, 5–12 t GVW, CNG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0.0459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0.1229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Table 13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Grid electricity, India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CO₂e/kWh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Central Electricity Authority, Ministry of Power, Weighted average, FY 2024–25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Container, Intra Middle East / India (coastal and regional), dry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0.00205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0.0094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Sea Table 18, container end-user values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Container, Asia ↔ Middle East / India, dry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0.00138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0.00645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Sea Table 18, container end-user values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Air freight, belly hold, long-haul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0.161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0.775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Air Table 1</w:t>
            </w:r>
          </w:p>
        </w:tc>
      </w:tr>
      <w:tr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Air freight, belly hold, short-haul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0.213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1.026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kg CO₂e/t-km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Smart Freight Centre, Air Table 1</w:t>
            </w:r>
          </w:p>
        </w:tc>
      </w:tr>
    </w:tbl>
    <w:p>
      <w:pPr>
        <w:pStyle w:val="Heading2"/>
        <w:spacing w:after="120" w:before="240"/>
      </w:pPr>
      <w:r>
        <w:rPr>
          <w:color w:val="1C1917"/>
        </w:rPr>
        <w:t xml:space="preserve">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Smart Freight Centre (2025). Global Logistics Emissions Council Framework v3.2. https://smartfreightcentre.org/news/13311209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Central Electricity Authority, Ministry of Power (2025). CO2 Baseline Database for the Indian Power Sector, Version 21.0. https://cea.nic.in/cdm-co2-baseline-database/?lang=en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International Organization for Standardization (2023). ISO 14083:2023 Greenhouse gases — Quantification and reporting of GHG emissions arising from transport chain operations. https://www.iso.org/standard/78864.html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World Resources Institute and WBCSD (2011). Corporate Value Chain (Scope 3) Accounting and Reporting Standard. https://ghgprotocol.org/corporate-value-chain-scope-3-standard</w:t>
      </w: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36363"/>
        <w:sz w:val="16"/>
        <w:szCs w:val="16"/>
      </w:rPr>
      <w:t xml:space="preserve">TEMT · Sample FMCG company (synthetic data) · FY 2025–26 · page </w:t>
    </w:r>
    <w:r>
      <w:rPr>
        <w:color w:val="6363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Title">
    <w:name w:val="Title"/>
    <w:basedOn w:val="Normal"/>
    <w:rPr>
      <w:rFonts w:ascii="Georgia" w:cs="Georgia" w:eastAsia="Georgia" w:hAnsi="Georgia"/>
      <w:b/>
      <w:bCs/>
      <w:color w:val="740000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emissions report FY 2025–26</dc:title>
  <dc:creator>TEMT</dc:creator>
  <dc:description>Sample FMCG company (synthetic data) freight emissions</dc:description>
  <cp:lastModifiedBy>Un-named</cp:lastModifiedBy>
  <cp:revision>1</cp:revision>
  <dcterms:created xsi:type="dcterms:W3CDTF">2026-09-27T11:11:18.835Z</dcterms:created>
  <dcterms:modified xsi:type="dcterms:W3CDTF">2026-09-27T11:11:18.835Z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