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AUTHORIZED PRODUCT PREVIEW / 14 SEPTEMBER 2026</w:t>
      </w:r>
    </w:p>
    <w:p>
      <w:pPr>
        <w:pStyle w:val="Title"/>
      </w:pPr>
      <w:r>
        <w:t>FREIGHT DECISIONS.</w:t>
        <w:br/>
        <w:t>BACKED BY CARBON DATA.</w:t>
      </w:r>
    </w:p>
    <w:p>
      <w:pPr>
        <w:pStyle w:val="Subtitle"/>
      </w:pPr>
      <w:r>
        <w:t>A working enterprise experience for India's sustainability and supply-chain teams.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4476902" cy="3108960"/>
            <wp:docPr id="1" name="Picture 1" descr="The finished TEMT landing page with freight imagery, enterprise proposition, primary CTA and interactive road-to-rail estim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deskto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902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FIG. 01  </w:t>
      </w:r>
      <w:r>
        <w:t>The opening connects a clear product proposition to an immediate, adjustable freight scenario.</w:t>
      </w:r>
    </w:p>
    <w:p>
      <w:pPr>
        <w:pStyle w:val="Metric"/>
      </w:pPr>
      <w:r>
        <w:t>4 transport modes  /  501 company records  /  1 shared engine</w:t>
      </w:r>
    </w:p>
    <w:p>
      <w:pPr/>
      <w:r>
        <w:t>I designed and built a responsive landing page, a shipment-analysis workspace and a real API. The journey moves from a quick carbon estimate to editable shipment data, traceable calculations and useful reporting files.</w:t>
      </w:r>
    </w:p>
    <w:p>
      <w:pPr>
        <w:pStyle w:val="Small"/>
      </w:pPr>
      <w:r>
        <w:t>Company names come from the official NIFTY 500 snapshot. Scenario activity is synthetic; company selection does not imply a customer relationship or actual company emissions.</w:t>
      </w:r>
    </w:p>
    <w:p>
      <w:pPr>
        <w:pStyle w:val="PageBreak"/>
      </w:pPr>
      <w:r>
        <w:br w:type="page"/>
      </w:r>
    </w:p>
    <w:p>
      <w:pPr>
        <w:pStyle w:val="Kicker"/>
      </w:pPr>
      <w:r>
        <w:t>02 / DESIGN &amp; ENGINEERING</w:t>
      </w:r>
    </w:p>
    <w:p>
      <w:pPr>
        <w:pStyle w:val="PageHeading"/>
      </w:pPr>
      <w:r>
        <w:t>MAKE THE FIRST TEN SECONDS USEFUL.</w:t>
      </w:r>
    </w:p>
    <w:p>
      <w:pPr>
        <w:pStyle w:val="Lead"/>
      </w:pPr>
      <w:r>
        <w:t>The opening is designed to create a meaningful action before asking a visitor for a sales conversation.</w:t>
      </w:r>
    </w:p>
    <w:p>
      <w:pPr>
        <w:pStyle w:val="Figure"/>
      </w:pPr>
      <w:r>
        <w:drawing>
          <wp:inline xmlns:a="http://schemas.openxmlformats.org/drawingml/2006/main" xmlns:pic="http://schemas.openxmlformats.org/drawingml/2006/picture">
            <wp:extent cx="4114800" cy="2857500"/>
            <wp:docPr id="2" name="Picture 2" descr="Desktop analytics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deskto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575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188720" cy="2852928"/>
            <wp:docPr id="3" name="Picture 3" descr="Responsive TEMT page on a mobile view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mobil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FIG. 02  </w:t>
      </w:r>
      <w:r>
        <w:t>Desktop workspace and mobile layout. The same product journey adapts to available space, with readable inputs and direct actions.</w:t>
      </w:r>
    </w:p>
    <w:p>
      <w:pPr/>
      <w:r>
        <w:rPr>
          <w:b/>
        </w:rPr>
        <w:t xml:space="preserve">Recognize the problem. </w:t>
      </w:r>
      <w:r>
        <w:t>Condensed headlines, freight photography and an orange action color create hierarchy. The primary CTA opens a working scenario; the secondary CTA explains the platform.</w:t>
      </w:r>
    </w:p>
    <w:p>
      <w:pPr/>
      <w:r>
        <w:rPr>
          <w:b/>
        </w:rPr>
        <w:t xml:space="preserve">Try a decision. </w:t>
      </w:r>
      <w:r>
        <w:t>The road-to-rail slider recalculates immediately. Four mode tabs expose their assumptions, and sector presets give enterprise teams a relevant starting point.</w:t>
      </w:r>
    </w:p>
    <w:p>
      <w:pPr/>
      <w:r>
        <w:rPr>
          <w:b/>
        </w:rPr>
        <w:t xml:space="preserve">Stay in context. </w:t>
      </w:r>
      <w:r>
        <w:t>Search real company names or choose an industry. Edit shipment legs and compare the resulting analytics without losing the scenario context.</w:t>
      </w:r>
    </w:p>
    <w:p>
      <w:pPr>
        <w:pStyle w:val="Small"/>
      </w:pPr>
      <w:r>
        <w:t>Design decision: motion signals interaction and progress. Reduced-motion preferences, keyboard operation and clear focus states support practical access.</w:t>
      </w:r>
    </w:p>
    <w:p>
      <w:pPr>
        <w:pStyle w:val="PageBreak"/>
      </w:pPr>
      <w:r>
        <w:br w:type="page"/>
      </w:r>
    </w:p>
    <w:p>
      <w:pPr>
        <w:pStyle w:val="Kicker"/>
      </w:pPr>
      <w:r>
        <w:t>03 / DESIGN &amp; ENGINEERING</w:t>
      </w:r>
    </w:p>
    <w:p>
      <w:pPr>
        <w:pStyle w:val="PageHeading"/>
      </w:pPr>
      <w:r>
        <w:t>FROM SHIPMENT ROWS TO EVIDENCE.</w:t>
      </w:r>
    </w:p>
    <w:p>
      <w:pPr>
        <w:pStyle w:val="Lead"/>
      </w:pPr>
      <w:r>
        <w:t>The demonstration does real calculation work, with explicit validation and a reporting trail.</w:t>
      </w:r>
    </w:p>
    <w:p>
      <w:pPr>
        <w:pStyle w:val="Figure"/>
        <w:jc w:val="center"/>
      </w:pPr>
      <w:r>
        <w:drawing>
          <wp:inline xmlns:a="http://schemas.openxmlformats.org/drawingml/2006/main" xmlns:pic="http://schemas.openxmlformats.org/drawingml/2006/picture">
            <wp:extent cx="4608576" cy="3200400"/>
            <wp:docPr id="4" name="Picture 4" descr="TEMT shipment processing interface showing inputs, validation, calculation progress and outpu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-deskto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FIG. 03  </w:t>
      </w:r>
      <w:r>
        <w:t>The working pipeline makes inputs, processing and outcomes inspectable. Invalid shipment data is surfaced before it enters totals.</w:t>
      </w:r>
    </w:p>
    <w:p>
      <w:pPr/>
      <w:r>
        <w:rPr>
          <w:b/>
        </w:rPr>
        <w:t xml:space="preserve">Validate. </w:t>
      </w:r>
      <w:r>
        <w:t>CSV import and an editable ledger support multi-leg shipments. Invalid, duplicate or missing legs exclude the identifiable shipment until corrected; exceptions remain visible.</w:t>
      </w:r>
    </w:p>
    <w:p>
      <w:pPr/>
      <w:r>
        <w:rPr>
          <w:b/>
        </w:rPr>
        <w:t xml:space="preserve">Calculate. </w:t>
      </w:r>
      <w:r>
        <w:t>Each accepted leg uses tonnes × kilometres × a published WTW factor. Browser and API share the same unrounded TypeScript calculation, then aggregate by mode, month and subsidiary.</w:t>
      </w:r>
    </w:p>
    <w:p>
      <w:pPr/>
      <w:r>
        <w:rPr>
          <w:b/>
        </w:rPr>
        <w:t xml:space="preserve">Export. </w:t>
      </w:r>
      <w:r>
        <w:t>Filtered results become CSV, a PDF report and a Power BI import pack. The files preserve factor context and active filters. The pack is an import workflow, not a live Power BI connection.</w:t>
      </w:r>
    </w:p>
    <w:p>
      <w:pPr>
        <w:pStyle w:val="Small"/>
      </w:pPr>
      <w:r>
        <w:t>Methodology boundary: GLEC v3.2 defaults support scenario estimates. This separate demo engine is not the certified TEMT product, a carrier measurement system or a complete corporate inventory.</w:t>
      </w:r>
    </w:p>
    <w:p>
      <w:pPr>
        <w:pStyle w:val="PageBreak"/>
      </w:pPr>
      <w:r>
        <w:br w:type="page"/>
      </w:r>
    </w:p>
    <w:p>
      <w:pPr>
        <w:pStyle w:val="Kicker"/>
      </w:pPr>
      <w:r>
        <w:t>04 / DESIGN &amp; ENGINEERING</w:t>
      </w:r>
    </w:p>
    <w:p>
      <w:pPr>
        <w:pStyle w:val="PageHeading"/>
      </w:pPr>
      <w:r>
        <w:t>BUILT TO BE INSPECTED.</w:t>
      </w:r>
    </w:p>
    <w:p>
      <w:pPr>
        <w:pStyle w:val="Lead"/>
      </w:pPr>
      <w:r>
        <w:t>A small, transparent architecture keeps the landing immediate and makes the server-side work demonstrable.</w:t>
      </w:r>
    </w:p>
    <w:p>
      <w:pPr/>
      <w:r>
        <w:rPr>
          <w:b/>
        </w:rPr>
        <w:t xml:space="preserve">01 / Static frontend. </w:t>
      </w:r>
      <w:r>
        <w:t>Next.js, React and Tailwind export to Render's CDN. Locally hosted assets, Motion, Recharts and Lucide shape the responsive experience.</w:t>
      </w:r>
    </w:p>
    <w:p>
      <w:pPr/>
      <w:r>
        <w:rPr>
          <w:b/>
        </w:rPr>
        <w:t xml:space="preserve">02 / Stateless API. </w:t>
      </w:r>
      <w:r>
        <w:t>Express processes requested analyses in memory, with request limits, validation and CORS. It does not persist shipments or log request bodies.</w:t>
      </w:r>
    </w:p>
    <w:p>
      <w:pPr/>
      <w:r>
        <w:rPr>
          <w:b/>
        </w:rPr>
        <w:t xml:space="preserve">03 / Shared calculator. </w:t>
      </w:r>
      <w:r>
        <w:t>One versioned package serves the browser and API. If the free backend is waking, local processing remains available and its origin is shown.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D5"/>
          <w:left w:val="single" w:sz="4" w:color="D9DDD5"/>
          <w:bottom w:val="single" w:sz="4" w:color="D9DDD5"/>
          <w:right w:val="single" w:sz="4" w:color="D9DDD5"/>
          <w:insideH w:val="single" w:sz="4" w:color="D9DDD5"/>
          <w:insideV w:val="single" w:sz="4" w:color="D9DDD5"/>
        </w:tblBorders>
      </w:tblPr>
      <w:tblGrid>
        <w:gridCol w:w="4752"/>
        <w:gridCol w:w="4608"/>
      </w:tblGrid>
      <w:tr>
        <w:trPr>
          <w:tblHeader/>
        </w:trPr>
        <w:tc>
          <w:tcPr>
            <w:tcW w:type="dxa" w:w="4752"/>
            <w:vAlign w:val="center"/>
            <w:shd w:fill="F4F2EB"/>
          </w:tcPr>
          <w:p>
            <w:pPr>
              <w:pStyle w:val="TableText"/>
            </w:pPr>
            <w:r>
              <w:rPr>
                <w:b/>
              </w:rPr>
              <w:t>Verification</w:t>
            </w:r>
          </w:p>
        </w:tc>
        <w:tc>
          <w:tcPr>
            <w:tcW w:type="dxa" w:w="4608"/>
            <w:vAlign w:val="center"/>
            <w:shd w:fill="F4F2EB"/>
          </w:tcPr>
          <w:p>
            <w:pPr>
              <w:pStyle w:val="TableText"/>
            </w:pPr>
            <w:r>
              <w:rPr>
                <w:b/>
              </w:rPr>
              <w:t>Observed result</w:t>
            </w:r>
          </w:p>
        </w:tc>
      </w:tr>
      <w:t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b w:val="0"/>
              </w:rPr>
              <w:t>Automated tests</w:t>
            </w:r>
          </w:p>
        </w:tc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b w:val="0"/>
              </w:rPr>
              <w:t>89 passed</w:t>
            </w:r>
          </w:p>
        </w:tc>
      </w:tr>
      <w:t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b w:val="0"/>
              </w:rPr>
              <w:t>TypeScript and source integrity</w:t>
            </w:r>
          </w:p>
        </w:tc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b w:val="0"/>
              </w:rPr>
              <w:t>Production frontend and API builds</w:t>
            </w:r>
          </w:p>
        </w:tc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b w:val="0"/>
              </w:rPr>
              <w:t>Live server analysis</w:t>
            </w:r>
          </w:p>
        </w:tc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b w:val="0"/>
              </w:rPr>
              <w:t>32-leg parity; 4.925 ms engine</w:t>
            </w:r>
          </w:p>
        </w:tc>
      </w:tr>
      <w:t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b w:val="0"/>
              </w:rPr>
              <w:t>Lighthouse performance</w:t>
            </w:r>
          </w:p>
        </w:tc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b w:val="0"/>
              </w:rPr>
              <w:t>97 desktop / 87 mobile</w:t>
            </w:r>
          </w:p>
        </w:tc>
      </w:tr>
      <w:t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b w:val="0"/>
              </w:rPr>
              <w:t>Lighthouse accessibility</w:t>
            </w:r>
          </w:p>
        </w:tc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b w:val="0"/>
              </w:rPr>
              <w:t>100 desktop / 100 mobile</w:t>
            </w:r>
          </w:p>
        </w:tc>
      </w:tr>
      <w:t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b w:val="0"/>
              </w:rPr>
              <w:t>Largest contentful paint</w:t>
            </w:r>
          </w:p>
        </w:tc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b w:val="0"/>
              </w:rPr>
              <w:t>1.1 s desktop / 2.7 s mobile</w:t>
            </w:r>
          </w:p>
        </w:tc>
      </w:tr>
      <w:t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b w:val="0"/>
              </w:rPr>
              <w:t>Total blocking time</w:t>
            </w:r>
          </w:p>
        </w:tc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b w:val="0"/>
              </w:rPr>
              <w:t>0 ms desktop / 350 ms mobile</w:t>
            </w:r>
          </w:p>
        </w:tc>
      </w:tr>
      <w:tr>
        <w:tc>
          <w:tcPr>
            <w:tcW w:type="dxa" w:w="4752"/>
            <w:vAlign w:val="center"/>
          </w:tcPr>
          <w:p>
            <w:pPr>
              <w:pStyle w:val="TableText"/>
            </w:pPr>
            <w:r>
              <w:rPr>
                <w:b w:val="0"/>
              </w:rPr>
              <w:t>Cumulative layout shift</w:t>
            </w:r>
          </w:p>
        </w:tc>
        <w:tc>
          <w:tcPr>
            <w:tcW w:type="dxa" w:w="4608"/>
            <w:vAlign w:val="center"/>
          </w:tcPr>
          <w:p>
            <w:pPr>
              <w:pStyle w:val="TableText"/>
            </w:pPr>
            <w:r>
              <w:rPr>
                <w:b w:val="0"/>
              </w:rPr>
              <w:t>0 desktop / 0 mobile</w:t>
            </w:r>
          </w:p>
        </w:tc>
      </w:tr>
    </w:tbl>
    <w:p>
      <w:pPr>
        <w:pStyle w:val="TableNote"/>
      </w:pPr>
      <w:r>
        <w:t>Results describe the tested build and conditions. They are not an uptime SLA, a latency guarantee or evidence of customer emissions reductions.</w:t>
      </w:r>
    </w:p>
    <w:p>
      <w:pPr>
        <w:pStyle w:val="Small"/>
      </w:pPr>
      <w:r>
        <w:t>Lighthouse 13.4.1 against the public site, 14 September 2026. Mobile: 4× CPU slowdown, 150 ms RTT; shared-machine load can affect these lab results. Latest mobile performance: 87/100; the 90 target was not met. These are not field measurements.</w:t>
      </w:r>
    </w:p>
    <w:p>
      <w:pPr>
        <w:pStyle w:val="Small"/>
      </w:pPr>
      <w:r>
        <w:t>Warm API observation: 32 legs, 24 shipments; 146.06 ms including connection and transfer. Browser/server output matched exactly. This is not a cold-start measurement.</w:t>
      </w:r>
    </w:p>
    <w:p>
      <w:pPr/>
      <w:r>
        <w:t>Release engineering: locked dependencies, a retained NSE source snapshot, pinned CI actions and separate Render services keep the implementation reproducible.</w:t>
      </w:r>
    </w:p>
    <w:p>
      <w:pPr>
        <w:pStyle w:val="Small"/>
      </w:pPr>
      <w:hyperlink r:id="rId15">
        <w:r>
          <w:rPr>
            <w:color w:val="C6471D"/>
            <w:u w:val="single"/>
          </w:rPr>
          <w:t>View the successful CI run for the validated release</w:t>
        </w:r>
      </w:hyperlink>
    </w:p>
    <w:p>
      <w:pPr>
        <w:pStyle w:val="PageBreak"/>
      </w:pPr>
      <w:r>
        <w:br w:type="page"/>
      </w:r>
    </w:p>
    <w:p>
      <w:pPr>
        <w:pStyle w:val="Kicker"/>
      </w:pPr>
      <w:r>
        <w:t>05 / DESIGN &amp; ENGINEERING</w:t>
      </w:r>
    </w:p>
    <w:p>
      <w:pPr>
        <w:pStyle w:val="PageHeading"/>
      </w:pPr>
      <w:r>
        <w:t>A PRODUCT CONVERSATION, READY TO OPEN.</w:t>
      </w:r>
    </w:p>
    <w:p>
      <w:pPr>
        <w:pStyle w:val="Lead"/>
      </w:pPr>
      <w:r>
        <w:t>The handoff includes the live experience, editable source and concrete examples of the reporting workflow.</w:t>
      </w:r>
    </w:p>
    <w:p>
      <w:pPr>
        <w:pStyle w:val="Link"/>
      </w:pPr>
      <w:hyperlink r:id="rId16">
        <w:r>
          <w:rPr>
            <w:color w:val="C6471D"/>
            <w:u w:val="single"/>
          </w:rPr>
          <w:t>Live product: temt-iimb-sample.onrender.com</w:t>
        </w:r>
      </w:hyperlink>
    </w:p>
    <w:p>
      <w:pPr>
        <w:pStyle w:val="Link"/>
      </w:pPr>
      <w:hyperlink r:id="rId17">
        <w:r>
          <w:rPr>
            <w:color w:val="C6471D"/>
            <w:u w:val="single"/>
          </w:rPr>
          <w:t>Explore the working scenario</w:t>
        </w:r>
      </w:hyperlink>
    </w:p>
    <w:p>
      <w:pPr>
        <w:pStyle w:val="Link"/>
      </w:pPr>
      <w:hyperlink r:id="rId18">
        <w:r>
          <w:rPr>
            <w:color w:val="C6471D"/>
            <w:u w:val="single"/>
          </w:rPr>
          <w:t>Download the sample PDF report</w:t>
        </w:r>
      </w:hyperlink>
    </w:p>
    <w:p>
      <w:pPr>
        <w:pStyle w:val="Link"/>
      </w:pPr>
      <w:hyperlink r:id="rId19">
        <w:r>
          <w:rPr>
            <w:color w:val="C6471D"/>
            <w:u w:val="single"/>
          </w:rPr>
          <w:t>Download the Power BI import pack</w:t>
        </w:r>
      </w:hyperlink>
    </w:p>
    <w:p>
      <w:pPr>
        <w:pStyle w:val="Link"/>
      </w:pPr>
      <w:hyperlink r:id="rId20">
        <w:r>
          <w:rPr>
            <w:color w:val="C6471D"/>
            <w:u w:val="single"/>
          </w:rPr>
          <w:t>Download the sample shipment CSV</w:t>
        </w:r>
      </w:hyperlink>
    </w:p>
    <w:p>
      <w:pPr>
        <w:pStyle w:val="Link"/>
      </w:pPr>
      <w:hyperlink r:id="rId21">
        <w:r>
          <w:rPr>
            <w:color w:val="C6471D"/>
            <w:u w:val="single"/>
          </w:rPr>
          <w:t>Review the source repository</w:t>
        </w:r>
      </w:hyperlink>
    </w:p>
    <w:p>
      <w:pPr>
        <w:pStyle w:val="Kicker"/>
      </w:pPr>
      <w:r>
        <w:t>THE DECISIONS THAT MATTER</w:t>
      </w:r>
    </w:p>
    <w:p>
      <w:pPr/>
      <w:r>
        <w:rPr>
          <w:b/>
        </w:rPr>
        <w:t xml:space="preserve">Personalization with clear boundaries. </w:t>
      </w:r>
      <w:r>
        <w:t>Real company names make the demonstration relevant. Synthetic labels prevent example activity from looking like confidential company data.</w:t>
      </w:r>
    </w:p>
    <w:p>
      <w:pPr/>
      <w:r>
        <w:rPr>
          <w:b/>
        </w:rPr>
        <w:t xml:space="preserve">A traceable commercial story. </w:t>
      </w:r>
      <w:r>
        <w:t>Institutional references open the original evidence. Product verification is scoped to its published version, while demonstration factors and assumptions remain inspectable.</w:t>
      </w:r>
    </w:p>
    <w:p>
      <w:pPr/>
      <w:r>
        <w:rPr>
          <w:b/>
        </w:rPr>
        <w:t xml:space="preserve">Fast first interaction. </w:t>
      </w:r>
      <w:r>
        <w:t>A CDN serves the landing page independently of the API. The stateless server demonstrates backend processing; enterprise connectors and persistent workflows remain future integrations.</w:t>
      </w:r>
    </w:p>
    <w:p>
      <w:pPr>
        <w:pStyle w:val="Kicker"/>
      </w:pPr>
      <w:r>
        <w:t>SELECTED REFERENCES</w:t>
      </w:r>
    </w:p>
    <w:p>
      <w:pPr>
        <w:pStyle w:val="Small"/>
      </w:pPr>
      <w:hyperlink r:id="rId22">
        <w:r>
          <w:rPr>
            <w:color w:val="C6471D"/>
            <w:u w:val="single"/>
          </w:rPr>
          <w:t>IIMB: DPIIT adoption and ULIP</w:t>
        </w:r>
      </w:hyperlink>
    </w:p>
    <w:p>
      <w:pPr>
        <w:pStyle w:val="Small"/>
      </w:pPr>
      <w:hyperlink r:id="rId23">
        <w:r>
          <w:rPr>
            <w:color w:val="C6471D"/>
            <w:u w:val="single"/>
          </w:rPr>
          <w:t>TEMT v1.3: SGS validation statement</w:t>
        </w:r>
      </w:hyperlink>
    </w:p>
    <w:p>
      <w:pPr>
        <w:pStyle w:val="Small"/>
      </w:pPr>
      <w:hyperlink r:id="rId24">
        <w:r>
          <w:rPr>
            <w:color w:val="C6471D"/>
            <w:u w:val="single"/>
          </w:rPr>
          <w:t>Smart Freight Centre: GLEC v3.2</w:t>
        </w:r>
      </w:hyperlink>
    </w:p>
    <w:p>
      <w:pPr>
        <w:pStyle w:val="Small"/>
      </w:pPr>
      <w:hyperlink r:id="rId25">
        <w:r>
          <w:rPr>
            <w:color w:val="C6471D"/>
            <w:u w:val="single"/>
          </w:rPr>
          <w:t>NSE: constituent snapshot</w:t>
        </w:r>
      </w:hyperlink>
    </w:p>
    <w:p>
      <w:pPr>
        <w:pStyle w:val="Small"/>
      </w:pPr>
      <w:r>
        <w:t>Full source register: docs/SOURCES.md in the repository. Photography: CHUTTERSNAP / Unsplash. Fonts: Barlow Condensed, Manrope and IBM Plex Mono under their included licenses.</w:t>
      </w:r>
    </w:p>
    <w:p>
      <w:pPr>
        <w:pStyle w:val="Small"/>
      </w:pPr>
      <w:r>
        <w:t>Validated release 63bcf04 / 14 September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t>DESIGN + ENGINEERING / SEPTEMBER 2026</w:t>
      <w:tab/>
    </w:r>
    <w:r/>
    <w:fldSimple w:instr="PAGE"/>
    <w:r>
      <w:t xml:space="preserve"> / 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t>TEMT / ENTERPRISE PREVIEW</w:t>
      <w:tab/>
      <w:t>PRODUCT CASE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ind w:left="0" w:right="0" w:firstLine="0"/>
    </w:pPr>
    <w:rPr>
      <w:rFonts w:ascii="Manrope" w:hAnsi="Manrope" w:eastAsia="Manrope" w:cs="Manrope"/>
      <w:b w:val="0"/>
      <w:i w:val="0"/>
      <w:color w:val="1015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64" w:lineRule="auto" w:before="0"/>
      <w:ind w:left="0" w:right="0" w:firstLine="0"/>
    </w:pPr>
    <w:rPr>
      <w:rFonts w:ascii="IBM Plex Mono" w:hAnsi="IBM Plex Mono" w:eastAsia="IBM Plex Mono" w:cs="IBM Plex Mono"/>
      <w:b w:val="0"/>
      <w:i w:val="0"/>
      <w:color w:val="566059"/>
      <w:sz w:val="15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4" w:lineRule="auto" w:before="0"/>
      <w:ind w:left="0" w:right="0" w:firstLine="0"/>
    </w:pPr>
    <w:rPr>
      <w:rFonts w:ascii="IBM Plex Mono" w:hAnsi="IBM Plex Mono" w:eastAsia="IBM Plex Mono" w:cs="IBM Plex Mono"/>
      <w:b w:val="0"/>
      <w:i w:val="0"/>
      <w:color w:val="566059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ind w:left="0" w:right="0" w:firstLine="0"/>
      <w:outlineLvl w:val="0"/>
    </w:pPr>
    <w:rPr>
      <w:rFonts w:ascii="Barlow Condensed" w:hAnsi="Barlow Condensed" w:eastAsia="Barlow Condensed" w:cs="Barlow Condensed"/>
      <w:b w:val="0"/>
      <w:bCs/>
      <w:i w:val="0"/>
      <w:color w:val="C6471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ind w:left="0" w:right="0" w:firstLine="0"/>
      <w:outlineLvl w:val="1"/>
    </w:pPr>
    <w:rPr>
      <w:rFonts w:ascii="Barlow Condensed" w:hAnsi="Barlow Condensed" w:eastAsia="Barlow Condensed" w:cs="Barlow Condensed"/>
      <w:b w:val="0"/>
      <w:bCs/>
      <w:i w:val="0"/>
      <w:color w:val="C647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ind w:left="0" w:right="0" w:firstLine="0"/>
      <w:outlineLvl w:val="2"/>
    </w:pPr>
    <w:rPr>
      <w:rFonts w:ascii="Barlow Condensed" w:hAnsi="Barlow Condensed" w:eastAsia="Barlow Condensed" w:cs="Barlow Condensed"/>
      <w:b w:val="0"/>
      <w:bCs/>
      <w:i w:val="0"/>
      <w:color w:val="10151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30" w:lineRule="auto" w:before="0"/>
      <w:ind w:left="0" w:right="0" w:firstLine="0"/>
    </w:pPr>
    <w:rPr>
      <w:rFonts w:ascii="Barlow Condensed" w:hAnsi="Barlow Condensed" w:eastAsia="Barlow Condensed" w:cs="Barlow Condensed"/>
      <w:b w:val="0"/>
      <w:i w:val="0"/>
      <w:color w:val="101512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60" w:line="264" w:lineRule="auto"/>
      <w:ind w:left="0" w:right="0" w:firstLine="0"/>
    </w:pPr>
    <w:rPr>
      <w:rFonts w:ascii="Manrope" w:hAnsi="Manrope" w:eastAsia="Manrope" w:cs="Manrope"/>
      <w:b w:val="0"/>
      <w:i w:val="0"/>
      <w:color w:val="566059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before="100" w:after="200"/>
      <w:ind w:left="0" w:right="0" w:firstLine="0"/>
    </w:pPr>
    <w:rPr>
      <w:rFonts w:ascii="Manrope" w:hAnsi="Manrope" w:eastAsia="Manrope" w:cs="Manrope"/>
      <w:b w:val="0"/>
      <w:bCs/>
      <w:i w:val="0"/>
      <w:color w:val="5660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geHeading">
    <w:name w:val="Page Heading"/>
    <w:basedOn w:val="Heading1"/>
    <w:pPr>
      <w:keepNext/>
      <w:spacing w:before="0" w:after="180" w:line="240" w:lineRule="auto"/>
      <w:ind w:left="0" w:right="0" w:firstLine="0"/>
      <w:outlineLvl w:val="0"/>
    </w:pPr>
    <w:rPr>
      <w:rFonts w:ascii="Barlow Condensed" w:hAnsi="Barlow Condensed" w:eastAsia="Barlow Condensed" w:cs="Barlow Condensed"/>
      <w:b w:val="0"/>
      <w:i w:val="0"/>
      <w:color w:val="101512"/>
      <w:sz w:val="52"/>
    </w:rPr>
  </w:style>
  <w:style w:type="paragraph" w:customStyle="1" w:styleId="Kicker">
    <w:name w:val="Kicker"/>
    <w:pPr>
      <w:keepNext/>
      <w:spacing w:before="0" w:after="160" w:line="264" w:lineRule="auto"/>
      <w:ind w:left="0" w:right="0" w:firstLine="0"/>
    </w:pPr>
    <w:rPr>
      <w:rFonts w:ascii="IBM Plex Mono" w:hAnsi="IBM Plex Mono" w:eastAsia="IBM Plex Mono" w:cs="IBM Plex Mono"/>
      <w:b w:val="0"/>
      <w:i w:val="0"/>
      <w:color w:val="C6471D"/>
      <w:sz w:val="16"/>
    </w:rPr>
  </w:style>
  <w:style w:type="paragraph" w:customStyle="1" w:styleId="Lead">
    <w:name w:val="Lead"/>
    <w:pPr>
      <w:spacing w:before="0" w:after="240" w:line="264" w:lineRule="auto"/>
      <w:ind w:left="0" w:right="0" w:firstLine="0"/>
    </w:pPr>
    <w:rPr>
      <w:rFonts w:ascii="Manrope" w:hAnsi="Manrope" w:eastAsia="Manrope" w:cs="Manrope"/>
      <w:b w:val="0"/>
      <w:i w:val="0"/>
      <w:color w:val="566059"/>
      <w:sz w:val="22"/>
    </w:rPr>
  </w:style>
  <w:style w:type="paragraph" w:customStyle="1" w:styleId="Figure">
    <w:name w:val="Figure"/>
    <w:pPr>
      <w:keepNext/>
      <w:spacing w:before="0" w:after="0" w:line="240" w:lineRule="auto"/>
      <w:ind w:left="0" w:right="0" w:firstLine="0"/>
    </w:pPr>
    <w:rPr>
      <w:rFonts w:ascii="Manrope" w:hAnsi="Manrope" w:eastAsia="Manrope" w:cs="Manrope"/>
      <w:b w:val="0"/>
      <w:i w:val="0"/>
      <w:color w:val="101512"/>
      <w:sz w:val="2"/>
    </w:rPr>
  </w:style>
  <w:style w:type="paragraph" w:customStyle="1" w:styleId="TableText">
    <w:name w:val="Table Text"/>
    <w:pPr>
      <w:spacing w:before="0" w:after="0" w:line="264" w:lineRule="auto"/>
      <w:ind w:left="0" w:right="0" w:firstLine="0"/>
    </w:pPr>
    <w:rPr>
      <w:rFonts w:ascii="Manrope" w:hAnsi="Manrope" w:eastAsia="Manrope" w:cs="Manrope"/>
      <w:b w:val="0"/>
      <w:i w:val="0"/>
      <w:color w:val="101512"/>
      <w:sz w:val="20"/>
    </w:rPr>
  </w:style>
  <w:style w:type="paragraph" w:customStyle="1" w:styleId="TableNote">
    <w:name w:val="Table Note"/>
    <w:pPr>
      <w:spacing w:before="80" w:after="80" w:line="269" w:lineRule="auto"/>
      <w:ind w:left="0" w:right="0" w:firstLine="0"/>
    </w:pPr>
    <w:rPr>
      <w:rFonts w:ascii="Manrope" w:hAnsi="Manrope" w:eastAsia="Manrope" w:cs="Manrope"/>
      <w:b w:val="0"/>
      <w:i w:val="0"/>
      <w:color w:val="566059"/>
      <w:sz w:val="18"/>
    </w:rPr>
  </w:style>
  <w:style w:type="paragraph" w:customStyle="1" w:styleId="Small">
    <w:name w:val="Small"/>
    <w:pPr>
      <w:spacing w:before="0" w:after="100" w:line="269" w:lineRule="auto"/>
      <w:ind w:left="0" w:right="0" w:firstLine="0"/>
    </w:pPr>
    <w:rPr>
      <w:rFonts w:ascii="Manrope" w:hAnsi="Manrope" w:eastAsia="Manrope" w:cs="Manrope"/>
      <w:b w:val="0"/>
      <w:i w:val="0"/>
      <w:color w:val="566059"/>
      <w:sz w:val="18"/>
    </w:rPr>
  </w:style>
  <w:style w:type="paragraph" w:customStyle="1" w:styleId="Metric">
    <w:name w:val="Metric"/>
    <w:pPr>
      <w:spacing w:before="0" w:after="100" w:line="264" w:lineRule="auto"/>
      <w:ind w:left="0" w:right="0" w:firstLine="0"/>
    </w:pPr>
    <w:rPr>
      <w:rFonts w:ascii="Barlow Condensed" w:hAnsi="Barlow Condensed" w:eastAsia="Barlow Condensed" w:cs="Barlow Condensed"/>
      <w:b w:val="0"/>
      <w:i w:val="0"/>
      <w:color w:val="C6471D"/>
      <w:sz w:val="40"/>
    </w:rPr>
  </w:style>
  <w:style w:type="paragraph" w:customStyle="1" w:styleId="Link">
    <w:name w:val="Link"/>
    <w:pPr>
      <w:spacing w:before="0" w:after="120" w:line="276" w:lineRule="auto"/>
      <w:ind w:left="0" w:right="0" w:firstLine="0"/>
    </w:pPr>
    <w:rPr>
      <w:rFonts w:ascii="Manrope" w:hAnsi="Manrope" w:eastAsia="Manrope" w:cs="Manrope"/>
      <w:b w:val="0"/>
      <w:i w:val="0"/>
      <w:color w:val="101512"/>
      <w:sz w:val="20"/>
    </w:rPr>
  </w:style>
  <w:style w:type="paragraph" w:customStyle="1" w:styleId="PageBreak">
    <w:name w:val="Page Break"/>
    <w:pPr>
      <w:spacing w:before="0" w:after="0" w:line="240" w:lineRule="auto"/>
      <w:ind w:left="0" w:right="0" w:firstLine="0"/>
    </w:pPr>
    <w:rPr>
      <w:rFonts w:ascii="Manrope" w:hAnsi="Manrope" w:eastAsia="Manrope" w:cs="Manrope"/>
      <w:b w:val="0"/>
      <w:i w:val="0"/>
      <w:color w:val="101512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hyperlink" Target="https://github.com/RS-010806/temt_iimb_sample/actions/runs/34779961171" TargetMode="External"/><Relationship Id="rId16" Type="http://schemas.openxmlformats.org/officeDocument/2006/relationships/hyperlink" Target="https://temt-iimb-sample.onrender.com" TargetMode="External"/><Relationship Id="rId17" Type="http://schemas.openxmlformats.org/officeDocument/2006/relationships/hyperlink" Target="https://temt-iimb-sample.onrender.com/demo/" TargetMode="External"/><Relationship Id="rId18" Type="http://schemas.openxmlformats.org/officeDocument/2006/relationships/hyperlink" Target="https://temt-iimb-sample.onrender.com/downloads/temt-example-report.pdf" TargetMode="External"/><Relationship Id="rId19" Type="http://schemas.openxmlformats.org/officeDocument/2006/relationships/hyperlink" Target="https://temt-iimb-sample.onrender.com/downloads/temt-power-bi-pack.zip" TargetMode="External"/><Relationship Id="rId20" Type="http://schemas.openxmlformats.org/officeDocument/2006/relationships/hyperlink" Target="https://temt-iimb-sample.onrender.com/downloads/temt-sample-shipments.csv" TargetMode="External"/><Relationship Id="rId21" Type="http://schemas.openxmlformats.org/officeDocument/2006/relationships/hyperlink" Target="https://github.com/RS-010806/temt_iimb_sample" TargetMode="External"/><Relationship Id="rId22" Type="http://schemas.openxmlformats.org/officeDocument/2006/relationships/hyperlink" Target="https://www.iimb.ac.in/node/14281" TargetMode="External"/><Relationship Id="rId23" Type="http://schemas.openxmlformats.org/officeDocument/2006/relationships/hyperlink" Target="https://dpiit.freightemissions.com/certification.pdf" TargetMode="External"/><Relationship Id="rId24" Type="http://schemas.openxmlformats.org/officeDocument/2006/relationships/hyperlink" Target="https://smartfreightcentre.org/news/13311209" TargetMode="External"/><Relationship Id="rId25" Type="http://schemas.openxmlformats.org/officeDocument/2006/relationships/hyperlink" Target="https://www.niftyindices.com/IndexConstituent/ind_nifty500list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TEMT: freight decisions backed by carbon data</dc:title>
  <dc:subject>Five-page enterprise product preview case study</dc:subject>
  <dc:creator>TEMT project</dc:creator>
  <cp:keywords>TEMT, freight emissions, NIFTY 500, product design, full-stack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