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B12322"/>
          <w:sz w:val="18"/>
          <w:szCs w:val="18"/>
        </w:rPr>
        <w:t xml:space="preserve">TEMT · TRANSPORTATION EMISSION MEASUREMENT TOOL</w:t>
      </w:r>
    </w:p>
    <w:p>
      <w:pPr>
        <w:pStyle w:val="Title"/>
        <w:spacing w:after="160"/>
      </w:pPr>
      <w:r>
        <w:t xml:space="preserve">Freight emissions report</w:t>
      </w:r>
    </w:p>
    <w:p>
      <w:pPr>
        <w:spacing w:after="120"/>
      </w:pPr>
      <w:r>
        <w:rPr>
          <w:b/>
          <w:bCs/>
          <w:sz w:val="30"/>
          <w:szCs w:val="30"/>
        </w:rPr>
        <w:t xml:space="preserve">Sample FMCG company (synthetic data)</w:t>
      </w:r>
    </w:p>
    <w:p>
      <w:pPr>
        <w:spacing w:after="320"/>
      </w:pPr>
      <w:r>
        <w:rPr>
          <w:i/>
          <w:iCs/>
          <w:color w:val="636363"/>
        </w:rPr>
        <w:t xml:space="preserve">FY 2025–26 · Generated 27 September 2026 · TEMT emission factors · engine temt-engine-2.0.0</w:t>
      </w:r>
    </w:p>
    <w:p>
      <w:pPr>
        <w:pStyle w:val="Heading1"/>
        <w:spacing w:after="120" w:before="360"/>
      </w:pPr>
      <w:r>
        <w:rPr>
          <w:color w:val="740000"/>
        </w:rPr>
        <w:t xml:space="preserve">Summary</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tblGrid>
      <w:tr>
        <w:trPr>
          <w:tblHeader/>
        </w:trPr>
        <w:tc>
          <w:tcPr>
            <w:tcW w:type="pct" w:w="60%"/>
            <w:shd w:fill="B12322" w:color="auto" w:val="clear"/>
            <w:tcMar>
              <w:top w:type="dxa" w:w="60"/>
              <w:left w:type="dxa" w:w="100"/>
              <w:bottom w:type="dxa" w:w="60"/>
              <w:right w:type="dxa" w:w="100"/>
            </w:tcMar>
          </w:tcPr>
          <w:p>
            <w:pPr>
              <w:jc w:val="left"/>
            </w:pPr>
            <w:r>
              <w:rPr>
                <w:b/>
                <w:bCs/>
                <w:color w:val="FFFFFF"/>
                <w:sz w:val="18"/>
                <w:szCs w:val="18"/>
              </w:rPr>
              <w:t xml:space="preserve">Measure</w:t>
            </w:r>
          </w:p>
        </w:tc>
        <w:tc>
          <w:tcPr>
            <w:tcW w:type="pct" w:w="40%"/>
            <w:shd w:fill="B12322" w:color="auto" w:val="clear"/>
            <w:tcMar>
              <w:top w:type="dxa" w:w="60"/>
              <w:left w:type="dxa" w:w="100"/>
              <w:bottom w:type="dxa" w:w="60"/>
              <w:right w:type="dxa" w:w="100"/>
            </w:tcMar>
          </w:tcPr>
          <w:p>
            <w:pPr>
              <w:jc w:val="right"/>
            </w:pPr>
            <w:r>
              <w:rPr>
                <w:b/>
                <w:bCs/>
                <w:color w:val="FFFFFF"/>
                <w:sz w:val="18"/>
                <w:szCs w:val="18"/>
              </w:rPr>
              <w:t xml:space="preserve">Value</w:t>
            </w:r>
          </w:p>
        </w:tc>
      </w:tr>
      <w:tr>
        <w:tc>
          <w:tcPr>
            <w:tcW w:type="pct" w:w="60%"/>
            <w:tcMar>
              <w:top w:type="dxa" w:w="60"/>
              <w:left w:type="dxa" w:w="100"/>
              <w:bottom w:type="dxa" w:w="60"/>
              <w:right w:type="dxa" w:w="100"/>
            </w:tcMar>
          </w:tcPr>
          <w:p>
            <w:pPr>
              <w:jc w:val="left"/>
            </w:pPr>
            <w:r>
              <w:rPr>
                <w:sz w:val="18"/>
                <w:szCs w:val="18"/>
              </w:rPr>
              <w:t xml:space="preserve">Total emissions, well-to-wheel</w:t>
            </w:r>
          </w:p>
        </w:tc>
        <w:tc>
          <w:tcPr>
            <w:tcW w:type="pct" w:w="40%"/>
            <w:tcMar>
              <w:top w:type="dxa" w:w="60"/>
              <w:left w:type="dxa" w:w="100"/>
              <w:bottom w:type="dxa" w:w="60"/>
              <w:right w:type="dxa" w:w="100"/>
            </w:tcMar>
          </w:tcPr>
          <w:p>
            <w:pPr>
              <w:jc w:val="right"/>
            </w:pPr>
            <w:r>
              <w:rPr>
                <w:sz w:val="18"/>
                <w:szCs w:val="18"/>
              </w:rPr>
              <w:t xml:space="preserve">334.5 t CO₂e</w:t>
            </w:r>
          </w:p>
        </w:tc>
      </w:tr>
      <w:tr>
        <w:tc>
          <w:tcPr>
            <w:tcW w:type="pct" w:w="60%"/>
            <w:tcMar>
              <w:top w:type="dxa" w:w="60"/>
              <w:left w:type="dxa" w:w="100"/>
              <w:bottom w:type="dxa" w:w="60"/>
              <w:right w:type="dxa" w:w="100"/>
            </w:tcMar>
          </w:tcPr>
          <w:p>
            <w:pPr>
              <w:jc w:val="left"/>
            </w:pPr>
            <w:r>
              <w:rPr>
                <w:sz w:val="18"/>
                <w:szCs w:val="18"/>
              </w:rPr>
              <w:t xml:space="preserve">Tank-to-wheel (vehicle operation)</w:t>
            </w:r>
          </w:p>
        </w:tc>
        <w:tc>
          <w:tcPr>
            <w:tcW w:type="pct" w:w="40%"/>
            <w:tcMar>
              <w:top w:type="dxa" w:w="60"/>
              <w:left w:type="dxa" w:w="100"/>
              <w:bottom w:type="dxa" w:w="60"/>
              <w:right w:type="dxa" w:w="100"/>
            </w:tcMar>
          </w:tcPr>
          <w:p>
            <w:pPr>
              <w:jc w:val="right"/>
            </w:pPr>
            <w:r>
              <w:rPr>
                <w:sz w:val="18"/>
                <w:szCs w:val="18"/>
              </w:rPr>
              <w:t xml:space="preserve">249.7 t CO₂e</w:t>
            </w:r>
          </w:p>
        </w:tc>
      </w:tr>
      <w:tr>
        <w:tc>
          <w:tcPr>
            <w:tcW w:type="pct" w:w="60%"/>
            <w:tcMar>
              <w:top w:type="dxa" w:w="60"/>
              <w:left w:type="dxa" w:w="100"/>
              <w:bottom w:type="dxa" w:w="60"/>
              <w:right w:type="dxa" w:w="100"/>
            </w:tcMar>
          </w:tcPr>
          <w:p>
            <w:pPr>
              <w:jc w:val="left"/>
            </w:pPr>
            <w:r>
              <w:rPr>
                <w:sz w:val="18"/>
                <w:szCs w:val="18"/>
              </w:rPr>
              <w:t xml:space="preserve">Well-to-tank (energy provision)</w:t>
            </w:r>
          </w:p>
        </w:tc>
        <w:tc>
          <w:tcPr>
            <w:tcW w:type="pct" w:w="40%"/>
            <w:tcMar>
              <w:top w:type="dxa" w:w="60"/>
              <w:left w:type="dxa" w:w="100"/>
              <w:bottom w:type="dxa" w:w="60"/>
              <w:right w:type="dxa" w:w="100"/>
            </w:tcMar>
          </w:tcPr>
          <w:p>
            <w:pPr>
              <w:jc w:val="right"/>
            </w:pPr>
            <w:r>
              <w:rPr>
                <w:sz w:val="18"/>
                <w:szCs w:val="18"/>
              </w:rPr>
              <w:t xml:space="preserve">79.67 t CO₂e</w:t>
            </w:r>
          </w:p>
        </w:tc>
      </w:tr>
      <w:tr>
        <w:tc>
          <w:tcPr>
            <w:tcW w:type="pct" w:w="60%"/>
            <w:tcMar>
              <w:top w:type="dxa" w:w="60"/>
              <w:left w:type="dxa" w:w="100"/>
              <w:bottom w:type="dxa" w:w="60"/>
              <w:right w:type="dxa" w:w="100"/>
            </w:tcMar>
          </w:tcPr>
          <w:p>
            <w:pPr>
              <w:jc w:val="left"/>
            </w:pPr>
            <w:r>
              <w:rPr>
                <w:sz w:val="18"/>
                <w:szCs w:val="18"/>
              </w:rPr>
              <w:t xml:space="preserve">Hubs and terminals</w:t>
            </w:r>
          </w:p>
        </w:tc>
        <w:tc>
          <w:tcPr>
            <w:tcW w:type="pct" w:w="40%"/>
            <w:tcMar>
              <w:top w:type="dxa" w:w="60"/>
              <w:left w:type="dxa" w:w="100"/>
              <w:bottom w:type="dxa" w:w="60"/>
              <w:right w:type="dxa" w:w="100"/>
            </w:tcMar>
          </w:tcPr>
          <w:p>
            <w:pPr>
              <w:jc w:val="right"/>
            </w:pPr>
            <w:r>
              <w:rPr>
                <w:sz w:val="18"/>
                <w:szCs w:val="18"/>
              </w:rPr>
              <w:t xml:space="preserve">5.19 t CO₂e</w:t>
            </w:r>
          </w:p>
        </w:tc>
      </w:tr>
      <w:tr>
        <w:tc>
          <w:tcPr>
            <w:tcW w:type="pct" w:w="60%"/>
            <w:tcMar>
              <w:top w:type="dxa" w:w="60"/>
              <w:left w:type="dxa" w:w="100"/>
              <w:bottom w:type="dxa" w:w="60"/>
              <w:right w:type="dxa" w:w="100"/>
            </w:tcMar>
          </w:tcPr>
          <w:p>
            <w:pPr>
              <w:jc w:val="left"/>
            </w:pPr>
            <w:r>
              <w:rPr>
                <w:sz w:val="18"/>
                <w:szCs w:val="18"/>
              </w:rPr>
              <w:t xml:space="preserve">Shipments and legs</w:t>
            </w:r>
          </w:p>
        </w:tc>
        <w:tc>
          <w:tcPr>
            <w:tcW w:type="pct" w:w="40%"/>
            <w:tcMar>
              <w:top w:type="dxa" w:w="60"/>
              <w:left w:type="dxa" w:w="100"/>
              <w:bottom w:type="dxa" w:w="60"/>
              <w:right w:type="dxa" w:w="100"/>
            </w:tcMar>
          </w:tcPr>
          <w:p>
            <w:pPr>
              <w:jc w:val="right"/>
            </w:pPr>
            <w:r>
              <w:rPr>
                <w:sz w:val="18"/>
                <w:szCs w:val="18"/>
              </w:rPr>
              <w:t xml:space="preserve">169 shipments · 334 legs</w:t>
            </w:r>
          </w:p>
        </w:tc>
      </w:tr>
      <w:tr>
        <w:tc>
          <w:tcPr>
            <w:tcW w:type="pct" w:w="60%"/>
            <w:tcMar>
              <w:top w:type="dxa" w:w="60"/>
              <w:left w:type="dxa" w:w="100"/>
              <w:bottom w:type="dxa" w:w="60"/>
              <w:right w:type="dxa" w:w="100"/>
            </w:tcMar>
          </w:tcPr>
          <w:p>
            <w:pPr>
              <w:jc w:val="left"/>
            </w:pPr>
            <w:r>
              <w:rPr>
                <w:sz w:val="18"/>
                <w:szCs w:val="18"/>
              </w:rPr>
              <w:t xml:space="preserve">Emission intensity</w:t>
            </w:r>
          </w:p>
        </w:tc>
        <w:tc>
          <w:tcPr>
            <w:tcW w:type="pct" w:w="40%"/>
            <w:tcMar>
              <w:top w:type="dxa" w:w="60"/>
              <w:left w:type="dxa" w:w="100"/>
              <w:bottom w:type="dxa" w:w="60"/>
              <w:right w:type="dxa" w:w="100"/>
            </w:tcMar>
          </w:tcPr>
          <w:p>
            <w:pPr>
              <w:jc w:val="right"/>
            </w:pPr>
            <w:r>
              <w:rPr>
                <w:sz w:val="18"/>
                <w:szCs w:val="18"/>
              </w:rPr>
              <w:t xml:space="preserve">23 g CO₂e per tonne-km</w:t>
            </w:r>
          </w:p>
        </w:tc>
      </w:tr>
      <w:tr>
        <w:tc>
          <w:tcPr>
            <w:tcW w:type="pct" w:w="60%"/>
            <w:tcMar>
              <w:top w:type="dxa" w:w="60"/>
              <w:left w:type="dxa" w:w="100"/>
              <w:bottom w:type="dxa" w:w="60"/>
              <w:right w:type="dxa" w:w="100"/>
            </w:tcMar>
          </w:tcPr>
          <w:p>
            <w:pPr>
              <w:jc w:val="left"/>
            </w:pPr>
            <w:r>
              <w:rPr>
                <w:sz w:val="18"/>
                <w:szCs w:val="18"/>
              </w:rPr>
              <w:t xml:space="preserve">Emissions per tonne shipped</w:t>
            </w:r>
          </w:p>
        </w:tc>
        <w:tc>
          <w:tcPr>
            <w:tcW w:type="pct" w:w="40%"/>
            <w:tcMar>
              <w:top w:type="dxa" w:w="60"/>
              <w:left w:type="dxa" w:w="100"/>
              <w:bottom w:type="dxa" w:w="60"/>
              <w:right w:type="dxa" w:w="100"/>
            </w:tcMar>
          </w:tcPr>
          <w:p>
            <w:pPr>
              <w:jc w:val="right"/>
            </w:pPr>
            <w:r>
              <w:rPr>
                <w:sz w:val="18"/>
                <w:szCs w:val="18"/>
              </w:rPr>
              <w:t xml:space="preserve">68.5 kg CO₂e</w:t>
            </w:r>
          </w:p>
        </w:tc>
      </w:tr>
      <w:tr>
        <w:tc>
          <w:tcPr>
            <w:tcW w:type="pct" w:w="60%"/>
            <w:tcMar>
              <w:top w:type="dxa" w:w="60"/>
              <w:left w:type="dxa" w:w="100"/>
              <w:bottom w:type="dxa" w:w="60"/>
              <w:right w:type="dxa" w:w="100"/>
            </w:tcMar>
          </w:tcPr>
          <w:p>
            <w:pPr>
              <w:jc w:val="left"/>
            </w:pPr>
            <w:r>
              <w:rPr>
                <w:sz w:val="18"/>
                <w:szCs w:val="18"/>
              </w:rPr>
              <w:t xml:space="preserve">Change vs FY 2024–25</w:t>
            </w:r>
          </w:p>
        </w:tc>
        <w:tc>
          <w:tcPr>
            <w:tcW w:type="pct" w:w="40%"/>
            <w:tcMar>
              <w:top w:type="dxa" w:w="60"/>
              <w:left w:type="dxa" w:w="100"/>
              <w:bottom w:type="dxa" w:w="60"/>
              <w:right w:type="dxa" w:w="100"/>
            </w:tcMar>
          </w:tcPr>
          <w:p>
            <w:pPr>
              <w:jc w:val="right"/>
            </w:pPr>
            <w:r>
              <w:rPr>
                <w:sz w:val="18"/>
                <w:szCs w:val="18"/>
              </w:rPr>
              <w:t xml:space="preserve">-8.8%</w:t>
            </w:r>
          </w:p>
        </w:tc>
      </w:tr>
    </w:tbl>
    <w:p>
      <w:pPr>
        <w:pStyle w:val="Heading1"/>
        <w:spacing w:after="120" w:before="360"/>
      </w:pPr>
      <w:r>
        <w:rPr>
          <w:color w:val="740000"/>
        </w:rPr>
        <w:t xml:space="preserve">Key insights</w:t>
      </w:r>
    </w:p>
    <w:p>
      <w:pPr>
        <w:pStyle w:val="ListParagraph"/>
        <w:numPr>
          <w:ilvl w:val="0"/>
          <w:numId w:val="1"/>
        </w:numPr>
        <w:spacing w:after="80"/>
      </w:pPr>
      <w:r>
        <w:t xml:space="preserve">Road is your largest source. 68% of emissions from 24% of tonne-kilometres.</w:t>
      </w:r>
    </w:p>
    <w:p>
      <w:pPr>
        <w:pStyle w:val="ListParagraph"/>
        <w:numPr>
          <w:ilvl w:val="0"/>
          <w:numId w:val="1"/>
        </w:numPr>
        <w:spacing w:after="80"/>
      </w:pPr>
      <w:r>
        <w:t xml:space="preserve">Your heaviest lane. Hosur → Delhi accounts for 11% of emissions across 6 shipments.</w:t>
      </w:r>
    </w:p>
    <w:p>
      <w:pPr>
        <w:pStyle w:val="Heading1"/>
        <w:spacing w:after="120" w:before="360"/>
      </w:pPr>
      <w:r>
        <w:rPr>
          <w:color w:val="740000"/>
        </w:rPr>
        <w:t xml:space="preserve">Emissions by transport mode</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Mode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Road</w:t>
            </w:r>
          </w:p>
        </w:tc>
        <w:tc>
          <w:tcPr>
            <w:tcMar>
              <w:top w:type="dxa" w:w="60"/>
              <w:left w:type="dxa" w:w="100"/>
              <w:bottom w:type="dxa" w:w="60"/>
              <w:right w:type="dxa" w:w="100"/>
            </w:tcMar>
          </w:tcPr>
          <w:p>
            <w:pPr>
              <w:jc w:val="right"/>
            </w:pPr>
            <w:r>
              <w:rPr>
                <w:sz w:val="18"/>
                <w:szCs w:val="18"/>
              </w:rPr>
              <w:t xml:space="preserve">228</w:t>
            </w:r>
          </w:p>
        </w:tc>
        <w:tc>
          <w:tcPr>
            <w:tcMar>
              <w:top w:type="dxa" w:w="60"/>
              <w:left w:type="dxa" w:w="100"/>
              <w:bottom w:type="dxa" w:w="60"/>
              <w:right w:type="dxa" w:w="100"/>
            </w:tcMar>
          </w:tcPr>
          <w:p>
            <w:pPr>
              <w:jc w:val="right"/>
            </w:pPr>
            <w:r>
              <w:rPr>
                <w:sz w:val="18"/>
                <w:szCs w:val="18"/>
              </w:rPr>
              <w:t xml:space="preserve">68.2%</w:t>
            </w:r>
          </w:p>
        </w:tc>
        <w:tc>
          <w:tcPr>
            <w:tcMar>
              <w:top w:type="dxa" w:w="60"/>
              <w:left w:type="dxa" w:w="100"/>
              <w:bottom w:type="dxa" w:w="60"/>
              <w:right w:type="dxa" w:w="100"/>
            </w:tcMar>
          </w:tcPr>
          <w:p>
            <w:pPr>
              <w:jc w:val="right"/>
            </w:pPr>
            <w:r>
              <w:rPr>
                <w:sz w:val="18"/>
                <w:szCs w:val="18"/>
              </w:rPr>
              <w:t xml:space="preserve">35,25,981</w:t>
            </w:r>
          </w:p>
        </w:tc>
      </w:tr>
      <w:tr>
        <w:tc>
          <w:tcPr>
            <w:tcMar>
              <w:top w:type="dxa" w:w="60"/>
              <w:left w:type="dxa" w:w="100"/>
              <w:bottom w:type="dxa" w:w="60"/>
              <w:right w:type="dxa" w:w="100"/>
            </w:tcMar>
          </w:tcPr>
          <w:p>
            <w:pPr>
              <w:jc w:val="left"/>
            </w:pPr>
            <w:r>
              <w:rPr>
                <w:sz w:val="18"/>
                <w:szCs w:val="18"/>
              </w:rPr>
              <w:t xml:space="preserve">Rail</w:t>
            </w:r>
          </w:p>
        </w:tc>
        <w:tc>
          <w:tcPr>
            <w:tcMar>
              <w:top w:type="dxa" w:w="60"/>
              <w:left w:type="dxa" w:w="100"/>
              <w:bottom w:type="dxa" w:w="60"/>
              <w:right w:type="dxa" w:w="100"/>
            </w:tcMar>
          </w:tcPr>
          <w:p>
            <w:pPr>
              <w:jc w:val="right"/>
            </w:pPr>
            <w:r>
              <w:rPr>
                <w:sz w:val="18"/>
                <w:szCs w:val="18"/>
              </w:rPr>
              <w:t xml:space="preserve">22.43</w:t>
            </w:r>
          </w:p>
        </w:tc>
        <w:tc>
          <w:tcPr>
            <w:tcMar>
              <w:top w:type="dxa" w:w="60"/>
              <w:left w:type="dxa" w:w="100"/>
              <w:bottom w:type="dxa" w:w="60"/>
              <w:right w:type="dxa" w:w="100"/>
            </w:tcMar>
          </w:tcPr>
          <w:p>
            <w:pPr>
              <w:jc w:val="right"/>
            </w:pPr>
            <w:r>
              <w:rPr>
                <w:sz w:val="18"/>
                <w:szCs w:val="18"/>
              </w:rPr>
              <w:t xml:space="preserve">6.7%</w:t>
            </w:r>
          </w:p>
        </w:tc>
        <w:tc>
          <w:tcPr>
            <w:tcMar>
              <w:top w:type="dxa" w:w="60"/>
              <w:left w:type="dxa" w:w="100"/>
              <w:bottom w:type="dxa" w:w="60"/>
              <w:right w:type="dxa" w:w="100"/>
            </w:tcMar>
          </w:tcPr>
          <w:p>
            <w:pPr>
              <w:jc w:val="right"/>
            </w:pPr>
            <w:r>
              <w:rPr>
                <w:sz w:val="18"/>
                <w:szCs w:val="18"/>
              </w:rPr>
              <w:t xml:space="preserve">21,77,365</w:t>
            </w:r>
          </w:p>
        </w:tc>
      </w:tr>
      <w:tr>
        <w:tc>
          <w:tcPr>
            <w:tcMar>
              <w:top w:type="dxa" w:w="60"/>
              <w:left w:type="dxa" w:w="100"/>
              <w:bottom w:type="dxa" w:w="60"/>
              <w:right w:type="dxa" w:w="100"/>
            </w:tcMar>
          </w:tcPr>
          <w:p>
            <w:pPr>
              <w:jc w:val="left"/>
            </w:pPr>
            <w:r>
              <w:rPr>
                <w:sz w:val="18"/>
                <w:szCs w:val="18"/>
              </w:rPr>
              <w:t xml:space="preserve">Air</w:t>
            </w:r>
          </w:p>
        </w:tc>
        <w:tc>
          <w:tcPr>
            <w:tcMar>
              <w:top w:type="dxa" w:w="60"/>
              <w:left w:type="dxa" w:w="100"/>
              <w:bottom w:type="dxa" w:w="60"/>
              <w:right w:type="dxa" w:w="100"/>
            </w:tcMar>
          </w:tcPr>
          <w:p>
            <w:pPr>
              <w:jc w:val="right"/>
            </w:pPr>
            <w:r>
              <w:rPr>
                <w:sz w:val="18"/>
                <w:szCs w:val="18"/>
              </w:rPr>
              <w:t xml:space="preserve">10.73</w:t>
            </w:r>
          </w:p>
        </w:tc>
        <w:tc>
          <w:tcPr>
            <w:tcMar>
              <w:top w:type="dxa" w:w="60"/>
              <w:left w:type="dxa" w:w="100"/>
              <w:bottom w:type="dxa" w:w="60"/>
              <w:right w:type="dxa" w:w="100"/>
            </w:tcMar>
          </w:tcPr>
          <w:p>
            <w:pPr>
              <w:jc w:val="right"/>
            </w:pPr>
            <w:r>
              <w:rPr>
                <w:sz w:val="18"/>
                <w:szCs w:val="18"/>
              </w:rPr>
              <w:t xml:space="preserve">3.2%</w:t>
            </w:r>
          </w:p>
        </w:tc>
        <w:tc>
          <w:tcPr>
            <w:tcMar>
              <w:top w:type="dxa" w:w="60"/>
              <w:left w:type="dxa" w:w="100"/>
              <w:bottom w:type="dxa" w:w="60"/>
              <w:right w:type="dxa" w:w="100"/>
            </w:tcMar>
          </w:tcPr>
          <w:p>
            <w:pPr>
              <w:jc w:val="right"/>
            </w:pPr>
            <w:r>
              <w:rPr>
                <w:sz w:val="18"/>
                <w:szCs w:val="18"/>
              </w:rPr>
              <w:t xml:space="preserve">6,123</w:t>
            </w:r>
          </w:p>
        </w:tc>
      </w:tr>
      <w:tr>
        <w:tc>
          <w:tcPr>
            <w:tcMar>
              <w:top w:type="dxa" w:w="60"/>
              <w:left w:type="dxa" w:w="100"/>
              <w:bottom w:type="dxa" w:w="60"/>
              <w:right w:type="dxa" w:w="100"/>
            </w:tcMar>
          </w:tcPr>
          <w:p>
            <w:pPr>
              <w:jc w:val="left"/>
            </w:pPr>
            <w:r>
              <w:rPr>
                <w:sz w:val="18"/>
                <w:szCs w:val="18"/>
              </w:rPr>
              <w:t xml:space="preserve">Sea</w:t>
            </w:r>
          </w:p>
        </w:tc>
        <w:tc>
          <w:tcPr>
            <w:tcMar>
              <w:top w:type="dxa" w:w="60"/>
              <w:left w:type="dxa" w:w="100"/>
              <w:bottom w:type="dxa" w:w="60"/>
              <w:right w:type="dxa" w:w="100"/>
            </w:tcMar>
          </w:tcPr>
          <w:p>
            <w:pPr>
              <w:jc w:val="right"/>
            </w:pPr>
            <w:r>
              <w:rPr>
                <w:sz w:val="18"/>
                <w:szCs w:val="18"/>
              </w:rPr>
              <w:t xml:space="preserve">68.15</w:t>
            </w:r>
          </w:p>
        </w:tc>
        <w:tc>
          <w:tcPr>
            <w:tcMar>
              <w:top w:type="dxa" w:w="60"/>
              <w:left w:type="dxa" w:w="100"/>
              <w:bottom w:type="dxa" w:w="60"/>
              <w:right w:type="dxa" w:w="100"/>
            </w:tcMar>
          </w:tcPr>
          <w:p>
            <w:pPr>
              <w:jc w:val="right"/>
            </w:pPr>
            <w:r>
              <w:rPr>
                <w:sz w:val="18"/>
                <w:szCs w:val="18"/>
              </w:rPr>
              <w:t xml:space="preserve">20.4%</w:t>
            </w:r>
          </w:p>
        </w:tc>
        <w:tc>
          <w:tcPr>
            <w:tcMar>
              <w:top w:type="dxa" w:w="60"/>
              <w:left w:type="dxa" w:w="100"/>
              <w:bottom w:type="dxa" w:w="60"/>
              <w:right w:type="dxa" w:w="100"/>
            </w:tcMar>
          </w:tcPr>
          <w:p>
            <w:pPr>
              <w:jc w:val="right"/>
            </w:pPr>
            <w:r>
              <w:rPr>
                <w:sz w:val="18"/>
                <w:szCs w:val="18"/>
              </w:rPr>
              <w:t xml:space="preserve">88,57,481</w:t>
            </w:r>
          </w:p>
        </w:tc>
      </w:tr>
      <w:tr>
        <w:tc>
          <w:tcPr>
            <w:tcMar>
              <w:top w:type="dxa" w:w="60"/>
              <w:left w:type="dxa" w:w="100"/>
              <w:bottom w:type="dxa" w:w="60"/>
              <w:right w:type="dxa" w:w="100"/>
            </w:tcMar>
          </w:tcPr>
          <w:p>
            <w:pPr>
              <w:jc w:val="left"/>
            </w:pPr>
            <w:r>
              <w:rPr>
                <w:sz w:val="18"/>
                <w:szCs w:val="18"/>
              </w:rPr>
              <w:t xml:space="preserve">Hubs and terminals</w:t>
            </w:r>
          </w:p>
        </w:tc>
        <w:tc>
          <w:tcPr>
            <w:tcMar>
              <w:top w:type="dxa" w:w="60"/>
              <w:left w:type="dxa" w:w="100"/>
              <w:bottom w:type="dxa" w:w="60"/>
              <w:right w:type="dxa" w:w="100"/>
            </w:tcMar>
          </w:tcPr>
          <w:p>
            <w:pPr>
              <w:jc w:val="right"/>
            </w:pPr>
            <w:r>
              <w:rPr>
                <w:sz w:val="18"/>
                <w:szCs w:val="18"/>
              </w:rPr>
              <w:t xml:space="preserve">5.19</w:t>
            </w:r>
          </w:p>
        </w:tc>
        <w:tc>
          <w:tcPr>
            <w:tcMar>
              <w:top w:type="dxa" w:w="60"/>
              <w:left w:type="dxa" w:w="100"/>
              <w:bottom w:type="dxa" w:w="60"/>
              <w:right w:type="dxa" w:w="100"/>
            </w:tcMar>
          </w:tcPr>
          <w:p>
            <w:pPr>
              <w:jc w:val="right"/>
            </w:pPr>
            <w:r>
              <w:rPr>
                <w:sz w:val="18"/>
                <w:szCs w:val="18"/>
              </w:rPr>
              <w:t xml:space="preserve">1.6%</w:t>
            </w:r>
          </w:p>
        </w:tc>
        <w:tc>
          <w:tcPr>
            <w:tcMar>
              <w:top w:type="dxa" w:w="60"/>
              <w:left w:type="dxa" w:w="100"/>
              <w:bottom w:type="dxa" w:w="60"/>
              <w:right w:type="dxa" w:w="100"/>
            </w:tcMar>
          </w:tcPr>
          <w:p>
            <w:pPr>
              <w:jc w:val="right"/>
            </w:pPr>
            <w:r>
              <w:rPr>
                <w:sz w:val="18"/>
                <w:szCs w:val="18"/>
              </w:rPr>
              <w:t xml:space="preserve">0</w:t>
            </w:r>
          </w:p>
        </w:tc>
      </w:tr>
    </w:tbl>
    <w:p>
      <w:pPr>
        <w:pStyle w:val="Heading1"/>
        <w:spacing w:after="120" w:before="360"/>
      </w:pPr>
      <w:r>
        <w:rPr>
          <w:color w:val="740000"/>
        </w:rPr>
        <w:t xml:space="preserve">GHG Protocol scopes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Scope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Scope 3 · Category 4</w:t>
            </w:r>
          </w:p>
        </w:tc>
        <w:tc>
          <w:tcPr>
            <w:tcMar>
              <w:top w:type="dxa" w:w="60"/>
              <w:left w:type="dxa" w:w="100"/>
              <w:bottom w:type="dxa" w:w="60"/>
              <w:right w:type="dxa" w:w="100"/>
            </w:tcMar>
          </w:tcPr>
          <w:p>
            <w:pPr>
              <w:jc w:val="right"/>
            </w:pPr>
            <w:r>
              <w:rPr>
                <w:sz w:val="18"/>
                <w:szCs w:val="18"/>
              </w:rPr>
              <w:t xml:space="preserve">289.7</w:t>
            </w:r>
          </w:p>
        </w:tc>
        <w:tc>
          <w:tcPr>
            <w:tcMar>
              <w:top w:type="dxa" w:w="60"/>
              <w:left w:type="dxa" w:w="100"/>
              <w:bottom w:type="dxa" w:w="60"/>
              <w:right w:type="dxa" w:w="100"/>
            </w:tcMar>
          </w:tcPr>
          <w:p>
            <w:pPr>
              <w:jc w:val="right"/>
            </w:pPr>
            <w:r>
              <w:rPr>
                <w:sz w:val="18"/>
                <w:szCs w:val="18"/>
              </w:rPr>
              <w:t xml:space="preserve">86.6%</w:t>
            </w:r>
          </w:p>
        </w:tc>
        <w:tc>
          <w:tcPr>
            <w:tcMar>
              <w:top w:type="dxa" w:w="60"/>
              <w:left w:type="dxa" w:w="100"/>
              <w:bottom w:type="dxa" w:w="60"/>
              <w:right w:type="dxa" w:w="100"/>
            </w:tcMar>
          </w:tcPr>
          <w:p>
            <w:pPr>
              <w:jc w:val="right"/>
            </w:pPr>
            <w:r>
              <w:rPr>
                <w:sz w:val="18"/>
                <w:szCs w:val="18"/>
              </w:rPr>
              <w:t xml:space="preserve">1,07,86,266</w:t>
            </w:r>
          </w:p>
        </w:tc>
      </w:tr>
      <w:tr>
        <w:tc>
          <w:tcPr>
            <w:tcMar>
              <w:top w:type="dxa" w:w="60"/>
              <w:left w:type="dxa" w:w="100"/>
              <w:bottom w:type="dxa" w:w="60"/>
              <w:right w:type="dxa" w:w="100"/>
            </w:tcMar>
          </w:tcPr>
          <w:p>
            <w:pPr>
              <w:jc w:val="left"/>
            </w:pPr>
            <w:r>
              <w:rPr>
                <w:sz w:val="18"/>
                <w:szCs w:val="18"/>
              </w:rPr>
              <w:t xml:space="preserve">Scope 3 · Category 9</w:t>
            </w:r>
          </w:p>
        </w:tc>
        <w:tc>
          <w:tcPr>
            <w:tcMar>
              <w:top w:type="dxa" w:w="60"/>
              <w:left w:type="dxa" w:w="100"/>
              <w:bottom w:type="dxa" w:w="60"/>
              <w:right w:type="dxa" w:w="100"/>
            </w:tcMar>
          </w:tcPr>
          <w:p>
            <w:pPr>
              <w:jc w:val="right"/>
            </w:pPr>
            <w:r>
              <w:rPr>
                <w:sz w:val="18"/>
                <w:szCs w:val="18"/>
              </w:rPr>
              <w:t xml:space="preserve">42.6</w:t>
            </w:r>
          </w:p>
        </w:tc>
        <w:tc>
          <w:tcPr>
            <w:tcMar>
              <w:top w:type="dxa" w:w="60"/>
              <w:left w:type="dxa" w:w="100"/>
              <w:bottom w:type="dxa" w:w="60"/>
              <w:right w:type="dxa" w:w="100"/>
            </w:tcMar>
          </w:tcPr>
          <w:p>
            <w:pPr>
              <w:jc w:val="right"/>
            </w:pPr>
            <w:r>
              <w:rPr>
                <w:sz w:val="18"/>
                <w:szCs w:val="18"/>
              </w:rPr>
              <w:t xml:space="preserve">12.7%</w:t>
            </w:r>
          </w:p>
        </w:tc>
        <w:tc>
          <w:tcPr>
            <w:tcMar>
              <w:top w:type="dxa" w:w="60"/>
              <w:left w:type="dxa" w:w="100"/>
              <w:bottom w:type="dxa" w:w="60"/>
              <w:right w:type="dxa" w:w="100"/>
            </w:tcMar>
          </w:tcPr>
          <w:p>
            <w:pPr>
              <w:jc w:val="right"/>
            </w:pPr>
            <w:r>
              <w:rPr>
                <w:sz w:val="18"/>
                <w:szCs w:val="18"/>
              </w:rPr>
              <w:t xml:space="preserve">37,55,646</w:t>
            </w:r>
          </w:p>
        </w:tc>
      </w:tr>
      <w:tr>
        <w:tc>
          <w:tcPr>
            <w:tcMar>
              <w:top w:type="dxa" w:w="60"/>
              <w:left w:type="dxa" w:w="100"/>
              <w:bottom w:type="dxa" w:w="60"/>
              <w:right w:type="dxa" w:w="100"/>
            </w:tcMar>
          </w:tcPr>
          <w:p>
            <w:pPr>
              <w:jc w:val="left"/>
            </w:pPr>
            <w:r>
              <w:rPr>
                <w:sz w:val="18"/>
                <w:szCs w:val="18"/>
              </w:rPr>
              <w:t xml:space="preserve">Scope 1 · own fleet fuel</w:t>
            </w:r>
          </w:p>
        </w:tc>
        <w:tc>
          <w:tcPr>
            <w:tcMar>
              <w:top w:type="dxa" w:w="60"/>
              <w:left w:type="dxa" w:w="100"/>
              <w:bottom w:type="dxa" w:w="60"/>
              <w:right w:type="dxa" w:w="100"/>
            </w:tcMar>
          </w:tcPr>
          <w:p>
            <w:pPr>
              <w:jc w:val="right"/>
            </w:pPr>
            <w:r>
              <w:rPr>
                <w:sz w:val="18"/>
                <w:szCs w:val="18"/>
              </w:rPr>
              <w:t xml:space="preserve">2.17</w:t>
            </w:r>
          </w:p>
        </w:tc>
        <w:tc>
          <w:tcPr>
            <w:tcMar>
              <w:top w:type="dxa" w:w="60"/>
              <w:left w:type="dxa" w:w="100"/>
              <w:bottom w:type="dxa" w:w="60"/>
              <w:right w:type="dxa" w:w="100"/>
            </w:tcMar>
          </w:tcPr>
          <w:p>
            <w:pPr>
              <w:jc w:val="right"/>
            </w:pPr>
            <w:r>
              <w:rPr>
                <w:sz w:val="18"/>
                <w:szCs w:val="18"/>
              </w:rPr>
              <w:t xml:space="preserve">0.6%</w:t>
            </w:r>
          </w:p>
        </w:tc>
        <w:tc>
          <w:tcPr>
            <w:tcMar>
              <w:top w:type="dxa" w:w="60"/>
              <w:left w:type="dxa" w:w="100"/>
              <w:bottom w:type="dxa" w:w="60"/>
              <w:right w:type="dxa" w:w="100"/>
            </w:tcMar>
          </w:tcPr>
          <w:p>
            <w:pPr>
              <w:jc w:val="right"/>
            </w:pPr>
            <w:r>
              <w:rPr>
                <w:sz w:val="18"/>
                <w:szCs w:val="18"/>
              </w:rPr>
              <w:t xml:space="preserve">24,575</w:t>
            </w:r>
          </w:p>
        </w:tc>
      </w:tr>
      <w:tr>
        <w:tc>
          <w:tcPr>
            <w:tcMar>
              <w:top w:type="dxa" w:w="60"/>
              <w:left w:type="dxa" w:w="100"/>
              <w:bottom w:type="dxa" w:w="60"/>
              <w:right w:type="dxa" w:w="100"/>
            </w:tcMar>
          </w:tcPr>
          <w:p>
            <w:pPr>
              <w:jc w:val="left"/>
            </w:pPr>
            <w:r>
              <w:rPr>
                <w:sz w:val="18"/>
                <w:szCs w:val="18"/>
              </w:rPr>
              <w:t xml:space="preserve">Scope 2 · own fleet electricity</w:t>
            </w:r>
          </w:p>
        </w:tc>
        <w:tc>
          <w:tcPr>
            <w:tcMar>
              <w:top w:type="dxa" w:w="60"/>
              <w:left w:type="dxa" w:w="100"/>
              <w:bottom w:type="dxa" w:w="60"/>
              <w:right w:type="dxa" w:w="100"/>
            </w:tcMar>
          </w:tcPr>
          <w:p>
            <w:pPr>
              <w:jc w:val="right"/>
            </w:pPr>
            <w:r>
              <w:rPr>
                <w:sz w:val="18"/>
                <w:szCs w:val="18"/>
              </w:rPr>
              <w:t xml:space="preserve">0.04</w:t>
            </w:r>
          </w:p>
        </w:tc>
        <w:tc>
          <w:tcPr>
            <w:tcMar>
              <w:top w:type="dxa" w:w="60"/>
              <w:left w:type="dxa" w:w="100"/>
              <w:bottom w:type="dxa" w:w="60"/>
              <w:right w:type="dxa" w:w="100"/>
            </w:tcMar>
          </w:tcPr>
          <w:p>
            <w:pPr>
              <w:jc w:val="right"/>
            </w:pPr>
            <w:r>
              <w:rPr>
                <w:sz w:val="18"/>
                <w:szCs w:val="18"/>
              </w:rPr>
              <w:t xml:space="preserve">0%</w:t>
            </w:r>
          </w:p>
        </w:tc>
        <w:tc>
          <w:tcPr>
            <w:tcMar>
              <w:top w:type="dxa" w:w="60"/>
              <w:left w:type="dxa" w:w="100"/>
              <w:bottom w:type="dxa" w:w="60"/>
              <w:right w:type="dxa" w:w="100"/>
            </w:tcMar>
          </w:tcPr>
          <w:p>
            <w:pPr>
              <w:jc w:val="right"/>
            </w:pPr>
            <w:r>
              <w:rPr>
                <w:sz w:val="18"/>
                <w:szCs w:val="18"/>
              </w:rPr>
              <w:t xml:space="preserve">463</w:t>
            </w:r>
          </w:p>
        </w:tc>
      </w:tr>
    </w:tbl>
    <w:p>
      <w:pPr>
        <w:pStyle w:val="Heading1"/>
        <w:spacing w:after="120" w:before="360"/>
      </w:pPr>
      <w:r>
        <w:rPr>
          <w:color w:val="740000"/>
        </w:rPr>
        <w:t xml:space="preserve">Business units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Business unit</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Personal Care</w:t>
            </w:r>
          </w:p>
        </w:tc>
        <w:tc>
          <w:tcPr>
            <w:tcMar>
              <w:top w:type="dxa" w:w="60"/>
              <w:left w:type="dxa" w:w="100"/>
              <w:bottom w:type="dxa" w:w="60"/>
              <w:right w:type="dxa" w:w="100"/>
            </w:tcMar>
          </w:tcPr>
          <w:p>
            <w:pPr>
              <w:jc w:val="right"/>
            </w:pPr>
            <w:r>
              <w:rPr>
                <w:sz w:val="18"/>
                <w:szCs w:val="18"/>
              </w:rPr>
              <w:t xml:space="preserve">115.7</w:t>
            </w:r>
          </w:p>
        </w:tc>
        <w:tc>
          <w:tcPr>
            <w:tcMar>
              <w:top w:type="dxa" w:w="60"/>
              <w:left w:type="dxa" w:w="100"/>
              <w:bottom w:type="dxa" w:w="60"/>
              <w:right w:type="dxa" w:w="100"/>
            </w:tcMar>
          </w:tcPr>
          <w:p>
            <w:pPr>
              <w:jc w:val="right"/>
            </w:pPr>
            <w:r>
              <w:rPr>
                <w:sz w:val="18"/>
                <w:szCs w:val="18"/>
              </w:rPr>
              <w:t xml:space="preserve">34.6%</w:t>
            </w:r>
          </w:p>
        </w:tc>
        <w:tc>
          <w:tcPr>
            <w:tcMar>
              <w:top w:type="dxa" w:w="60"/>
              <w:left w:type="dxa" w:w="100"/>
              <w:bottom w:type="dxa" w:w="60"/>
              <w:right w:type="dxa" w:w="100"/>
            </w:tcMar>
          </w:tcPr>
          <w:p>
            <w:pPr>
              <w:jc w:val="right"/>
            </w:pPr>
            <w:r>
              <w:rPr>
                <w:sz w:val="18"/>
                <w:szCs w:val="18"/>
              </w:rPr>
              <w:t xml:space="preserve">49,67,250</w:t>
            </w:r>
          </w:p>
        </w:tc>
      </w:tr>
      <w:tr>
        <w:tc>
          <w:tcPr>
            <w:tcMar>
              <w:top w:type="dxa" w:w="60"/>
              <w:left w:type="dxa" w:w="100"/>
              <w:bottom w:type="dxa" w:w="60"/>
              <w:right w:type="dxa" w:w="100"/>
            </w:tcMar>
          </w:tcPr>
          <w:p>
            <w:pPr>
              <w:jc w:val="left"/>
            </w:pPr>
            <w:r>
              <w:rPr>
                <w:sz w:val="18"/>
                <w:szCs w:val="18"/>
              </w:rPr>
              <w:t xml:space="preserve">Home Care</w:t>
            </w:r>
          </w:p>
        </w:tc>
        <w:tc>
          <w:tcPr>
            <w:tcMar>
              <w:top w:type="dxa" w:w="60"/>
              <w:left w:type="dxa" w:w="100"/>
              <w:bottom w:type="dxa" w:w="60"/>
              <w:right w:type="dxa" w:w="100"/>
            </w:tcMar>
          </w:tcPr>
          <w:p>
            <w:pPr>
              <w:jc w:val="right"/>
            </w:pPr>
            <w:r>
              <w:rPr>
                <w:sz w:val="18"/>
                <w:szCs w:val="18"/>
              </w:rPr>
              <w:t xml:space="preserve">113.4</w:t>
            </w:r>
          </w:p>
        </w:tc>
        <w:tc>
          <w:tcPr>
            <w:tcMar>
              <w:top w:type="dxa" w:w="60"/>
              <w:left w:type="dxa" w:w="100"/>
              <w:bottom w:type="dxa" w:w="60"/>
              <w:right w:type="dxa" w:w="100"/>
            </w:tcMar>
          </w:tcPr>
          <w:p>
            <w:pPr>
              <w:jc w:val="right"/>
            </w:pPr>
            <w:r>
              <w:rPr>
                <w:sz w:val="18"/>
                <w:szCs w:val="18"/>
              </w:rPr>
              <w:t xml:space="preserve">33.9%</w:t>
            </w:r>
          </w:p>
        </w:tc>
        <w:tc>
          <w:tcPr>
            <w:tcMar>
              <w:top w:type="dxa" w:w="60"/>
              <w:left w:type="dxa" w:w="100"/>
              <w:bottom w:type="dxa" w:w="60"/>
              <w:right w:type="dxa" w:w="100"/>
            </w:tcMar>
          </w:tcPr>
          <w:p>
            <w:pPr>
              <w:jc w:val="right"/>
            </w:pPr>
            <w:r>
              <w:rPr>
                <w:sz w:val="18"/>
                <w:szCs w:val="18"/>
              </w:rPr>
              <w:t xml:space="preserve">53,13,805</w:t>
            </w:r>
          </w:p>
        </w:tc>
      </w:tr>
      <w:tr>
        <w:tc>
          <w:tcPr>
            <w:tcMar>
              <w:top w:type="dxa" w:w="60"/>
              <w:left w:type="dxa" w:w="100"/>
              <w:bottom w:type="dxa" w:w="60"/>
              <w:right w:type="dxa" w:w="100"/>
            </w:tcMar>
          </w:tcPr>
          <w:p>
            <w:pPr>
              <w:jc w:val="left"/>
            </w:pPr>
            <w:r>
              <w:rPr>
                <w:sz w:val="18"/>
                <w:szCs w:val="18"/>
              </w:rPr>
              <w:t xml:space="preserve">Foods</w:t>
            </w:r>
          </w:p>
        </w:tc>
        <w:tc>
          <w:tcPr>
            <w:tcMar>
              <w:top w:type="dxa" w:w="60"/>
              <w:left w:type="dxa" w:w="100"/>
              <w:bottom w:type="dxa" w:w="60"/>
              <w:right w:type="dxa" w:w="100"/>
            </w:tcMar>
          </w:tcPr>
          <w:p>
            <w:pPr>
              <w:jc w:val="right"/>
            </w:pPr>
            <w:r>
              <w:rPr>
                <w:sz w:val="18"/>
                <w:szCs w:val="18"/>
              </w:rPr>
              <w:t xml:space="preserve">105.4</w:t>
            </w:r>
          </w:p>
        </w:tc>
        <w:tc>
          <w:tcPr>
            <w:tcMar>
              <w:top w:type="dxa" w:w="60"/>
              <w:left w:type="dxa" w:w="100"/>
              <w:bottom w:type="dxa" w:w="60"/>
              <w:right w:type="dxa" w:w="100"/>
            </w:tcMar>
          </w:tcPr>
          <w:p>
            <w:pPr>
              <w:jc w:val="right"/>
            </w:pPr>
            <w:r>
              <w:rPr>
                <w:sz w:val="18"/>
                <w:szCs w:val="18"/>
              </w:rPr>
              <w:t xml:space="preserve">31.5%</w:t>
            </w:r>
          </w:p>
        </w:tc>
        <w:tc>
          <w:tcPr>
            <w:tcMar>
              <w:top w:type="dxa" w:w="60"/>
              <w:left w:type="dxa" w:w="100"/>
              <w:bottom w:type="dxa" w:w="60"/>
              <w:right w:type="dxa" w:w="100"/>
            </w:tcMar>
          </w:tcPr>
          <w:p>
            <w:pPr>
              <w:jc w:val="right"/>
            </w:pPr>
            <w:r>
              <w:rPr>
                <w:sz w:val="18"/>
                <w:szCs w:val="18"/>
              </w:rPr>
              <w:t xml:space="preserve">42,85,895</w:t>
            </w:r>
          </w:p>
        </w:tc>
      </w:tr>
    </w:tbl>
    <w:p>
      <w:pPr>
        <w:pStyle w:val="Heading1"/>
        <w:spacing w:after="120" w:before="360"/>
      </w:pPr>
      <w:r>
        <w:rPr>
          <w:color w:val="740000"/>
        </w:rPr>
        <w:t xml:space="preserve">Top lanes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Lane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Hosur → Delhi</w:t>
            </w:r>
          </w:p>
        </w:tc>
        <w:tc>
          <w:tcPr>
            <w:tcMar>
              <w:top w:type="dxa" w:w="60"/>
              <w:left w:type="dxa" w:w="100"/>
              <w:bottom w:type="dxa" w:w="60"/>
              <w:right w:type="dxa" w:w="100"/>
            </w:tcMar>
          </w:tcPr>
          <w:p>
            <w:pPr>
              <w:jc w:val="right"/>
            </w:pPr>
            <w:r>
              <w:rPr>
                <w:sz w:val="18"/>
                <w:szCs w:val="18"/>
              </w:rPr>
              <w:t xml:space="preserve">37.99</w:t>
            </w:r>
          </w:p>
        </w:tc>
        <w:tc>
          <w:tcPr>
            <w:tcMar>
              <w:top w:type="dxa" w:w="60"/>
              <w:left w:type="dxa" w:w="100"/>
              <w:bottom w:type="dxa" w:w="60"/>
              <w:right w:type="dxa" w:w="100"/>
            </w:tcMar>
          </w:tcPr>
          <w:p>
            <w:pPr>
              <w:jc w:val="right"/>
            </w:pPr>
            <w:r>
              <w:rPr>
                <w:sz w:val="18"/>
                <w:szCs w:val="18"/>
              </w:rPr>
              <w:t xml:space="preserve">11.4%</w:t>
            </w:r>
          </w:p>
        </w:tc>
        <w:tc>
          <w:tcPr>
            <w:tcMar>
              <w:top w:type="dxa" w:w="60"/>
              <w:left w:type="dxa" w:w="100"/>
              <w:bottom w:type="dxa" w:w="60"/>
              <w:right w:type="dxa" w:w="100"/>
            </w:tcMar>
          </w:tcPr>
          <w:p>
            <w:pPr>
              <w:jc w:val="right"/>
            </w:pPr>
            <w:r>
              <w:rPr>
                <w:sz w:val="18"/>
                <w:szCs w:val="18"/>
              </w:rPr>
              <w:t xml:space="preserve">16,01,320</w:t>
            </w:r>
          </w:p>
        </w:tc>
      </w:tr>
      <w:tr>
        <w:tc>
          <w:tcPr>
            <w:tcMar>
              <w:top w:type="dxa" w:w="60"/>
              <w:left w:type="dxa" w:w="100"/>
              <w:bottom w:type="dxa" w:w="60"/>
              <w:right w:type="dxa" w:w="100"/>
            </w:tcMar>
          </w:tcPr>
          <w:p>
            <w:pPr>
              <w:jc w:val="left"/>
            </w:pPr>
            <w:r>
              <w:rPr>
                <w:sz w:val="18"/>
                <w:szCs w:val="18"/>
              </w:rPr>
              <w:t xml:space="preserve">Hosur → Rotterdam</w:t>
            </w:r>
          </w:p>
        </w:tc>
        <w:tc>
          <w:tcPr>
            <w:tcMar>
              <w:top w:type="dxa" w:w="60"/>
              <w:left w:type="dxa" w:w="100"/>
              <w:bottom w:type="dxa" w:w="60"/>
              <w:right w:type="dxa" w:w="100"/>
            </w:tcMar>
          </w:tcPr>
          <w:p>
            <w:pPr>
              <w:jc w:val="right"/>
            </w:pPr>
            <w:r>
              <w:rPr>
                <w:sz w:val="18"/>
                <w:szCs w:val="18"/>
              </w:rPr>
              <w:t xml:space="preserve">20.24</w:t>
            </w:r>
          </w:p>
        </w:tc>
        <w:tc>
          <w:tcPr>
            <w:tcMar>
              <w:top w:type="dxa" w:w="60"/>
              <w:left w:type="dxa" w:w="100"/>
              <w:bottom w:type="dxa" w:w="60"/>
              <w:right w:type="dxa" w:w="100"/>
            </w:tcMar>
          </w:tcPr>
          <w:p>
            <w:pPr>
              <w:jc w:val="right"/>
            </w:pPr>
            <w:r>
              <w:rPr>
                <w:sz w:val="18"/>
                <w:szCs w:val="18"/>
              </w:rPr>
              <w:t xml:space="preserve">6.1%</w:t>
            </w:r>
          </w:p>
        </w:tc>
        <w:tc>
          <w:tcPr>
            <w:tcMar>
              <w:top w:type="dxa" w:w="60"/>
              <w:left w:type="dxa" w:w="100"/>
              <w:bottom w:type="dxa" w:w="60"/>
              <w:right w:type="dxa" w:w="100"/>
            </w:tcMar>
          </w:tcPr>
          <w:p>
            <w:pPr>
              <w:jc w:val="right"/>
            </w:pPr>
            <w:r>
              <w:rPr>
                <w:sz w:val="18"/>
                <w:szCs w:val="18"/>
              </w:rPr>
              <w:t xml:space="preserve">17,60,073</w:t>
            </w:r>
          </w:p>
        </w:tc>
      </w:tr>
      <w:tr>
        <w:tc>
          <w:tcPr>
            <w:tcMar>
              <w:top w:type="dxa" w:w="60"/>
              <w:left w:type="dxa" w:w="100"/>
              <w:bottom w:type="dxa" w:w="60"/>
              <w:right w:type="dxa" w:w="100"/>
            </w:tcMar>
          </w:tcPr>
          <w:p>
            <w:pPr>
              <w:jc w:val="left"/>
            </w:pPr>
            <w:r>
              <w:rPr>
                <w:sz w:val="18"/>
                <w:szCs w:val="18"/>
              </w:rPr>
              <w:t xml:space="preserve">Hosur → Kochi</w:t>
            </w:r>
          </w:p>
        </w:tc>
        <w:tc>
          <w:tcPr>
            <w:tcMar>
              <w:top w:type="dxa" w:w="60"/>
              <w:left w:type="dxa" w:w="100"/>
              <w:bottom w:type="dxa" w:w="60"/>
              <w:right w:type="dxa" w:w="100"/>
            </w:tcMar>
          </w:tcPr>
          <w:p>
            <w:pPr>
              <w:jc w:val="right"/>
            </w:pPr>
            <w:r>
              <w:rPr>
                <w:sz w:val="18"/>
                <w:szCs w:val="18"/>
              </w:rPr>
              <w:t xml:space="preserve">20.15</w:t>
            </w:r>
          </w:p>
        </w:tc>
        <w:tc>
          <w:tcPr>
            <w:tcMar>
              <w:top w:type="dxa" w:w="60"/>
              <w:left w:type="dxa" w:w="100"/>
              <w:bottom w:type="dxa" w:w="60"/>
              <w:right w:type="dxa" w:w="100"/>
            </w:tcMar>
          </w:tcPr>
          <w:p>
            <w:pPr>
              <w:jc w:val="right"/>
            </w:pPr>
            <w:r>
              <w:rPr>
                <w:sz w:val="18"/>
                <w:szCs w:val="18"/>
              </w:rPr>
              <w:t xml:space="preserve">6%</w:t>
            </w:r>
          </w:p>
        </w:tc>
        <w:tc>
          <w:tcPr>
            <w:tcMar>
              <w:top w:type="dxa" w:w="60"/>
              <w:left w:type="dxa" w:w="100"/>
              <w:bottom w:type="dxa" w:w="60"/>
              <w:right w:type="dxa" w:w="100"/>
            </w:tcMar>
          </w:tcPr>
          <w:p>
            <w:pPr>
              <w:jc w:val="right"/>
            </w:pPr>
            <w:r>
              <w:rPr>
                <w:sz w:val="18"/>
                <w:szCs w:val="18"/>
              </w:rPr>
              <w:t xml:space="preserve">7,30,877</w:t>
            </w:r>
          </w:p>
        </w:tc>
      </w:tr>
      <w:tr>
        <w:tc>
          <w:tcPr>
            <w:tcMar>
              <w:top w:type="dxa" w:w="60"/>
              <w:left w:type="dxa" w:w="100"/>
              <w:bottom w:type="dxa" w:w="60"/>
              <w:right w:type="dxa" w:w="100"/>
            </w:tcMar>
          </w:tcPr>
          <w:p>
            <w:pPr>
              <w:jc w:val="left"/>
            </w:pPr>
            <w:r>
              <w:rPr>
                <w:sz w:val="18"/>
                <w:szCs w:val="18"/>
              </w:rPr>
              <w:t xml:space="preserve">Hosur → Jaipur</w:t>
            </w:r>
          </w:p>
        </w:tc>
        <w:tc>
          <w:tcPr>
            <w:tcMar>
              <w:top w:type="dxa" w:w="60"/>
              <w:left w:type="dxa" w:w="100"/>
              <w:bottom w:type="dxa" w:w="60"/>
              <w:right w:type="dxa" w:w="100"/>
            </w:tcMar>
          </w:tcPr>
          <w:p>
            <w:pPr>
              <w:jc w:val="right"/>
            </w:pPr>
            <w:r>
              <w:rPr>
                <w:sz w:val="18"/>
                <w:szCs w:val="18"/>
              </w:rPr>
              <w:t xml:space="preserve">20.12</w:t>
            </w:r>
          </w:p>
        </w:tc>
        <w:tc>
          <w:tcPr>
            <w:tcMar>
              <w:top w:type="dxa" w:w="60"/>
              <w:left w:type="dxa" w:w="100"/>
              <w:bottom w:type="dxa" w:w="60"/>
              <w:right w:type="dxa" w:w="100"/>
            </w:tcMar>
          </w:tcPr>
          <w:p>
            <w:pPr>
              <w:jc w:val="right"/>
            </w:pPr>
            <w:r>
              <w:rPr>
                <w:sz w:val="18"/>
                <w:szCs w:val="18"/>
              </w:rPr>
              <w:t xml:space="preserve">6%</w:t>
            </w:r>
          </w:p>
        </w:tc>
        <w:tc>
          <w:tcPr>
            <w:tcMar>
              <w:top w:type="dxa" w:w="60"/>
              <w:left w:type="dxa" w:w="100"/>
              <w:bottom w:type="dxa" w:w="60"/>
              <w:right w:type="dxa" w:w="100"/>
            </w:tcMar>
          </w:tcPr>
          <w:p>
            <w:pPr>
              <w:jc w:val="right"/>
            </w:pPr>
            <w:r>
              <w:rPr>
                <w:sz w:val="18"/>
                <w:szCs w:val="18"/>
              </w:rPr>
              <w:t xml:space="preserve">7,70,691</w:t>
            </w:r>
          </w:p>
        </w:tc>
      </w:tr>
      <w:tr>
        <w:tc>
          <w:tcPr>
            <w:tcMar>
              <w:top w:type="dxa" w:w="60"/>
              <w:left w:type="dxa" w:w="100"/>
              <w:bottom w:type="dxa" w:w="60"/>
              <w:right w:type="dxa" w:w="100"/>
            </w:tcMar>
          </w:tcPr>
          <w:p>
            <w:pPr>
              <w:jc w:val="left"/>
            </w:pPr>
            <w:r>
              <w:rPr>
                <w:sz w:val="18"/>
                <w:szCs w:val="18"/>
              </w:rPr>
              <w:t xml:space="preserve">Baddi → Chennai</w:t>
            </w:r>
          </w:p>
        </w:tc>
        <w:tc>
          <w:tcPr>
            <w:tcMar>
              <w:top w:type="dxa" w:w="60"/>
              <w:left w:type="dxa" w:w="100"/>
              <w:bottom w:type="dxa" w:w="60"/>
              <w:right w:type="dxa" w:w="100"/>
            </w:tcMar>
          </w:tcPr>
          <w:p>
            <w:pPr>
              <w:jc w:val="right"/>
            </w:pPr>
            <w:r>
              <w:rPr>
                <w:sz w:val="18"/>
                <w:szCs w:val="18"/>
              </w:rPr>
              <w:t xml:space="preserve">19.13</w:t>
            </w:r>
          </w:p>
        </w:tc>
        <w:tc>
          <w:tcPr>
            <w:tcMar>
              <w:top w:type="dxa" w:w="60"/>
              <w:left w:type="dxa" w:w="100"/>
              <w:bottom w:type="dxa" w:w="60"/>
              <w:right w:type="dxa" w:w="100"/>
            </w:tcMar>
          </w:tcPr>
          <w:p>
            <w:pPr>
              <w:jc w:val="right"/>
            </w:pPr>
            <w:r>
              <w:rPr>
                <w:sz w:val="18"/>
                <w:szCs w:val="18"/>
              </w:rPr>
              <w:t xml:space="preserve">5.7%</w:t>
            </w:r>
          </w:p>
        </w:tc>
        <w:tc>
          <w:tcPr>
            <w:tcMar>
              <w:top w:type="dxa" w:w="60"/>
              <w:left w:type="dxa" w:w="100"/>
              <w:bottom w:type="dxa" w:w="60"/>
              <w:right w:type="dxa" w:w="100"/>
            </w:tcMar>
          </w:tcPr>
          <w:p>
            <w:pPr>
              <w:jc w:val="right"/>
            </w:pPr>
            <w:r>
              <w:rPr>
                <w:sz w:val="18"/>
                <w:szCs w:val="18"/>
              </w:rPr>
              <w:t xml:space="preserve">4,71,662</w:t>
            </w:r>
          </w:p>
        </w:tc>
      </w:tr>
      <w:tr>
        <w:tc>
          <w:tcPr>
            <w:tcMar>
              <w:top w:type="dxa" w:w="60"/>
              <w:left w:type="dxa" w:w="100"/>
              <w:bottom w:type="dxa" w:w="60"/>
              <w:right w:type="dxa" w:w="100"/>
            </w:tcMar>
          </w:tcPr>
          <w:p>
            <w:pPr>
              <w:jc w:val="left"/>
            </w:pPr>
            <w:r>
              <w:rPr>
                <w:sz w:val="18"/>
                <w:szCs w:val="18"/>
              </w:rPr>
              <w:t xml:space="preserve">Baddi → Hyderabad</w:t>
            </w:r>
          </w:p>
        </w:tc>
        <w:tc>
          <w:tcPr>
            <w:tcMar>
              <w:top w:type="dxa" w:w="60"/>
              <w:left w:type="dxa" w:w="100"/>
              <w:bottom w:type="dxa" w:w="60"/>
              <w:right w:type="dxa" w:w="100"/>
            </w:tcMar>
          </w:tcPr>
          <w:p>
            <w:pPr>
              <w:jc w:val="right"/>
            </w:pPr>
            <w:r>
              <w:rPr>
                <w:sz w:val="18"/>
                <w:szCs w:val="18"/>
              </w:rPr>
              <w:t xml:space="preserve">15.86</w:t>
            </w:r>
          </w:p>
        </w:tc>
        <w:tc>
          <w:tcPr>
            <w:tcMar>
              <w:top w:type="dxa" w:w="60"/>
              <w:left w:type="dxa" w:w="100"/>
              <w:bottom w:type="dxa" w:w="60"/>
              <w:right w:type="dxa" w:w="100"/>
            </w:tcMar>
          </w:tcPr>
          <w:p>
            <w:pPr>
              <w:jc w:val="right"/>
            </w:pPr>
            <w:r>
              <w:rPr>
                <w:sz w:val="18"/>
                <w:szCs w:val="18"/>
              </w:rPr>
              <w:t xml:space="preserve">4.7%</w:t>
            </w:r>
          </w:p>
        </w:tc>
        <w:tc>
          <w:tcPr>
            <w:tcMar>
              <w:top w:type="dxa" w:w="60"/>
              <w:left w:type="dxa" w:w="100"/>
              <w:bottom w:type="dxa" w:w="60"/>
              <w:right w:type="dxa" w:w="100"/>
            </w:tcMar>
          </w:tcPr>
          <w:p>
            <w:pPr>
              <w:jc w:val="right"/>
            </w:pPr>
            <w:r>
              <w:rPr>
                <w:sz w:val="18"/>
                <w:szCs w:val="18"/>
              </w:rPr>
              <w:t xml:space="preserve">2,94,057</w:t>
            </w:r>
          </w:p>
        </w:tc>
      </w:tr>
      <w:tr>
        <w:tc>
          <w:tcPr>
            <w:tcMar>
              <w:top w:type="dxa" w:w="60"/>
              <w:left w:type="dxa" w:w="100"/>
              <w:bottom w:type="dxa" w:w="60"/>
              <w:right w:type="dxa" w:w="100"/>
            </w:tcMar>
          </w:tcPr>
          <w:p>
            <w:pPr>
              <w:jc w:val="left"/>
            </w:pPr>
            <w:r>
              <w:rPr>
                <w:sz w:val="18"/>
                <w:szCs w:val="18"/>
              </w:rPr>
              <w:t xml:space="preserve">Baddi → Rotterdam</w:t>
            </w:r>
          </w:p>
        </w:tc>
        <w:tc>
          <w:tcPr>
            <w:tcMar>
              <w:top w:type="dxa" w:w="60"/>
              <w:left w:type="dxa" w:w="100"/>
              <w:bottom w:type="dxa" w:w="60"/>
              <w:right w:type="dxa" w:w="100"/>
            </w:tcMar>
          </w:tcPr>
          <w:p>
            <w:pPr>
              <w:jc w:val="right"/>
            </w:pPr>
            <w:r>
              <w:rPr>
                <w:sz w:val="18"/>
                <w:szCs w:val="18"/>
              </w:rPr>
              <w:t xml:space="preserve">14.06</w:t>
            </w:r>
          </w:p>
        </w:tc>
        <w:tc>
          <w:tcPr>
            <w:tcMar>
              <w:top w:type="dxa" w:w="60"/>
              <w:left w:type="dxa" w:w="100"/>
              <w:bottom w:type="dxa" w:w="60"/>
              <w:right w:type="dxa" w:w="100"/>
            </w:tcMar>
          </w:tcPr>
          <w:p>
            <w:pPr>
              <w:jc w:val="right"/>
            </w:pPr>
            <w:r>
              <w:rPr>
                <w:sz w:val="18"/>
                <w:szCs w:val="18"/>
              </w:rPr>
              <w:t xml:space="preserve">4.2%</w:t>
            </w:r>
          </w:p>
        </w:tc>
        <w:tc>
          <w:tcPr>
            <w:tcMar>
              <w:top w:type="dxa" w:w="60"/>
              <w:left w:type="dxa" w:w="100"/>
              <w:bottom w:type="dxa" w:w="60"/>
              <w:right w:type="dxa" w:w="100"/>
            </w:tcMar>
          </w:tcPr>
          <w:p>
            <w:pPr>
              <w:jc w:val="right"/>
            </w:pPr>
            <w:r>
              <w:rPr>
                <w:sz w:val="18"/>
                <w:szCs w:val="18"/>
              </w:rPr>
              <w:t xml:space="preserve">10,80,446</w:t>
            </w:r>
          </w:p>
        </w:tc>
      </w:tr>
      <w:tr>
        <w:tc>
          <w:tcPr>
            <w:tcMar>
              <w:top w:type="dxa" w:w="60"/>
              <w:left w:type="dxa" w:w="100"/>
              <w:bottom w:type="dxa" w:w="60"/>
              <w:right w:type="dxa" w:w="100"/>
            </w:tcMar>
          </w:tcPr>
          <w:p>
            <w:pPr>
              <w:jc w:val="left"/>
            </w:pPr>
            <w:r>
              <w:rPr>
                <w:sz w:val="18"/>
                <w:szCs w:val="18"/>
              </w:rPr>
              <w:t xml:space="preserve">Silvassa → Delhi</w:t>
            </w:r>
          </w:p>
        </w:tc>
        <w:tc>
          <w:tcPr>
            <w:tcMar>
              <w:top w:type="dxa" w:w="60"/>
              <w:left w:type="dxa" w:w="100"/>
              <w:bottom w:type="dxa" w:w="60"/>
              <w:right w:type="dxa" w:w="100"/>
            </w:tcMar>
          </w:tcPr>
          <w:p>
            <w:pPr>
              <w:jc w:val="right"/>
            </w:pPr>
            <w:r>
              <w:rPr>
                <w:sz w:val="18"/>
                <w:szCs w:val="18"/>
              </w:rPr>
              <w:t xml:space="preserve">13.82</w:t>
            </w:r>
          </w:p>
        </w:tc>
        <w:tc>
          <w:tcPr>
            <w:tcMar>
              <w:top w:type="dxa" w:w="60"/>
              <w:left w:type="dxa" w:w="100"/>
              <w:bottom w:type="dxa" w:w="60"/>
              <w:right w:type="dxa" w:w="100"/>
            </w:tcMar>
          </w:tcPr>
          <w:p>
            <w:pPr>
              <w:jc w:val="right"/>
            </w:pPr>
            <w:r>
              <w:rPr>
                <w:sz w:val="18"/>
                <w:szCs w:val="18"/>
              </w:rPr>
              <w:t xml:space="preserve">4.1%</w:t>
            </w:r>
          </w:p>
        </w:tc>
        <w:tc>
          <w:tcPr>
            <w:tcMar>
              <w:top w:type="dxa" w:w="60"/>
              <w:left w:type="dxa" w:w="100"/>
              <w:bottom w:type="dxa" w:w="60"/>
              <w:right w:type="dxa" w:w="100"/>
            </w:tcMar>
          </w:tcPr>
          <w:p>
            <w:pPr>
              <w:jc w:val="right"/>
            </w:pPr>
            <w:r>
              <w:rPr>
                <w:sz w:val="18"/>
                <w:szCs w:val="18"/>
              </w:rPr>
              <w:t xml:space="preserve">10,19,633</w:t>
            </w:r>
          </w:p>
        </w:tc>
      </w:tr>
      <w:tr>
        <w:tc>
          <w:tcPr>
            <w:tcMar>
              <w:top w:type="dxa" w:w="60"/>
              <w:left w:type="dxa" w:w="100"/>
              <w:bottom w:type="dxa" w:w="60"/>
              <w:right w:type="dxa" w:w="100"/>
            </w:tcMar>
          </w:tcPr>
          <w:p>
            <w:pPr>
              <w:jc w:val="left"/>
            </w:pPr>
            <w:r>
              <w:rPr>
                <w:sz w:val="18"/>
                <w:szCs w:val="18"/>
              </w:rPr>
              <w:t xml:space="preserve">Baddi → Kolkata</w:t>
            </w:r>
          </w:p>
        </w:tc>
        <w:tc>
          <w:tcPr>
            <w:tcMar>
              <w:top w:type="dxa" w:w="60"/>
              <w:left w:type="dxa" w:w="100"/>
              <w:bottom w:type="dxa" w:w="60"/>
              <w:right w:type="dxa" w:w="100"/>
            </w:tcMar>
          </w:tcPr>
          <w:p>
            <w:pPr>
              <w:jc w:val="right"/>
            </w:pPr>
            <w:r>
              <w:rPr>
                <w:sz w:val="18"/>
                <w:szCs w:val="18"/>
              </w:rPr>
              <w:t xml:space="preserve">13.62</w:t>
            </w:r>
          </w:p>
        </w:tc>
        <w:tc>
          <w:tcPr>
            <w:tcMar>
              <w:top w:type="dxa" w:w="60"/>
              <w:left w:type="dxa" w:w="100"/>
              <w:bottom w:type="dxa" w:w="60"/>
              <w:right w:type="dxa" w:w="100"/>
            </w:tcMar>
          </w:tcPr>
          <w:p>
            <w:pPr>
              <w:jc w:val="right"/>
            </w:pPr>
            <w:r>
              <w:rPr>
                <w:sz w:val="18"/>
                <w:szCs w:val="18"/>
              </w:rPr>
              <w:t xml:space="preserve">4.1%</w:t>
            </w:r>
          </w:p>
        </w:tc>
        <w:tc>
          <w:tcPr>
            <w:tcMar>
              <w:top w:type="dxa" w:w="60"/>
              <w:left w:type="dxa" w:w="100"/>
              <w:bottom w:type="dxa" w:w="60"/>
              <w:right w:type="dxa" w:w="100"/>
            </w:tcMar>
          </w:tcPr>
          <w:p>
            <w:pPr>
              <w:jc w:val="right"/>
            </w:pPr>
            <w:r>
              <w:rPr>
                <w:sz w:val="18"/>
                <w:szCs w:val="18"/>
              </w:rPr>
              <w:t xml:space="preserve">2,62,205</w:t>
            </w:r>
          </w:p>
        </w:tc>
      </w:tr>
      <w:tr>
        <w:tc>
          <w:tcPr>
            <w:tcMar>
              <w:top w:type="dxa" w:w="60"/>
              <w:left w:type="dxa" w:w="100"/>
              <w:bottom w:type="dxa" w:w="60"/>
              <w:right w:type="dxa" w:w="100"/>
            </w:tcMar>
          </w:tcPr>
          <w:p>
            <w:pPr>
              <w:jc w:val="left"/>
            </w:pPr>
            <w:r>
              <w:rPr>
                <w:sz w:val="18"/>
                <w:szCs w:val="18"/>
              </w:rPr>
              <w:t xml:space="preserve">Hosur → Chennai</w:t>
            </w:r>
          </w:p>
        </w:tc>
        <w:tc>
          <w:tcPr>
            <w:tcMar>
              <w:top w:type="dxa" w:w="60"/>
              <w:left w:type="dxa" w:w="100"/>
              <w:bottom w:type="dxa" w:w="60"/>
              <w:right w:type="dxa" w:w="100"/>
            </w:tcMar>
          </w:tcPr>
          <w:p>
            <w:pPr>
              <w:jc w:val="right"/>
            </w:pPr>
            <w:r>
              <w:rPr>
                <w:sz w:val="18"/>
                <w:szCs w:val="18"/>
              </w:rPr>
              <w:t xml:space="preserve">11.19</w:t>
            </w:r>
          </w:p>
        </w:tc>
        <w:tc>
          <w:tcPr>
            <w:tcMar>
              <w:top w:type="dxa" w:w="60"/>
              <w:left w:type="dxa" w:w="100"/>
              <w:bottom w:type="dxa" w:w="60"/>
              <w:right w:type="dxa" w:w="100"/>
            </w:tcMar>
          </w:tcPr>
          <w:p>
            <w:pPr>
              <w:jc w:val="right"/>
            </w:pPr>
            <w:r>
              <w:rPr>
                <w:sz w:val="18"/>
                <w:szCs w:val="18"/>
              </w:rPr>
              <w:t xml:space="preserve">3.3%</w:t>
            </w:r>
          </w:p>
        </w:tc>
        <w:tc>
          <w:tcPr>
            <w:tcMar>
              <w:top w:type="dxa" w:w="60"/>
              <w:left w:type="dxa" w:w="100"/>
              <w:bottom w:type="dxa" w:w="60"/>
              <w:right w:type="dxa" w:w="100"/>
            </w:tcMar>
          </w:tcPr>
          <w:p>
            <w:pPr>
              <w:jc w:val="right"/>
            </w:pPr>
            <w:r>
              <w:rPr>
                <w:sz w:val="18"/>
                <w:szCs w:val="18"/>
              </w:rPr>
              <w:t xml:space="preserve">3,53,541</w:t>
            </w:r>
          </w:p>
        </w:tc>
      </w:tr>
    </w:tbl>
    <w:p>
      <w:pPr>
        <w:pStyle w:val="Heading1"/>
        <w:spacing w:after="120" w:before="360"/>
      </w:pPr>
      <w:r>
        <w:rPr>
          <w:color w:val="740000"/>
        </w:rPr>
        <w:t xml:space="preserve">Data quality</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Basis</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Default factors</w:t>
            </w:r>
          </w:p>
        </w:tc>
        <w:tc>
          <w:tcPr>
            <w:tcMar>
              <w:top w:type="dxa" w:w="60"/>
              <w:left w:type="dxa" w:w="100"/>
              <w:bottom w:type="dxa" w:w="60"/>
              <w:right w:type="dxa" w:w="100"/>
            </w:tcMar>
          </w:tcPr>
          <w:p>
            <w:pPr>
              <w:jc w:val="right"/>
            </w:pPr>
            <w:r>
              <w:rPr>
                <w:sz w:val="18"/>
                <w:szCs w:val="18"/>
              </w:rPr>
              <w:t xml:space="preserve">332.3</w:t>
            </w:r>
          </w:p>
        </w:tc>
        <w:tc>
          <w:tcPr>
            <w:tcMar>
              <w:top w:type="dxa" w:w="60"/>
              <w:left w:type="dxa" w:w="100"/>
              <w:bottom w:type="dxa" w:w="60"/>
              <w:right w:type="dxa" w:w="100"/>
            </w:tcMar>
          </w:tcPr>
          <w:p>
            <w:pPr>
              <w:jc w:val="right"/>
            </w:pPr>
            <w:r>
              <w:rPr>
                <w:sz w:val="18"/>
                <w:szCs w:val="18"/>
              </w:rPr>
              <w:t xml:space="preserve">99.3%</w:t>
            </w:r>
          </w:p>
        </w:tc>
        <w:tc>
          <w:tcPr>
            <w:tcMar>
              <w:top w:type="dxa" w:w="60"/>
              <w:left w:type="dxa" w:w="100"/>
              <w:bottom w:type="dxa" w:w="60"/>
              <w:right w:type="dxa" w:w="100"/>
            </w:tcMar>
          </w:tcPr>
          <w:p>
            <w:pPr>
              <w:jc w:val="right"/>
            </w:pPr>
            <w:r>
              <w:rPr>
                <w:sz w:val="18"/>
                <w:szCs w:val="18"/>
              </w:rPr>
              <w:t xml:space="preserve">1,45,41,912</w:t>
            </w:r>
          </w:p>
        </w:tc>
      </w:tr>
      <w:tr>
        <w:tc>
          <w:tcPr>
            <w:tcMar>
              <w:top w:type="dxa" w:w="60"/>
              <w:left w:type="dxa" w:w="100"/>
              <w:bottom w:type="dxa" w:w="60"/>
              <w:right w:type="dxa" w:w="100"/>
            </w:tcMar>
          </w:tcPr>
          <w:p>
            <w:pPr>
              <w:jc w:val="left"/>
            </w:pPr>
            <w:r>
              <w:rPr>
                <w:sz w:val="18"/>
                <w:szCs w:val="18"/>
              </w:rPr>
              <w:t xml:space="preserve">Primary data (measured fuel, energy or carrier value)</w:t>
            </w:r>
          </w:p>
        </w:tc>
        <w:tc>
          <w:tcPr>
            <w:tcMar>
              <w:top w:type="dxa" w:w="60"/>
              <w:left w:type="dxa" w:w="100"/>
              <w:bottom w:type="dxa" w:w="60"/>
              <w:right w:type="dxa" w:w="100"/>
            </w:tcMar>
          </w:tcPr>
          <w:p>
            <w:pPr>
              <w:jc w:val="right"/>
            </w:pPr>
            <w:r>
              <w:rPr>
                <w:sz w:val="18"/>
                <w:szCs w:val="18"/>
              </w:rPr>
              <w:t xml:space="preserve">2.21</w:t>
            </w:r>
          </w:p>
        </w:tc>
        <w:tc>
          <w:tcPr>
            <w:tcMar>
              <w:top w:type="dxa" w:w="60"/>
              <w:left w:type="dxa" w:w="100"/>
              <w:bottom w:type="dxa" w:w="60"/>
              <w:right w:type="dxa" w:w="100"/>
            </w:tcMar>
          </w:tcPr>
          <w:p>
            <w:pPr>
              <w:jc w:val="right"/>
            </w:pPr>
            <w:r>
              <w:rPr>
                <w:sz w:val="18"/>
                <w:szCs w:val="18"/>
              </w:rPr>
              <w:t xml:space="preserve">0.7%</w:t>
            </w:r>
          </w:p>
        </w:tc>
        <w:tc>
          <w:tcPr>
            <w:tcMar>
              <w:top w:type="dxa" w:w="60"/>
              <w:left w:type="dxa" w:w="100"/>
              <w:bottom w:type="dxa" w:w="60"/>
              <w:right w:type="dxa" w:w="100"/>
            </w:tcMar>
          </w:tcPr>
          <w:p>
            <w:pPr>
              <w:jc w:val="right"/>
            </w:pPr>
            <w:r>
              <w:rPr>
                <w:sz w:val="18"/>
                <w:szCs w:val="18"/>
              </w:rPr>
              <w:t xml:space="preserve">25,038</w:t>
            </w:r>
          </w:p>
        </w:tc>
      </w:tr>
    </w:tbl>
    <w:p>
      <w:pPr>
        <w:pStyle w:val="Heading1"/>
        <w:spacing w:after="120" w:before="360"/>
      </w:pPr>
      <w:r>
        <w:rPr>
          <w:color w:val="740000"/>
        </w:rPr>
        <w:t xml:space="preserve">Reduction opportunities</w:t>
      </w:r>
    </w:p>
    <w:p>
      <w:pPr>
        <w:pStyle w:val="ListParagraph"/>
        <w:numPr>
          <w:ilvl w:val="0"/>
          <w:numId w:val="1"/>
        </w:numPr>
        <w:spacing w:after="80"/>
      </w:pPr>
      <w:r>
        <w:t xml:space="preserve">Move long road hauls to rail (up to 156.1 t CO₂e). 53 road legs of 500 km or more with at least 8 t of cargo could move by rail with 30 km road drayage at each end. Biggest lanes: Hosur → Delhi; Baddi → Chennai; Baddi → Hyderabad. Check rail access, capacity and transit time before committing.</w:t>
      </w:r>
    </w:p>
    <w:p>
      <w:pPr>
        <w:pStyle w:val="ListParagraph"/>
        <w:numPr>
          <w:ilvl w:val="0"/>
          <w:numId w:val="1"/>
        </w:numPr>
        <w:spacing w:after="80"/>
      </w:pPr>
      <w:r>
        <w:t xml:space="preserve">Replace short air legs with road (up to 9.86 t CO₂e). 2 air legs of up to 2,500 km. Moving time-flexible consignments to an intermediate truck would avoid most of their emissions.</w:t>
      </w:r>
    </w:p>
    <w:p>
      <w:pPr>
        <w:pStyle w:val="ListParagraph"/>
        <w:numPr>
          <w:ilvl w:val="0"/>
          <w:numId w:val="1"/>
        </w:numPr>
        <w:spacing w:after="80"/>
      </w:pPr>
      <w:r>
        <w:t xml:space="preserve">Consolidate long hauls into larger trucks (up to 0.45 t CO₂e). 6 long-haul legs use trucks of 12 t GVW or less. Consolidating loads into a 12–20 t truck lowers emissions per tonne-kilometre.</w:t>
      </w:r>
    </w:p>
    <w:p>
      <w:pPr>
        <w:pStyle w:val="ListParagraph"/>
        <w:numPr>
          <w:ilvl w:val="0"/>
          <w:numId w:val="1"/>
        </w:numPr>
        <w:spacing w:after="80"/>
      </w:pPr>
      <w:r>
        <w:t xml:space="preserve">Replace default factors with primary data. 98% of emissions use default factors. Ask your top carriers for fuel or energy records; ISO 14083 prefers primary data and it usually shows the effect of your own improvements.</w:t>
      </w:r>
    </w:p>
    <w:p>
      <w:pPr>
        <w:pStyle w:val="Heading1"/>
        <w:spacing w:after="120" w:before="360"/>
      </w:pPr>
      <w:r>
        <w:rPr>
          <w:color w:val="740000"/>
        </w:rPr>
        <w:t xml:space="preserve">BRSR mapping</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tblGrid>
      <w:tr>
        <w:trPr>
          <w:tblHeader/>
        </w:trPr>
        <w:tc>
          <w:tcPr>
            <w:tcW w:type="pct" w:w="34%"/>
            <w:shd w:fill="B12322" w:color="auto" w:val="clear"/>
            <w:tcMar>
              <w:top w:type="dxa" w:w="60"/>
              <w:left w:type="dxa" w:w="100"/>
              <w:bottom w:type="dxa" w:w="60"/>
              <w:right w:type="dxa" w:w="100"/>
            </w:tcMar>
          </w:tcPr>
          <w:p>
            <w:pPr>
              <w:jc w:val="left"/>
            </w:pPr>
            <w:r>
              <w:rPr>
                <w:b/>
                <w:bCs/>
                <w:color w:val="FFFFFF"/>
                <w:sz w:val="18"/>
                <w:szCs w:val="18"/>
              </w:rPr>
              <w:t xml:space="preserve">Indicator</w:t>
            </w:r>
          </w:p>
        </w:tc>
        <w:tc>
          <w:tcPr>
            <w:tcW w:type="pct" w:w="22%"/>
            <w:shd w:fill="B12322" w:color="auto" w:val="clear"/>
            <w:tcMar>
              <w:top w:type="dxa" w:w="60"/>
              <w:left w:type="dxa" w:w="100"/>
              <w:bottom w:type="dxa" w:w="60"/>
              <w:right w:type="dxa" w:w="100"/>
            </w:tcMar>
          </w:tcPr>
          <w:p>
            <w:pPr>
              <w:jc w:val="left"/>
            </w:pPr>
            <w:r>
              <w:rPr>
                <w:b/>
                <w:bCs/>
                <w:color w:val="FFFFFF"/>
                <w:sz w:val="18"/>
                <w:szCs w:val="18"/>
              </w:rPr>
              <w:t xml:space="preserve">Value</w:t>
            </w:r>
          </w:p>
        </w:tc>
        <w:tc>
          <w:tcPr>
            <w:tcW w:type="pct" w:w="44%"/>
            <w:shd w:fill="B12322" w:color="auto" w:val="clear"/>
            <w:tcMar>
              <w:top w:type="dxa" w:w="60"/>
              <w:left w:type="dxa" w:w="100"/>
              <w:bottom w:type="dxa" w:w="60"/>
              <w:right w:type="dxa" w:w="100"/>
            </w:tcMar>
          </w:tcPr>
          <w:p>
            <w:pPr>
              <w:jc w:val="left"/>
            </w:pPr>
            <w:r>
              <w:rPr>
                <w:b/>
                <w:bCs/>
                <w:color w:val="FFFFFF"/>
                <w:sz w:val="18"/>
                <w:szCs w:val="18"/>
              </w:rPr>
              <w:t xml:space="preserve">Note</w:t>
            </w:r>
          </w:p>
        </w:tc>
      </w:tr>
      <w:tr>
        <w:tc>
          <w:tcPr>
            <w:tcW w:type="pct" w:w="34%"/>
            <w:tcMar>
              <w:top w:type="dxa" w:w="60"/>
              <w:left w:type="dxa" w:w="100"/>
              <w:bottom w:type="dxa" w:w="60"/>
              <w:right w:type="dxa" w:w="100"/>
            </w:tcMar>
          </w:tcPr>
          <w:p>
            <w:pPr>
              <w:jc w:val="left"/>
            </w:pPr>
            <w:r>
              <w:rPr>
                <w:sz w:val="18"/>
                <w:szCs w:val="18"/>
              </w:rPr>
              <w:t xml:space="preserve">Principle 6 · Scope 3 GHG emissions (freight share)</w:t>
            </w:r>
          </w:p>
        </w:tc>
        <w:tc>
          <w:tcPr>
            <w:tcW w:type="pct" w:w="22%"/>
            <w:tcMar>
              <w:top w:type="dxa" w:w="60"/>
              <w:left w:type="dxa" w:w="100"/>
              <w:bottom w:type="dxa" w:w="60"/>
              <w:right w:type="dxa" w:w="100"/>
            </w:tcMar>
          </w:tcPr>
          <w:p>
            <w:pPr>
              <w:jc w:val="left"/>
            </w:pPr>
            <w:r>
              <w:rPr>
                <w:sz w:val="18"/>
                <w:szCs w:val="18"/>
              </w:rPr>
              <w:t xml:space="preserve">332.31 t CO₂e</w:t>
            </w:r>
          </w:p>
        </w:tc>
        <w:tc>
          <w:tcPr>
            <w:tcW w:type="pct" w:w="44%"/>
            <w:tcMar>
              <w:top w:type="dxa" w:w="60"/>
              <w:left w:type="dxa" w:w="100"/>
              <w:bottom w:type="dxa" w:w="60"/>
              <w:right w:type="dxa" w:w="100"/>
            </w:tcMar>
          </w:tcPr>
          <w:p>
            <w:pPr>
              <w:jc w:val="left"/>
            </w:pPr>
            <w:r>
              <w:rPr>
                <w:sz w:val="18"/>
                <w:szCs w:val="18"/>
              </w:rPr>
              <w:t xml:space="preserve">Leadership indicator. Category 4 and Category 9 transport, well-to-wheel.</w:t>
            </w:r>
          </w:p>
        </w:tc>
      </w:tr>
      <w:tr>
        <w:tc>
          <w:tcPr>
            <w:tcW w:type="pct" w:w="34%"/>
            <w:tcMar>
              <w:top w:type="dxa" w:w="60"/>
              <w:left w:type="dxa" w:w="100"/>
              <w:bottom w:type="dxa" w:w="60"/>
              <w:right w:type="dxa" w:w="100"/>
            </w:tcMar>
          </w:tcPr>
          <w:p>
            <w:pPr>
              <w:jc w:val="left"/>
            </w:pPr>
            <w:r>
              <w:rPr>
                <w:sz w:val="18"/>
                <w:szCs w:val="18"/>
              </w:rPr>
              <w:t xml:space="preserve">Principle 6 · Scope 1 and 2 GHG emissions (own fleet share)</w:t>
            </w:r>
          </w:p>
        </w:tc>
        <w:tc>
          <w:tcPr>
            <w:tcW w:type="pct" w:w="22%"/>
            <w:tcMar>
              <w:top w:type="dxa" w:w="60"/>
              <w:left w:type="dxa" w:w="100"/>
              <w:bottom w:type="dxa" w:w="60"/>
              <w:right w:type="dxa" w:w="100"/>
            </w:tcMar>
          </w:tcPr>
          <w:p>
            <w:pPr>
              <w:jc w:val="left"/>
            </w:pPr>
            <w:r>
              <w:rPr>
                <w:sz w:val="18"/>
                <w:szCs w:val="18"/>
              </w:rPr>
              <w:t xml:space="preserve">2.21 t CO₂e</w:t>
            </w:r>
          </w:p>
        </w:tc>
        <w:tc>
          <w:tcPr>
            <w:tcW w:type="pct" w:w="44%"/>
            <w:tcMar>
              <w:top w:type="dxa" w:w="60"/>
              <w:left w:type="dxa" w:w="100"/>
              <w:bottom w:type="dxa" w:w="60"/>
              <w:right w:type="dxa" w:w="100"/>
            </w:tcMar>
          </w:tcPr>
          <w:p>
            <w:pPr>
              <w:jc w:val="left"/>
            </w:pPr>
            <w:r>
              <w:rPr>
                <w:sz w:val="18"/>
                <w:szCs w:val="18"/>
              </w:rPr>
              <w:t xml:space="preserve">Own fleet fuel (Scope 1) and electricity for own electric vehicles (Scope 2). Add to your site-level Scope 1 and 2 inventory.</w:t>
            </w:r>
          </w:p>
        </w:tc>
      </w:tr>
      <w:tr>
        <w:tc>
          <w:tcPr>
            <w:tcW w:type="pct" w:w="34%"/>
            <w:tcMar>
              <w:top w:type="dxa" w:w="60"/>
              <w:left w:type="dxa" w:w="100"/>
              <w:bottom w:type="dxa" w:w="60"/>
              <w:right w:type="dxa" w:w="100"/>
            </w:tcMar>
          </w:tcPr>
          <w:p>
            <w:pPr>
              <w:jc w:val="left"/>
            </w:pPr>
            <w:r>
              <w:rPr>
                <w:sz w:val="18"/>
                <w:szCs w:val="18"/>
              </w:rPr>
              <w:t xml:space="preserve">Freight emission intensity</w:t>
            </w:r>
          </w:p>
        </w:tc>
        <w:tc>
          <w:tcPr>
            <w:tcW w:type="pct" w:w="22%"/>
            <w:tcMar>
              <w:top w:type="dxa" w:w="60"/>
              <w:left w:type="dxa" w:w="100"/>
              <w:bottom w:type="dxa" w:w="60"/>
              <w:right w:type="dxa" w:w="100"/>
            </w:tcMar>
          </w:tcPr>
          <w:p>
            <w:pPr>
              <w:jc w:val="left"/>
            </w:pPr>
            <w:r>
              <w:rPr>
                <w:sz w:val="18"/>
                <w:szCs w:val="18"/>
              </w:rPr>
              <w:t xml:space="preserve">23.0 g CO₂e per tonne-km</w:t>
            </w:r>
          </w:p>
        </w:tc>
        <w:tc>
          <w:tcPr>
            <w:tcW w:type="pct" w:w="44%"/>
            <w:tcMar>
              <w:top w:type="dxa" w:w="60"/>
              <w:left w:type="dxa" w:w="100"/>
              <w:bottom w:type="dxa" w:w="60"/>
              <w:right w:type="dxa" w:w="100"/>
            </w:tcMar>
          </w:tcPr>
          <w:p>
            <w:pPr>
              <w:jc w:val="left"/>
            </w:pPr>
            <w:r>
              <w:rPr>
                <w:sz w:val="18"/>
                <w:szCs w:val="18"/>
              </w:rPr>
              <w:t xml:space="preserve">Physical intensity for year-on-year comparison.</w:t>
            </w:r>
          </w:p>
        </w:tc>
      </w:tr>
      <w:tr>
        <w:tc>
          <w:tcPr>
            <w:tcW w:type="pct" w:w="34%"/>
            <w:tcMar>
              <w:top w:type="dxa" w:w="60"/>
              <w:left w:type="dxa" w:w="100"/>
              <w:bottom w:type="dxa" w:w="60"/>
              <w:right w:type="dxa" w:w="100"/>
            </w:tcMar>
          </w:tcPr>
          <w:p>
            <w:pPr>
              <w:jc w:val="left"/>
            </w:pPr>
            <w:r>
              <w:rPr>
                <w:sz w:val="18"/>
                <w:szCs w:val="18"/>
              </w:rPr>
              <w:t xml:space="preserve">Freight emissions per ₹ crore of revenue</w:t>
            </w:r>
          </w:p>
        </w:tc>
        <w:tc>
          <w:tcPr>
            <w:tcW w:type="pct" w:w="22%"/>
            <w:tcMar>
              <w:top w:type="dxa" w:w="60"/>
              <w:left w:type="dxa" w:w="100"/>
              <w:bottom w:type="dxa" w:w="60"/>
              <w:right w:type="dxa" w:w="100"/>
            </w:tcMar>
          </w:tcPr>
          <w:p>
            <w:pPr>
              <w:jc w:val="left"/>
            </w:pPr>
            <w:r>
              <w:rPr>
                <w:sz w:val="18"/>
                <w:szCs w:val="18"/>
              </w:rPr>
              <w:t xml:space="preserve">0.027 t CO₂e</w:t>
            </w:r>
          </w:p>
        </w:tc>
        <w:tc>
          <w:tcPr>
            <w:tcW w:type="pct" w:w="44%"/>
            <w:tcMar>
              <w:top w:type="dxa" w:w="60"/>
              <w:left w:type="dxa" w:w="100"/>
              <w:bottom w:type="dxa" w:w="60"/>
              <w:right w:type="dxa" w:w="100"/>
            </w:tcMar>
          </w:tcPr>
          <w:p>
            <w:pPr>
              <w:jc w:val="left"/>
            </w:pPr>
            <w:r>
              <w:rPr>
                <w:sz w:val="18"/>
                <w:szCs w:val="18"/>
              </w:rPr>
              <w:t xml:space="preserve">Revenue entered in Settings: ₹12,500 crore.</w:t>
            </w:r>
          </w:p>
        </w:tc>
      </w:tr>
      <w:tr>
        <w:tc>
          <w:tcPr>
            <w:tcW w:type="pct" w:w="34%"/>
            <w:tcMar>
              <w:top w:type="dxa" w:w="60"/>
              <w:left w:type="dxa" w:w="100"/>
              <w:bottom w:type="dxa" w:w="60"/>
              <w:right w:type="dxa" w:w="100"/>
            </w:tcMar>
          </w:tcPr>
          <w:p>
            <w:pPr>
              <w:jc w:val="left"/>
            </w:pPr>
            <w:r>
              <w:rPr>
                <w:sz w:val="18"/>
                <w:szCs w:val="18"/>
              </w:rPr>
              <w:t xml:space="preserve">Methodology</w:t>
            </w:r>
          </w:p>
        </w:tc>
        <w:tc>
          <w:tcPr>
            <w:tcW w:type="pct" w:w="22%"/>
            <w:tcMar>
              <w:top w:type="dxa" w:w="60"/>
              <w:left w:type="dxa" w:w="100"/>
              <w:bottom w:type="dxa" w:w="60"/>
              <w:right w:type="dxa" w:w="100"/>
            </w:tcMar>
          </w:tcPr>
          <w:p>
            <w:pPr>
              <w:jc w:val="left"/>
            </w:pPr>
            <w:r>
              <w:rPr>
                <w:sz w:val="18"/>
                <w:szCs w:val="18"/>
              </w:rPr>
              <w:t xml:space="preserve">TEMT factors</w:t>
            </w:r>
          </w:p>
        </w:tc>
        <w:tc>
          <w:tcPr>
            <w:tcW w:type="pct" w:w="44%"/>
            <w:tcMar>
              <w:top w:type="dxa" w:w="60"/>
              <w:left w:type="dxa" w:w="100"/>
              <w:bottom w:type="dxa" w:w="60"/>
              <w:right w:type="dxa" w:w="100"/>
            </w:tcMar>
          </w:tcPr>
          <w:p>
            <w:pPr>
              <w:jc w:val="left"/>
            </w:pPr>
            <w:r>
              <w:rPr>
                <w:sz w:val="18"/>
                <w:szCs w:val="18"/>
              </w:rPr>
              <w:t xml:space="preserve">ISO 14083-aligned; factor sources listed in the methodology section.</w:t>
            </w:r>
          </w:p>
        </w:tc>
      </w:tr>
    </w:tbl>
    <w:p>
      <w:pPr>
        <w:pStyle w:val="Heading1"/>
        <w:spacing w:after="120" w:before="360"/>
      </w:pPr>
      <w:r>
        <w:rPr>
          <w:color w:val="740000"/>
        </w:rPr>
        <w:t xml:space="preserve">Methodology</w:t>
      </w:r>
    </w:p>
    <w:p>
      <w:pPr>
        <w:spacing w:after="120"/>
      </w:pPr>
      <w:r>
        <w:rPr>
          <w:b/>
          <w:bCs/>
        </w:rPr>
        <w:t xml:space="preserve">TEMT emission factors</w:t>
      </w:r>
    </w:p>
    <w:p>
      <w:pPr>
        <w:spacing w:after="120"/>
      </w:pPr>
      <w:r>
        <w:t xml:space="preserve">TEMT's India-specific emission factors, validated through its ISO 14083 certification. Where TEMT does not publish its own value, such as container trade lanes, inland waterways and most hub operations, the ISO 14083-aligned GLEC Framework v3.2 default is used.</w:t>
      </w:r>
    </w:p>
    <w:p>
      <w:pPr>
        <w:pStyle w:val="ListParagraph"/>
        <w:numPr>
          <w:ilvl w:val="0"/>
          <w:numId w:val="1"/>
        </w:numPr>
        <w:spacing w:after="80"/>
      </w:pPr>
      <w:r>
        <w:t xml:space="preserve">This selection includes 169 synthetic sample shipments generated for demonstration. They are not the organisation's actual freight.</w:t>
      </w:r>
    </w:p>
    <w:p>
      <w:pPr>
        <w:pStyle w:val="ListParagraph"/>
        <w:numPr>
          <w:ilvl w:val="0"/>
          <w:numId w:val="1"/>
        </w:numPr>
        <w:spacing w:after="80"/>
      </w:pPr>
      <w:r>
        <w:t xml:space="preserve">Emissions are reported well-to-wheel (WTW) in kg or tonnes CO₂e, split into tank-to-wheel (vehicle operation), well-to-tank (energy provision) and hub operations, following ISO 14083:2023 with TEMT's India-specific emission factors.</w:t>
      </w:r>
    </w:p>
    <w:p>
      <w:pPr>
        <w:pStyle w:val="ListParagraph"/>
        <w:numPr>
          <w:ilvl w:val="0"/>
          <w:numId w:val="1"/>
        </w:numPr>
        <w:spacing w:after="80"/>
      </w:pPr>
      <w:r>
        <w:t xml:space="preserve">Default factors are estimates for typical operations. Replace them with primary fuel or energy data from carriers where available.</w:t>
      </w:r>
    </w:p>
    <w:p>
      <w:pPr>
        <w:pStyle w:val="ListParagraph"/>
        <w:numPr>
          <w:ilvl w:val="0"/>
          <w:numId w:val="1"/>
        </w:numPr>
        <w:spacing w:after="80"/>
      </w:pPr>
      <w:r>
        <w:t xml:space="preserve">Distance type follows ISO 14083: road, rail, waterway and sea legs use the shortest feasible distance (SFD), estimated unless an actual distance was supplied; air legs use the great-circle distance (GCD) with the standard routing allowance.</w:t>
      </w:r>
    </w:p>
    <w:p>
      <w:pPr>
        <w:pStyle w:val="ListParagraph"/>
        <w:numPr>
          <w:ilvl w:val="0"/>
          <w:numId w:val="1"/>
        </w:numPr>
        <w:spacing w:after="80"/>
      </w:pPr>
      <w:r>
        <w:t xml:space="preserve">Scope classification follows the GHG Protocol: own fleet → Scope 1/2; purchased transport → Scope 3 Category 4; customer-paid downstream transport → Scope 3 Category 9.</w:t>
      </w:r>
    </w:p>
    <w:p>
      <w:pPr>
        <w:pStyle w:val="ListParagraph"/>
        <w:numPr>
          <w:ilvl w:val="0"/>
          <w:numId w:val="1"/>
        </w:numPr>
        <w:spacing w:after="80"/>
      </w:pPr>
      <w:r>
        <w:t xml:space="preserve">TEMT is certified to ISO 14083 (December 2024) and its information security to ISO/IEC 27001:2022.</w:t>
      </w:r>
    </w:p>
    <w:p>
      <w:pPr>
        <w:pStyle w:val="Heading2"/>
        <w:spacing w:after="120" w:before="240"/>
      </w:pPr>
      <w:r>
        <w:rPr>
          <w:color w:val="1C1917"/>
        </w:rPr>
        <w:t xml:space="preserve">Factors used</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gridCol w:w="100"/>
      </w:tblGrid>
      <w:tr>
        <w:trPr>
          <w:tblHeader/>
        </w:trPr>
        <w:tc>
          <w:tcPr>
            <w:tcW w:type="pct" w:w="36%"/>
            <w:shd w:fill="B12322" w:color="auto" w:val="clear"/>
            <w:tcMar>
              <w:top w:type="dxa" w:w="60"/>
              <w:left w:type="dxa" w:w="100"/>
              <w:bottom w:type="dxa" w:w="60"/>
              <w:right w:type="dxa" w:w="100"/>
            </w:tcMar>
          </w:tcPr>
          <w:p>
            <w:pPr>
              <w:jc w:val="left"/>
            </w:pPr>
            <w:r>
              <w:rPr>
                <w:b/>
                <w:bCs/>
                <w:color w:val="FFFFFF"/>
                <w:sz w:val="18"/>
                <w:szCs w:val="18"/>
              </w:rPr>
              <w:t xml:space="preserve">Factor</w:t>
            </w:r>
          </w:p>
        </w:tc>
        <w:tc>
          <w:tcPr>
            <w:tcW w:type="pct" w:w="10%"/>
            <w:shd w:fill="B12322" w:color="auto" w:val="clear"/>
            <w:tcMar>
              <w:top w:type="dxa" w:w="60"/>
              <w:left w:type="dxa" w:w="100"/>
              <w:bottom w:type="dxa" w:w="60"/>
              <w:right w:type="dxa" w:w="100"/>
            </w:tcMar>
          </w:tcPr>
          <w:p>
            <w:pPr>
              <w:jc w:val="right"/>
            </w:pPr>
            <w:r>
              <w:rPr>
                <w:b/>
                <w:bCs/>
                <w:color w:val="FFFFFF"/>
                <w:sz w:val="18"/>
                <w:szCs w:val="18"/>
              </w:rPr>
              <w:t xml:space="preserve">WTT</w:t>
            </w:r>
          </w:p>
        </w:tc>
        <w:tc>
          <w:tcPr>
            <w:tcW w:type="pct" w:w="10%"/>
            <w:shd w:fill="B12322" w:color="auto" w:val="clear"/>
            <w:tcMar>
              <w:top w:type="dxa" w:w="60"/>
              <w:left w:type="dxa" w:w="100"/>
              <w:bottom w:type="dxa" w:w="60"/>
              <w:right w:type="dxa" w:w="100"/>
            </w:tcMar>
          </w:tcPr>
          <w:p>
            <w:pPr>
              <w:jc w:val="right"/>
            </w:pPr>
            <w:r>
              <w:rPr>
                <w:b/>
                <w:bCs/>
                <w:color w:val="FFFFFF"/>
                <w:sz w:val="18"/>
                <w:szCs w:val="18"/>
              </w:rPr>
              <w:t xml:space="preserve">TTW</w:t>
            </w:r>
          </w:p>
        </w:tc>
        <w:tc>
          <w:tcPr>
            <w:tcW w:type="pct" w:w="14%"/>
            <w:shd w:fill="B12322" w:color="auto" w:val="clear"/>
            <w:tcMar>
              <w:top w:type="dxa" w:w="60"/>
              <w:left w:type="dxa" w:w="100"/>
              <w:bottom w:type="dxa" w:w="60"/>
              <w:right w:type="dxa" w:w="100"/>
            </w:tcMar>
          </w:tcPr>
          <w:p>
            <w:pPr>
              <w:jc w:val="right"/>
            </w:pPr>
            <w:r>
              <w:rPr>
                <w:b/>
                <w:bCs/>
                <w:color w:val="FFFFFF"/>
                <w:sz w:val="18"/>
                <w:szCs w:val="18"/>
              </w:rPr>
              <w:t xml:space="preserve">Unit</w:t>
            </w:r>
          </w:p>
        </w:tc>
        <w:tc>
          <w:tcPr>
            <w:tcW w:type="pct" w:w="30%"/>
            <w:shd w:fill="B12322" w:color="auto" w:val="clear"/>
            <w:tcMar>
              <w:top w:type="dxa" w:w="60"/>
              <w:left w:type="dxa" w:w="100"/>
              <w:bottom w:type="dxa" w:w="60"/>
              <w:right w:type="dxa" w:w="100"/>
            </w:tcMar>
          </w:tcPr>
          <w:p>
            <w:pPr>
              <w:jc w:val="right"/>
            </w:pPr>
            <w:r>
              <w:rPr>
                <w:b/>
                <w:bCs/>
                <w:color w:val="FFFFFF"/>
                <w:sz w:val="18"/>
                <w:szCs w:val="18"/>
              </w:rPr>
              <w:t xml:space="preserve">Source</w:t>
            </w:r>
          </w:p>
        </w:tc>
      </w:tr>
      <w:tr>
        <w:tc>
          <w:tcPr>
            <w:tcW w:type="pct" w:w="36%"/>
            <w:tcMar>
              <w:top w:type="dxa" w:w="60"/>
              <w:left w:type="dxa" w:w="100"/>
              <w:bottom w:type="dxa" w:w="60"/>
              <w:right w:type="dxa" w:w="100"/>
            </w:tcMar>
          </w:tcPr>
          <w:p>
            <w:pPr>
              <w:jc w:val="left"/>
            </w:pPr>
            <w:r>
              <w:rPr>
                <w:sz w:val="18"/>
                <w:szCs w:val="18"/>
              </w:rPr>
              <w:t xml:space="preserve">Multi-axle heavy truck, 30–50 t GVW, diesel</w:t>
            </w:r>
          </w:p>
        </w:tc>
        <w:tc>
          <w:tcPr>
            <w:tcW w:type="pct" w:w="10%"/>
            <w:tcMar>
              <w:top w:type="dxa" w:w="60"/>
              <w:left w:type="dxa" w:w="100"/>
              <w:bottom w:type="dxa" w:w="60"/>
              <w:right w:type="dxa" w:w="100"/>
            </w:tcMar>
          </w:tcPr>
          <w:p>
            <w:pPr>
              <w:jc w:val="right"/>
            </w:pPr>
            <w:r>
              <w:rPr>
                <w:sz w:val="18"/>
                <w:szCs w:val="18"/>
              </w:rPr>
              <w:t xml:space="preserve">0.014</w:t>
            </w:r>
          </w:p>
        </w:tc>
        <w:tc>
          <w:tcPr>
            <w:tcW w:type="pct" w:w="10%"/>
            <w:tcMar>
              <w:top w:type="dxa" w:w="60"/>
              <w:left w:type="dxa" w:w="100"/>
              <w:bottom w:type="dxa" w:w="60"/>
              <w:right w:type="dxa" w:w="100"/>
            </w:tcMar>
          </w:tcPr>
          <w:p>
            <w:pPr>
              <w:jc w:val="right"/>
            </w:pPr>
            <w:r>
              <w:rPr>
                <w:sz w:val="18"/>
                <w:szCs w:val="18"/>
              </w:rPr>
              <w:t xml:space="preserve">0.048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Heavy rigid truck, 20–30 t GVW, diesel</w:t>
            </w:r>
          </w:p>
        </w:tc>
        <w:tc>
          <w:tcPr>
            <w:tcW w:type="pct" w:w="10%"/>
            <w:tcMar>
              <w:top w:type="dxa" w:w="60"/>
              <w:left w:type="dxa" w:w="100"/>
              <w:bottom w:type="dxa" w:w="60"/>
              <w:right w:type="dxa" w:w="100"/>
            </w:tcMar>
          </w:tcPr>
          <w:p>
            <w:pPr>
              <w:jc w:val="right"/>
            </w:pPr>
            <w:r>
              <w:rPr>
                <w:sz w:val="18"/>
                <w:szCs w:val="18"/>
              </w:rPr>
              <w:t xml:space="preserve">0.023</w:t>
            </w:r>
          </w:p>
        </w:tc>
        <w:tc>
          <w:tcPr>
            <w:tcW w:type="pct" w:w="10%"/>
            <w:tcMar>
              <w:top w:type="dxa" w:w="60"/>
              <w:left w:type="dxa" w:w="100"/>
              <w:bottom w:type="dxa" w:w="60"/>
              <w:right w:type="dxa" w:w="100"/>
            </w:tcMar>
          </w:tcPr>
          <w:p>
            <w:pPr>
              <w:jc w:val="right"/>
            </w:pPr>
            <w:r>
              <w:rPr>
                <w:sz w:val="18"/>
                <w:szCs w:val="18"/>
              </w:rPr>
              <w:t xml:space="preserve">0.077</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Indian Railways average, mixed diesel/electric traction</w:t>
            </w:r>
          </w:p>
        </w:tc>
        <w:tc>
          <w:tcPr>
            <w:tcW w:type="pct" w:w="10%"/>
            <w:tcMar>
              <w:top w:type="dxa" w:w="60"/>
              <w:left w:type="dxa" w:w="100"/>
              <w:bottom w:type="dxa" w:w="60"/>
              <w:right w:type="dxa" w:w="100"/>
            </w:tcMar>
          </w:tcPr>
          <w:p>
            <w:pPr>
              <w:jc w:val="right"/>
            </w:pPr>
            <w:r>
              <w:rPr>
                <w:sz w:val="18"/>
                <w:szCs w:val="18"/>
              </w:rPr>
              <w:t xml:space="preserve">0.0062</w:t>
            </w:r>
          </w:p>
        </w:tc>
        <w:tc>
          <w:tcPr>
            <w:tcW w:type="pct" w:w="10%"/>
            <w:tcMar>
              <w:top w:type="dxa" w:w="60"/>
              <w:left w:type="dxa" w:w="100"/>
              <w:bottom w:type="dxa" w:w="60"/>
              <w:right w:type="dxa" w:w="100"/>
            </w:tcMar>
          </w:tcPr>
          <w:p>
            <w:pPr>
              <w:jc w:val="right"/>
            </w:pPr>
            <w:r>
              <w:rPr>
                <w:sz w:val="18"/>
                <w:szCs w:val="18"/>
              </w:rPr>
              <w:t xml:space="preserve">0.0041</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Rail default</w:t>
            </w:r>
          </w:p>
        </w:tc>
      </w:tr>
      <w:tr>
        <w:tc>
          <w:tcPr>
            <w:tcW w:type="pct" w:w="36%"/>
            <w:tcMar>
              <w:top w:type="dxa" w:w="60"/>
              <w:left w:type="dxa" w:w="100"/>
              <w:bottom w:type="dxa" w:w="60"/>
              <w:right w:type="dxa" w:w="100"/>
            </w:tcMar>
          </w:tcPr>
          <w:p>
            <w:pPr>
              <w:jc w:val="left"/>
            </w:pPr>
            <w:r>
              <w:rPr>
                <w:sz w:val="18"/>
                <w:szCs w:val="18"/>
              </w:rPr>
              <w:t xml:space="preserve">Tractor-trailer, 30–60 t GVW, diesel</w:t>
            </w:r>
          </w:p>
        </w:tc>
        <w:tc>
          <w:tcPr>
            <w:tcW w:type="pct" w:w="10%"/>
            <w:tcMar>
              <w:top w:type="dxa" w:w="60"/>
              <w:left w:type="dxa" w:w="100"/>
              <w:bottom w:type="dxa" w:w="60"/>
              <w:right w:type="dxa" w:w="100"/>
            </w:tcMar>
          </w:tcPr>
          <w:p>
            <w:pPr>
              <w:jc w:val="right"/>
            </w:pPr>
            <w:r>
              <w:rPr>
                <w:sz w:val="18"/>
                <w:szCs w:val="18"/>
              </w:rPr>
              <w:t xml:space="preserve">0.013</w:t>
            </w:r>
          </w:p>
        </w:tc>
        <w:tc>
          <w:tcPr>
            <w:tcW w:type="pct" w:w="10%"/>
            <w:tcMar>
              <w:top w:type="dxa" w:w="60"/>
              <w:left w:type="dxa" w:w="100"/>
              <w:bottom w:type="dxa" w:w="60"/>
              <w:right w:type="dxa" w:w="100"/>
            </w:tcMar>
          </w:tcPr>
          <w:p>
            <w:pPr>
              <w:jc w:val="right"/>
            </w:pPr>
            <w:r>
              <w:rPr>
                <w:sz w:val="18"/>
                <w:szCs w:val="18"/>
              </w:rPr>
              <w:t xml:space="preserve">0.043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Medium rigid truck, 12–20 t GVW, diesel</w:t>
            </w:r>
          </w:p>
        </w:tc>
        <w:tc>
          <w:tcPr>
            <w:tcW w:type="pct" w:w="10%"/>
            <w:tcMar>
              <w:top w:type="dxa" w:w="60"/>
              <w:left w:type="dxa" w:w="100"/>
              <w:bottom w:type="dxa" w:w="60"/>
              <w:right w:type="dxa" w:w="100"/>
            </w:tcMar>
          </w:tcPr>
          <w:p>
            <w:pPr>
              <w:jc w:val="right"/>
            </w:pPr>
            <w:r>
              <w:rPr>
                <w:sz w:val="18"/>
                <w:szCs w:val="18"/>
              </w:rPr>
              <w:t xml:space="preserve">0.019</w:t>
            </w:r>
          </w:p>
        </w:tc>
        <w:tc>
          <w:tcPr>
            <w:tcW w:type="pct" w:w="10%"/>
            <w:tcMar>
              <w:top w:type="dxa" w:w="60"/>
              <w:left w:type="dxa" w:w="100"/>
              <w:bottom w:type="dxa" w:w="60"/>
              <w:right w:type="dxa" w:w="100"/>
            </w:tcMar>
          </w:tcPr>
          <w:p>
            <w:pPr>
              <w:jc w:val="right"/>
            </w:pPr>
            <w:r>
              <w:rPr>
                <w:sz w:val="18"/>
                <w:szCs w:val="18"/>
              </w:rPr>
              <w:t xml:space="preserve">0.063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Courier first-mile default</w:t>
            </w:r>
          </w:p>
        </w:tc>
        <w:tc>
          <w:tcPr>
            <w:tcW w:type="pct" w:w="10%"/>
            <w:tcMar>
              <w:top w:type="dxa" w:w="60"/>
              <w:left w:type="dxa" w:w="100"/>
              <w:bottom w:type="dxa" w:w="60"/>
              <w:right w:type="dxa" w:w="100"/>
            </w:tcMar>
          </w:tcPr>
          <w:p>
            <w:pPr>
              <w:jc w:val="right"/>
            </w:pPr>
            <w:r>
              <w:rPr>
                <w:sz w:val="18"/>
                <w:szCs w:val="18"/>
              </w:rPr>
              <w:t xml:space="preserve">0.067</w:t>
            </w:r>
          </w:p>
        </w:tc>
        <w:tc>
          <w:tcPr>
            <w:tcW w:type="pct" w:w="10%"/>
            <w:tcMar>
              <w:top w:type="dxa" w:w="60"/>
              <w:left w:type="dxa" w:w="100"/>
              <w:bottom w:type="dxa" w:w="60"/>
              <w:right w:type="dxa" w:w="100"/>
            </w:tcMar>
          </w:tcPr>
          <w:p>
            <w:pPr>
              <w:jc w:val="right"/>
            </w:pPr>
            <w:r>
              <w:rPr>
                <w:sz w:val="18"/>
                <w:szCs w:val="18"/>
              </w:rPr>
              <w:t xml:space="preserve">0.224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first-mile default</w:t>
            </w:r>
          </w:p>
        </w:tc>
      </w:tr>
      <w:tr>
        <w:tc>
          <w:tcPr>
            <w:tcW w:type="pct" w:w="36%"/>
            <w:tcMar>
              <w:top w:type="dxa" w:w="60"/>
              <w:left w:type="dxa" w:w="100"/>
              <w:bottom w:type="dxa" w:w="60"/>
              <w:right w:type="dxa" w:w="100"/>
            </w:tcMar>
          </w:tcPr>
          <w:p>
            <w:pPr>
              <w:jc w:val="left"/>
            </w:pPr>
            <w:r>
              <w:rPr>
                <w:sz w:val="18"/>
                <w:szCs w:val="18"/>
              </w:rPr>
              <w:t xml:space="preserve">Courier mid-mile default</w:t>
            </w:r>
          </w:p>
        </w:tc>
        <w:tc>
          <w:tcPr>
            <w:tcW w:type="pct" w:w="10%"/>
            <w:tcMar>
              <w:top w:type="dxa" w:w="60"/>
              <w:left w:type="dxa" w:w="100"/>
              <w:bottom w:type="dxa" w:w="60"/>
              <w:right w:type="dxa" w:w="100"/>
            </w:tcMar>
          </w:tcPr>
          <w:p>
            <w:pPr>
              <w:jc w:val="right"/>
            </w:pPr>
            <w:r>
              <w:rPr>
                <w:sz w:val="18"/>
                <w:szCs w:val="18"/>
              </w:rPr>
              <w:t xml:space="preserve">0.019</w:t>
            </w:r>
          </w:p>
        </w:tc>
        <w:tc>
          <w:tcPr>
            <w:tcW w:type="pct" w:w="10%"/>
            <w:tcMar>
              <w:top w:type="dxa" w:w="60"/>
              <w:left w:type="dxa" w:w="100"/>
              <w:bottom w:type="dxa" w:w="60"/>
              <w:right w:type="dxa" w:w="100"/>
            </w:tcMar>
          </w:tcPr>
          <w:p>
            <w:pPr>
              <w:jc w:val="right"/>
            </w:pPr>
            <w:r>
              <w:rPr>
                <w:sz w:val="18"/>
                <w:szCs w:val="18"/>
              </w:rPr>
              <w:t xml:space="preserve">0.063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mid-mile default</w:t>
            </w:r>
          </w:p>
        </w:tc>
      </w:tr>
      <w:tr>
        <w:tc>
          <w:tcPr>
            <w:tcW w:type="pct" w:w="36%"/>
            <w:tcMar>
              <w:top w:type="dxa" w:w="60"/>
              <w:left w:type="dxa" w:w="100"/>
              <w:bottom w:type="dxa" w:w="60"/>
              <w:right w:type="dxa" w:w="100"/>
            </w:tcMar>
          </w:tcPr>
          <w:p>
            <w:pPr>
              <w:jc w:val="left"/>
            </w:pPr>
            <w:r>
              <w:rPr>
                <w:sz w:val="18"/>
                <w:szCs w:val="18"/>
              </w:rPr>
              <w:t xml:space="preserve">Courier last-mile default</w:t>
            </w:r>
          </w:p>
        </w:tc>
        <w:tc>
          <w:tcPr>
            <w:tcW w:type="pct" w:w="10%"/>
            <w:tcMar>
              <w:top w:type="dxa" w:w="60"/>
              <w:left w:type="dxa" w:w="100"/>
              <w:bottom w:type="dxa" w:w="60"/>
              <w:right w:type="dxa" w:w="100"/>
            </w:tcMar>
          </w:tcPr>
          <w:p>
            <w:pPr>
              <w:jc w:val="right"/>
            </w:pPr>
            <w:r>
              <w:rPr>
                <w:sz w:val="18"/>
                <w:szCs w:val="18"/>
              </w:rPr>
              <w:t xml:space="preserve">0.067</w:t>
            </w:r>
          </w:p>
        </w:tc>
        <w:tc>
          <w:tcPr>
            <w:tcW w:type="pct" w:w="10%"/>
            <w:tcMar>
              <w:top w:type="dxa" w:w="60"/>
              <w:left w:type="dxa" w:w="100"/>
              <w:bottom w:type="dxa" w:w="60"/>
              <w:right w:type="dxa" w:w="100"/>
            </w:tcMar>
          </w:tcPr>
          <w:p>
            <w:pPr>
              <w:jc w:val="right"/>
            </w:pPr>
            <w:r>
              <w:rPr>
                <w:sz w:val="18"/>
                <w:szCs w:val="18"/>
              </w:rPr>
              <w:t xml:space="preserve">0.224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last-mile default</w:t>
            </w:r>
          </w:p>
        </w:tc>
      </w:tr>
      <w:tr>
        <w:tc>
          <w:tcPr>
            <w:tcW w:type="pct" w:w="36%"/>
            <w:tcMar>
              <w:top w:type="dxa" w:w="60"/>
              <w:left w:type="dxa" w:w="100"/>
              <w:bottom w:type="dxa" w:w="60"/>
              <w:right w:type="dxa" w:w="100"/>
            </w:tcMar>
          </w:tcPr>
          <w:p>
            <w:pPr>
              <w:jc w:val="left"/>
            </w:pPr>
            <w:r>
              <w:rPr>
                <w:sz w:val="18"/>
                <w:szCs w:val="18"/>
              </w:rPr>
              <w:t xml:space="preserve">Container, Intra Middle East / India (coastal and regional), dry</w:t>
            </w:r>
          </w:p>
        </w:tc>
        <w:tc>
          <w:tcPr>
            <w:tcW w:type="pct" w:w="10%"/>
            <w:tcMar>
              <w:top w:type="dxa" w:w="60"/>
              <w:left w:type="dxa" w:w="100"/>
              <w:bottom w:type="dxa" w:w="60"/>
              <w:right w:type="dxa" w:w="100"/>
            </w:tcMar>
          </w:tcPr>
          <w:p>
            <w:pPr>
              <w:jc w:val="right"/>
            </w:pPr>
            <w:r>
              <w:rPr>
                <w:sz w:val="18"/>
                <w:szCs w:val="18"/>
              </w:rPr>
              <w:t xml:space="preserve">0.00141</w:t>
            </w:r>
          </w:p>
        </w:tc>
        <w:tc>
          <w:tcPr>
            <w:tcW w:type="pct" w:w="10%"/>
            <w:tcMar>
              <w:top w:type="dxa" w:w="60"/>
              <w:left w:type="dxa" w:w="100"/>
              <w:bottom w:type="dxa" w:w="60"/>
              <w:right w:type="dxa" w:w="100"/>
            </w:tcMar>
          </w:tcPr>
          <w:p>
            <w:pPr>
              <w:jc w:val="right"/>
            </w:pPr>
            <w:r>
              <w:rPr>
                <w:sz w:val="18"/>
                <w:szCs w:val="18"/>
              </w:rPr>
              <w:t xml:space="preserve">0.00648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Intermediate rigid truck, 5–12 t GVW, diesel</w:t>
            </w:r>
          </w:p>
        </w:tc>
        <w:tc>
          <w:tcPr>
            <w:tcW w:type="pct" w:w="10%"/>
            <w:tcMar>
              <w:top w:type="dxa" w:w="60"/>
              <w:left w:type="dxa" w:w="100"/>
              <w:bottom w:type="dxa" w:w="60"/>
              <w:right w:type="dxa" w:w="100"/>
            </w:tcMar>
          </w:tcPr>
          <w:p>
            <w:pPr>
              <w:jc w:val="right"/>
            </w:pPr>
            <w:r>
              <w:rPr>
                <w:sz w:val="18"/>
                <w:szCs w:val="18"/>
              </w:rPr>
              <w:t xml:space="preserve">0.027</w:t>
            </w:r>
          </w:p>
        </w:tc>
        <w:tc>
          <w:tcPr>
            <w:tcW w:type="pct" w:w="10%"/>
            <w:tcMar>
              <w:top w:type="dxa" w:w="60"/>
              <w:left w:type="dxa" w:w="100"/>
              <w:bottom w:type="dxa" w:w="60"/>
              <w:right w:type="dxa" w:w="100"/>
            </w:tcMar>
          </w:tcPr>
          <w:p>
            <w:pPr>
              <w:jc w:val="right"/>
            </w:pPr>
            <w:r>
              <w:rPr>
                <w:sz w:val="18"/>
                <w:szCs w:val="18"/>
              </w:rPr>
              <w:t xml:space="preserve">0.089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Small commercial vehicle, 3–5 t GVW, diesel</w:t>
            </w:r>
          </w:p>
        </w:tc>
        <w:tc>
          <w:tcPr>
            <w:tcW w:type="pct" w:w="10%"/>
            <w:tcMar>
              <w:top w:type="dxa" w:w="60"/>
              <w:left w:type="dxa" w:w="100"/>
              <w:bottom w:type="dxa" w:w="60"/>
              <w:right w:type="dxa" w:w="100"/>
            </w:tcMar>
          </w:tcPr>
          <w:p>
            <w:pPr>
              <w:jc w:val="right"/>
            </w:pPr>
            <w:r>
              <w:rPr>
                <w:sz w:val="18"/>
                <w:szCs w:val="18"/>
              </w:rPr>
              <w:t xml:space="preserve">0.041</w:t>
            </w:r>
          </w:p>
        </w:tc>
        <w:tc>
          <w:tcPr>
            <w:tcW w:type="pct" w:w="10%"/>
            <w:tcMar>
              <w:top w:type="dxa" w:w="60"/>
              <w:left w:type="dxa" w:w="100"/>
              <w:bottom w:type="dxa" w:w="60"/>
              <w:right w:type="dxa" w:w="100"/>
            </w:tcMar>
          </w:tcPr>
          <w:p>
            <w:pPr>
              <w:jc w:val="right"/>
            </w:pPr>
            <w:r>
              <w:rPr>
                <w:sz w:val="18"/>
                <w:szCs w:val="18"/>
              </w:rPr>
              <w:t xml:space="preserve">0.138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Diesel (HSD)</w:t>
            </w:r>
          </w:p>
        </w:tc>
        <w:tc>
          <w:tcPr>
            <w:tcW w:type="pct" w:w="10%"/>
            <w:tcMar>
              <w:top w:type="dxa" w:w="60"/>
              <w:left w:type="dxa" w:w="100"/>
              <w:bottom w:type="dxa" w:w="60"/>
              <w:right w:type="dxa" w:w="100"/>
            </w:tcMar>
          </w:tcPr>
          <w:p>
            <w:pPr>
              <w:jc w:val="right"/>
            </w:pPr>
            <w:r>
              <w:rPr>
                <w:sz w:val="18"/>
                <w:szCs w:val="18"/>
              </w:rPr>
              <w:t xml:space="preserve">0.97</w:t>
            </w:r>
          </w:p>
        </w:tc>
        <w:tc>
          <w:tcPr>
            <w:tcW w:type="pct" w:w="10%"/>
            <w:tcMar>
              <w:top w:type="dxa" w:w="60"/>
              <w:left w:type="dxa" w:w="100"/>
              <w:bottom w:type="dxa" w:w="60"/>
              <w:right w:type="dxa" w:w="100"/>
            </w:tcMar>
          </w:tcPr>
          <w:p>
            <w:pPr>
              <w:jc w:val="right"/>
            </w:pPr>
            <w:r>
              <w:rPr>
                <w:sz w:val="18"/>
                <w:szCs w:val="18"/>
              </w:rPr>
              <w:t xml:space="preserve">3.24</w:t>
            </w:r>
          </w:p>
        </w:tc>
        <w:tc>
          <w:tcPr>
            <w:tcW w:type="pct" w:w="14%"/>
            <w:tcMar>
              <w:top w:type="dxa" w:w="60"/>
              <w:left w:type="dxa" w:w="100"/>
              <w:bottom w:type="dxa" w:w="60"/>
              <w:right w:type="dxa" w:w="100"/>
            </w:tcMar>
          </w:tcPr>
          <w:p>
            <w:pPr>
              <w:jc w:val="right"/>
            </w:pPr>
            <w:r>
              <w:rPr>
                <w:sz w:val="18"/>
                <w:szCs w:val="18"/>
              </w:rPr>
              <w:t xml:space="preserve">kg CO₂e/kg</w:t>
            </w:r>
          </w:p>
        </w:tc>
        <w:tc>
          <w:tcPr>
            <w:tcW w:type="pct" w:w="30%"/>
            <w:tcMar>
              <w:top w:type="dxa" w:w="60"/>
              <w:left w:type="dxa" w:w="100"/>
              <w:bottom w:type="dxa" w:w="60"/>
              <w:right w:type="dxa" w:w="100"/>
            </w:tcMar>
          </w:tcPr>
          <w:p>
            <w:pPr>
              <w:jc w:val="right"/>
            </w:pPr>
            <w:r>
              <w:rPr>
                <w:sz w:val="18"/>
                <w:szCs w:val="18"/>
              </w:rPr>
              <w:t xml:space="preserve">Smart Freight Centre, Module 1, Indian sources</w:t>
            </w:r>
          </w:p>
        </w:tc>
      </w:tr>
      <w:tr>
        <w:tc>
          <w:tcPr>
            <w:tcW w:type="pct" w:w="36%"/>
            <w:tcMar>
              <w:top w:type="dxa" w:w="60"/>
              <w:left w:type="dxa" w:w="100"/>
              <w:bottom w:type="dxa" w:w="60"/>
              <w:right w:type="dxa" w:w="100"/>
            </w:tcMar>
          </w:tcPr>
          <w:p>
            <w:pPr>
              <w:jc w:val="left"/>
            </w:pPr>
            <w:r>
              <w:rPr>
                <w:sz w:val="18"/>
                <w:szCs w:val="18"/>
              </w:rPr>
              <w:t xml:space="preserve">Container, Europe (North &amp; Med) ↔ Middle East / India, dry</w:t>
            </w:r>
          </w:p>
        </w:tc>
        <w:tc>
          <w:tcPr>
            <w:tcW w:type="pct" w:w="10%"/>
            <w:tcMar>
              <w:top w:type="dxa" w:w="60"/>
              <w:left w:type="dxa" w:w="100"/>
              <w:bottom w:type="dxa" w:w="60"/>
              <w:right w:type="dxa" w:w="100"/>
            </w:tcMar>
          </w:tcPr>
          <w:p>
            <w:pPr>
              <w:jc w:val="right"/>
            </w:pPr>
            <w:r>
              <w:rPr>
                <w:sz w:val="18"/>
                <w:szCs w:val="18"/>
              </w:rPr>
              <w:t xml:space="preserve">0.0013</w:t>
            </w:r>
          </w:p>
        </w:tc>
        <w:tc>
          <w:tcPr>
            <w:tcW w:type="pct" w:w="10%"/>
            <w:tcMar>
              <w:top w:type="dxa" w:w="60"/>
              <w:left w:type="dxa" w:w="100"/>
              <w:bottom w:type="dxa" w:w="60"/>
              <w:right w:type="dxa" w:w="100"/>
            </w:tcMar>
          </w:tcPr>
          <w:p>
            <w:pPr>
              <w:jc w:val="right"/>
            </w:pPr>
            <w:r>
              <w:rPr>
                <w:sz w:val="18"/>
                <w:szCs w:val="18"/>
              </w:rPr>
              <w:t xml:space="preserve">0.00604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Container, Industry average (lane unknown), dry</w:t>
            </w:r>
          </w:p>
        </w:tc>
        <w:tc>
          <w:tcPr>
            <w:tcW w:type="pct" w:w="10%"/>
            <w:tcMar>
              <w:top w:type="dxa" w:w="60"/>
              <w:left w:type="dxa" w:w="100"/>
              <w:bottom w:type="dxa" w:w="60"/>
              <w:right w:type="dxa" w:w="100"/>
            </w:tcMar>
          </w:tcPr>
          <w:p>
            <w:pPr>
              <w:jc w:val="right"/>
            </w:pPr>
            <w:r>
              <w:rPr>
                <w:sz w:val="18"/>
                <w:szCs w:val="18"/>
              </w:rPr>
              <w:t xml:space="preserve">0.00127</w:t>
            </w:r>
          </w:p>
        </w:tc>
        <w:tc>
          <w:tcPr>
            <w:tcW w:type="pct" w:w="10%"/>
            <w:tcMar>
              <w:top w:type="dxa" w:w="60"/>
              <w:left w:type="dxa" w:w="100"/>
              <w:bottom w:type="dxa" w:w="60"/>
              <w:right w:type="dxa" w:w="100"/>
            </w:tcMar>
          </w:tcPr>
          <w:p>
            <w:pPr>
              <w:jc w:val="right"/>
            </w:pPr>
            <w:r>
              <w:rPr>
                <w:sz w:val="18"/>
                <w:szCs w:val="18"/>
              </w:rPr>
              <w:t xml:space="preserve">0.0059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Intermediate rigid truck, 5–12 t GVW, CNG</w:t>
            </w:r>
          </w:p>
        </w:tc>
        <w:tc>
          <w:tcPr>
            <w:tcW w:type="pct" w:w="10%"/>
            <w:tcMar>
              <w:top w:type="dxa" w:w="60"/>
              <w:left w:type="dxa" w:w="100"/>
              <w:bottom w:type="dxa" w:w="60"/>
              <w:right w:type="dxa" w:w="100"/>
            </w:tcMar>
          </w:tcPr>
          <w:p>
            <w:pPr>
              <w:jc w:val="right"/>
            </w:pPr>
            <w:r>
              <w:rPr>
                <w:sz w:val="18"/>
                <w:szCs w:val="18"/>
              </w:rPr>
              <w:t xml:space="preserve">0.034</w:t>
            </w:r>
          </w:p>
        </w:tc>
        <w:tc>
          <w:tcPr>
            <w:tcW w:type="pct" w:w="10%"/>
            <w:tcMar>
              <w:top w:type="dxa" w:w="60"/>
              <w:left w:type="dxa" w:w="100"/>
              <w:bottom w:type="dxa" w:w="60"/>
              <w:right w:type="dxa" w:w="100"/>
            </w:tcMar>
          </w:tcPr>
          <w:p>
            <w:pPr>
              <w:jc w:val="right"/>
            </w:pPr>
            <w:r>
              <w:rPr>
                <w:sz w:val="18"/>
                <w:szCs w:val="18"/>
              </w:rPr>
              <w:t xml:space="preserve">0.083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Grid electricity, India</w:t>
            </w:r>
          </w:p>
        </w:tc>
        <w:tc>
          <w:tcPr>
            <w:tcW w:type="pct" w:w="10%"/>
            <w:tcMar>
              <w:top w:type="dxa" w:w="60"/>
              <w:left w:type="dxa" w:w="100"/>
              <w:bottom w:type="dxa" w:w="60"/>
              <w:right w:type="dxa" w:w="100"/>
            </w:tcMar>
          </w:tcPr>
          <w:p>
            <w:pPr>
              <w:jc w:val="right"/>
            </w:pPr>
            <w:r>
              <w:rPr>
                <w:sz w:val="18"/>
                <w:szCs w:val="18"/>
              </w:rPr>
              <w:t xml:space="preserve">0.71</w:t>
            </w:r>
          </w:p>
        </w:tc>
        <w:tc>
          <w:tcPr>
            <w:tcW w:type="pct" w:w="10%"/>
            <w:tcMar>
              <w:top w:type="dxa" w:w="60"/>
              <w:left w:type="dxa" w:w="100"/>
              <w:bottom w:type="dxa" w:w="60"/>
              <w:right w:type="dxa" w:w="100"/>
            </w:tcMar>
          </w:tcPr>
          <w:p>
            <w:pPr>
              <w:jc w:val="right"/>
            </w:pPr>
            <w:r>
              <w:rPr>
                <w:sz w:val="18"/>
                <w:szCs w:val="18"/>
              </w:rPr>
              <w:t xml:space="preserve">0</w:t>
            </w:r>
          </w:p>
        </w:tc>
        <w:tc>
          <w:tcPr>
            <w:tcW w:type="pct" w:w="14%"/>
            <w:tcMar>
              <w:top w:type="dxa" w:w="60"/>
              <w:left w:type="dxa" w:w="100"/>
              <w:bottom w:type="dxa" w:w="60"/>
              <w:right w:type="dxa" w:w="100"/>
            </w:tcMar>
          </w:tcPr>
          <w:p>
            <w:pPr>
              <w:jc w:val="right"/>
            </w:pPr>
            <w:r>
              <w:rPr>
                <w:sz w:val="18"/>
                <w:szCs w:val="18"/>
              </w:rPr>
              <w:t xml:space="preserve">kg CO₂e/kWh</w:t>
            </w:r>
          </w:p>
        </w:tc>
        <w:tc>
          <w:tcPr>
            <w:tcW w:type="pct" w:w="30%"/>
            <w:tcMar>
              <w:top w:type="dxa" w:w="60"/>
              <w:left w:type="dxa" w:w="100"/>
              <w:bottom w:type="dxa" w:w="60"/>
              <w:right w:type="dxa" w:w="100"/>
            </w:tcMar>
          </w:tcPr>
          <w:p>
            <w:pPr>
              <w:jc w:val="right"/>
            </w:pPr>
            <w:r>
              <w:rPr>
                <w:sz w:val="18"/>
                <w:szCs w:val="18"/>
              </w:rPr>
              <w:t xml:space="preserve">Central Electricity Authority, Ministry of Power, Weighted average, FY 2024–25</w:t>
            </w:r>
          </w:p>
        </w:tc>
      </w:tr>
      <w:tr>
        <w:tc>
          <w:tcPr>
            <w:tcW w:type="pct" w:w="36%"/>
            <w:tcMar>
              <w:top w:type="dxa" w:w="60"/>
              <w:left w:type="dxa" w:w="100"/>
              <w:bottom w:type="dxa" w:w="60"/>
              <w:right w:type="dxa" w:w="100"/>
            </w:tcMar>
          </w:tcPr>
          <w:p>
            <w:pPr>
              <w:jc w:val="left"/>
            </w:pPr>
            <w:r>
              <w:rPr>
                <w:sz w:val="18"/>
                <w:szCs w:val="18"/>
              </w:rPr>
              <w:t xml:space="preserve">Container, Intra Middle East / India (coastal and regional), dry</w:t>
            </w:r>
          </w:p>
        </w:tc>
        <w:tc>
          <w:tcPr>
            <w:tcW w:type="pct" w:w="10%"/>
            <w:tcMar>
              <w:top w:type="dxa" w:w="60"/>
              <w:left w:type="dxa" w:w="100"/>
              <w:bottom w:type="dxa" w:w="60"/>
              <w:right w:type="dxa" w:w="100"/>
            </w:tcMar>
          </w:tcPr>
          <w:p>
            <w:pPr>
              <w:jc w:val="right"/>
            </w:pPr>
            <w:r>
              <w:rPr>
                <w:sz w:val="18"/>
                <w:szCs w:val="18"/>
              </w:rPr>
              <w:t xml:space="preserve">0.00205</w:t>
            </w:r>
          </w:p>
        </w:tc>
        <w:tc>
          <w:tcPr>
            <w:tcW w:type="pct" w:w="10%"/>
            <w:tcMar>
              <w:top w:type="dxa" w:w="60"/>
              <w:left w:type="dxa" w:w="100"/>
              <w:bottom w:type="dxa" w:w="60"/>
              <w:right w:type="dxa" w:w="100"/>
            </w:tcMar>
          </w:tcPr>
          <w:p>
            <w:pPr>
              <w:jc w:val="right"/>
            </w:pPr>
            <w:r>
              <w:rPr>
                <w:sz w:val="18"/>
                <w:szCs w:val="18"/>
              </w:rPr>
              <w:t xml:space="preserve">0.0094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Container, Asia ↔ Middle East / India, dry</w:t>
            </w:r>
          </w:p>
        </w:tc>
        <w:tc>
          <w:tcPr>
            <w:tcW w:type="pct" w:w="10%"/>
            <w:tcMar>
              <w:top w:type="dxa" w:w="60"/>
              <w:left w:type="dxa" w:w="100"/>
              <w:bottom w:type="dxa" w:w="60"/>
              <w:right w:type="dxa" w:w="100"/>
            </w:tcMar>
          </w:tcPr>
          <w:p>
            <w:pPr>
              <w:jc w:val="right"/>
            </w:pPr>
            <w:r>
              <w:rPr>
                <w:sz w:val="18"/>
                <w:szCs w:val="18"/>
              </w:rPr>
              <w:t xml:space="preserve">0.00138</w:t>
            </w:r>
          </w:p>
        </w:tc>
        <w:tc>
          <w:tcPr>
            <w:tcW w:type="pct" w:w="10%"/>
            <w:tcMar>
              <w:top w:type="dxa" w:w="60"/>
              <w:left w:type="dxa" w:w="100"/>
              <w:bottom w:type="dxa" w:w="60"/>
              <w:right w:type="dxa" w:w="100"/>
            </w:tcMar>
          </w:tcPr>
          <w:p>
            <w:pPr>
              <w:jc w:val="right"/>
            </w:pPr>
            <w:r>
              <w:rPr>
                <w:sz w:val="18"/>
                <w:szCs w:val="18"/>
              </w:rPr>
              <w:t xml:space="preserve">0.00645</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Light commercial vehicle, up to 3.5 t GVW, diesel</w:t>
            </w:r>
          </w:p>
        </w:tc>
        <w:tc>
          <w:tcPr>
            <w:tcW w:type="pct" w:w="10%"/>
            <w:tcMar>
              <w:top w:type="dxa" w:w="60"/>
              <w:left w:type="dxa" w:w="100"/>
              <w:bottom w:type="dxa" w:w="60"/>
              <w:right w:type="dxa" w:w="100"/>
            </w:tcMar>
          </w:tcPr>
          <w:p>
            <w:pPr>
              <w:jc w:val="right"/>
            </w:pPr>
            <w:r>
              <w:rPr>
                <w:sz w:val="18"/>
                <w:szCs w:val="18"/>
              </w:rPr>
              <w:t xml:space="preserve">0.053</w:t>
            </w:r>
          </w:p>
        </w:tc>
        <w:tc>
          <w:tcPr>
            <w:tcW w:type="pct" w:w="10%"/>
            <w:tcMar>
              <w:top w:type="dxa" w:w="60"/>
              <w:left w:type="dxa" w:w="100"/>
              <w:bottom w:type="dxa" w:w="60"/>
              <w:right w:type="dxa" w:w="100"/>
            </w:tcMar>
          </w:tcPr>
          <w:p>
            <w:pPr>
              <w:jc w:val="right"/>
            </w:pPr>
            <w:r>
              <w:rPr>
                <w:sz w:val="18"/>
                <w:szCs w:val="18"/>
              </w:rPr>
              <w:t xml:space="preserve">0.179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Air freight, domestic</w:t>
            </w:r>
          </w:p>
        </w:tc>
        <w:tc>
          <w:tcPr>
            <w:tcW w:type="pct" w:w="10%"/>
            <w:tcMar>
              <w:top w:type="dxa" w:w="60"/>
              <w:left w:type="dxa" w:w="100"/>
              <w:bottom w:type="dxa" w:w="60"/>
              <w:right w:type="dxa" w:w="100"/>
            </w:tcMar>
          </w:tcPr>
          <w:p>
            <w:pPr>
              <w:jc w:val="right"/>
            </w:pPr>
            <w:r>
              <w:rPr>
                <w:sz w:val="18"/>
                <w:szCs w:val="18"/>
              </w:rPr>
              <w:t xml:space="preserve">0.2444</w:t>
            </w:r>
          </w:p>
        </w:tc>
        <w:tc>
          <w:tcPr>
            <w:tcW w:type="pct" w:w="10%"/>
            <w:tcMar>
              <w:top w:type="dxa" w:w="60"/>
              <w:left w:type="dxa" w:w="100"/>
              <w:bottom w:type="dxa" w:w="60"/>
              <w:right w:type="dxa" w:w="100"/>
            </w:tcMar>
          </w:tcPr>
          <w:p>
            <w:pPr>
              <w:jc w:val="right"/>
            </w:pPr>
            <w:r>
              <w:rPr>
                <w:sz w:val="18"/>
                <w:szCs w:val="18"/>
              </w:rPr>
              <w:t xml:space="preserve">1.508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Air domestic default</w:t>
            </w:r>
          </w:p>
        </w:tc>
      </w:tr>
    </w:tbl>
    <w:p>
      <w:pPr>
        <w:pStyle w:val="Heading2"/>
        <w:spacing w:after="120" w:before="240"/>
      </w:pPr>
      <w:r>
        <w:rPr>
          <w:color w:val="1C1917"/>
        </w:rPr>
        <w:t xml:space="preserve">Sources</w:t>
      </w:r>
    </w:p>
    <w:p>
      <w:pPr>
        <w:pStyle w:val="ListParagraph"/>
        <w:numPr>
          <w:ilvl w:val="0"/>
          <w:numId w:val="1"/>
        </w:numPr>
        <w:spacing w:after="80"/>
      </w:pPr>
      <w:r>
        <w:t xml:space="preserve">TCI–IIMB Supply Chain Sustainability Lab, IIM Bangalore (2024). TEMT emission factors. https://www.iimb.ac.in/tci-supply-chain-sustainability-lab</w:t>
      </w:r>
    </w:p>
    <w:p>
      <w:pPr>
        <w:pStyle w:val="ListParagraph"/>
        <w:numPr>
          <w:ilvl w:val="0"/>
          <w:numId w:val="1"/>
        </w:numPr>
        <w:spacing w:after="80"/>
      </w:pPr>
      <w:r>
        <w:t xml:space="preserve">Central Electricity Authority, Ministry of Power (2025). CO2 Baseline Database for the Indian Power Sector, Version 21.0. https://cea.nic.in/cdm-co2-baseline-database/?lang=en</w:t>
      </w:r>
    </w:p>
    <w:p>
      <w:pPr>
        <w:pStyle w:val="ListParagraph"/>
        <w:numPr>
          <w:ilvl w:val="0"/>
          <w:numId w:val="1"/>
        </w:numPr>
        <w:spacing w:after="80"/>
      </w:pPr>
      <w:r>
        <w:t xml:space="preserve">Smart Freight Centre (2025). Global Logistics Emissions Council Framework v3.2. https://smartfreightcentre.org/news/13311209</w:t>
      </w:r>
    </w:p>
    <w:p>
      <w:pPr>
        <w:pStyle w:val="ListParagraph"/>
        <w:numPr>
          <w:ilvl w:val="0"/>
          <w:numId w:val="1"/>
        </w:numPr>
        <w:spacing w:after="80"/>
      </w:pPr>
      <w:r>
        <w:t xml:space="preserve">International Organization for Standardization (2023). ISO 14083:2023 Greenhouse gases — Quantification and reporting of GHG emissions arising from transport chain operations. https://www.iso.org/standard/78864.html</w:t>
      </w:r>
    </w:p>
    <w:p>
      <w:pPr>
        <w:pStyle w:val="ListParagraph"/>
        <w:numPr>
          <w:ilvl w:val="0"/>
          <w:numId w:val="1"/>
        </w:numPr>
        <w:spacing w:after="80"/>
      </w:pPr>
      <w:r>
        <w:t xml:space="preserve">World Resources Institute and WBCSD (2011). Corporate Value Chain (Scope 3) Accounting and Reporting Standard. https://ghgprotocol.org/corporate-value-chain-scope-3-standard</w:t>
      </w:r>
    </w:p>
    <w:sectPr>
      <w:foot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36363"/>
        <w:sz w:val="16"/>
        <w:szCs w:val="16"/>
      </w:rPr>
      <w:t xml:space="preserve">TEMT · Sample FMCG company (synthetic data) · FY 2025–26 · page </w:t>
    </w:r>
    <w:r>
      <w:rPr>
        <w:color w:val="6363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Calibri" w:cs="Calibri" w:eastAsia="Calibri" w:hAnsi="Calibri"/>
      <w:b/>
      <w:bCs/>
      <w:sz w:val="24"/>
      <w:szCs w:val="24"/>
    </w:rPr>
  </w:style>
  <w:style w:type="paragraph" w:styleId="Title">
    <w:name w:val="Title"/>
    <w:basedOn w:val="Normal"/>
    <w:rPr>
      <w:rFonts w:ascii="Georgia" w:cs="Georgia" w:eastAsia="Georgia" w:hAnsi="Georgia"/>
      <w:b/>
      <w:bCs/>
      <w:color w:val="740000"/>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emissions report FY 2025–26</dc:title>
  <dc:creator>TEMT</dc:creator>
  <dc:description>Sample FMCG company (synthetic data) freight emissions</dc:description>
  <cp:lastModifiedBy>Un-named</cp:lastModifiedBy>
  <cp:revision>1</cp:revision>
  <dcterms:created xsi:type="dcterms:W3CDTF">2026-09-28T04:24:46.879Z</dcterms:created>
  <dcterms:modified xsi:type="dcterms:W3CDTF">2026-09-28T04:24:46.879Z</dcterms:modified>
</cp:coreProperties>
</file>

<file path=docProps/custom.xml><?xml version="1.0" encoding="utf-8"?>
<Properties xmlns="http://schemas.openxmlformats.org/officeDocument/2006/custom-properties" xmlns:vt="http://schemas.openxmlformats.org/officeDocument/2006/docPropsVTypes"/>
</file>