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line="360" w:lineRule="auto"/>
        <w:jc w:val="center"/>
      </w:pPr>
      <w:r>
        <w:rPr>
          <w:rFonts w:ascii="Times New Roman" w:hAnsi="Times New Roman"/>
          <w:b/>
          <w:i w:val="0"/>
          <w:color w:val="000000"/>
          <w:sz w:val="30"/>
        </w:rPr>
        <w:t>NATIONAL INSTITUTE OF BUSINESS MANAGEMENT</w:t>
      </w:r>
    </w:p>
    <w:p>
      <w:pPr>
        <w:spacing w:before="0" w:after="360" w:line="360" w:lineRule="auto"/>
        <w:jc w:val="center"/>
      </w:pPr>
      <w:r>
        <w:rPr>
          <w:rFonts w:ascii="Times New Roman" w:hAnsi="Times New Roman"/>
          <w:b w:val="0"/>
          <w:i w:val="0"/>
          <w:color w:val="000000"/>
          <w:sz w:val="26"/>
        </w:rPr>
        <w:t>School of Computing</w:t>
      </w:r>
    </w:p>
    <w:p>
      <w:pPr>
        <w:spacing w:before="400" w:after="80" w:line="360" w:lineRule="auto"/>
        <w:jc w:val="center"/>
      </w:pPr>
      <w:r>
        <w:rPr>
          <w:rFonts w:ascii="Times New Roman" w:hAnsi="Times New Roman"/>
          <w:b/>
          <w:i w:val="0"/>
          <w:color w:val="000000"/>
          <w:sz w:val="26"/>
        </w:rPr>
        <w:t>Higher National Diploma in Software Engineering (HDSE)</w:t>
      </w:r>
    </w:p>
    <w:p>
      <w:pPr>
        <w:spacing w:before="0" w:after="560" w:line="360" w:lineRule="auto"/>
        <w:jc w:val="center"/>
      </w:pPr>
      <w:r>
        <w:rPr>
          <w:rFonts w:ascii="Times New Roman" w:hAnsi="Times New Roman"/>
          <w:b/>
          <w:i w:val="0"/>
          <w:color w:val="000000"/>
          <w:sz w:val="26"/>
        </w:rPr>
        <w:t>Batch - 25.2F</w:t>
      </w:r>
    </w:p>
    <w:p>
      <w:pPr>
        <w:spacing w:before="400" w:after="80" w:line="360" w:lineRule="auto"/>
        <w:jc w:val="center"/>
      </w:pPr>
      <w:r>
        <w:rPr>
          <w:rFonts w:ascii="Times New Roman" w:hAnsi="Times New Roman"/>
          <w:b w:val="0"/>
          <w:i w:val="0"/>
          <w:color w:val="000000"/>
          <w:sz w:val="26"/>
        </w:rPr>
        <w:t>Course Module: Data Warehousing and Business Intelligence</w:t>
      </w:r>
    </w:p>
    <w:p>
      <w:pPr>
        <w:spacing w:before="0" w:after="720" w:line="360" w:lineRule="auto"/>
        <w:jc w:val="center"/>
      </w:pPr>
      <w:r>
        <w:rPr>
          <w:rFonts w:ascii="Times New Roman" w:hAnsi="Times New Roman"/>
          <w:b/>
          <w:i w:val="0"/>
          <w:color w:val="000000"/>
          <w:sz w:val="32"/>
        </w:rPr>
        <w:t>Coursework Part C: Building a Clinic Data Warehouse</w:t>
      </w:r>
    </w:p>
    <w:p>
      <w:pPr>
        <w:spacing w:before="200" w:after="720" w:line="360" w:lineRule="auto"/>
        <w:jc w:val="center"/>
      </w:pPr>
      <w:r>
        <w:rPr>
          <w:rFonts w:ascii="Times New Roman" w:hAnsi="Times New Roman"/>
          <w:b w:val="0"/>
          <w:i w:val="0"/>
          <w:color w:val="000000"/>
          <w:sz w:val="24"/>
        </w:rPr>
        <w:t>Module Lecturer: Niranga Dharmaratna</w:t>
      </w:r>
    </w:p>
    <w:tbl>
      <w:tblPr>
        <w:tblW w:type="auto" w:w="0"/>
        <w:jc w:val="center"/>
        <w:tblLook w:firstColumn="1" w:firstRow="1" w:lastColumn="0" w:lastRow="0" w:noHBand="0" w:noVBand="1" w:val="04A0"/>
      </w:tblPr>
      <w:tblGrid>
        <w:gridCol w:w="4680"/>
        <w:gridCol w:w="4680"/>
      </w:tblGrid>
      <w:tr>
        <w:tc>
          <w:tcPr>
            <w:tcW w:type="dxa" w:w="3168"/>
          </w:tcPr>
          <w:p>
            <w:r>
              <w:rPr>
                <w:rFonts w:ascii="Times New Roman" w:hAnsi="Times New Roman"/>
                <w:b/>
                <w:i w:val="0"/>
                <w:color w:val="000000"/>
                <w:sz w:val="22"/>
              </w:rPr>
              <w:t>Student Name:</w:t>
            </w:r>
          </w:p>
        </w:tc>
        <w:tc>
          <w:tcPr>
            <w:tcW w:type="dxa" w:w="5472"/>
          </w:tcPr>
          <w:p>
            <w:r>
              <w:rPr>
                <w:rFonts w:ascii="Times New Roman" w:hAnsi="Times New Roman"/>
                <w:b w:val="0"/>
                <w:i w:val="0"/>
                <w:color w:val="000000"/>
                <w:sz w:val="22"/>
              </w:rPr>
              <w:t>R. S. Weerawickrama</w:t>
            </w:r>
          </w:p>
        </w:tc>
      </w:tr>
      <w:tr>
        <w:tc>
          <w:tcPr>
            <w:tcW w:type="dxa" w:w="3168"/>
          </w:tcPr>
          <w:p>
            <w:r>
              <w:rPr>
                <w:rFonts w:ascii="Times New Roman" w:hAnsi="Times New Roman"/>
                <w:b/>
                <w:i w:val="0"/>
                <w:color w:val="000000"/>
                <w:sz w:val="22"/>
              </w:rPr>
              <w:t>Index Number:</w:t>
            </w:r>
          </w:p>
        </w:tc>
        <w:tc>
          <w:tcPr>
            <w:tcW w:type="dxa" w:w="5472"/>
          </w:tcPr>
          <w:p>
            <w:r>
              <w:rPr>
                <w:rFonts w:ascii="Times New Roman" w:hAnsi="Times New Roman"/>
                <w:b w:val="0"/>
                <w:i w:val="0"/>
                <w:color w:val="000000"/>
                <w:sz w:val="22"/>
              </w:rPr>
              <w:t>HDSE252F-042</w:t>
            </w:r>
          </w:p>
        </w:tc>
      </w:tr>
      <w:tr>
        <w:tc>
          <w:tcPr>
            <w:tcW w:type="dxa" w:w="3168"/>
          </w:tcPr>
          <w:p>
            <w:r>
              <w:rPr>
                <w:rFonts w:ascii="Times New Roman" w:hAnsi="Times New Roman"/>
                <w:b/>
                <w:i w:val="0"/>
                <w:color w:val="000000"/>
                <w:sz w:val="22"/>
              </w:rPr>
              <w:t>Submission Date:</w:t>
            </w:r>
          </w:p>
        </w:tc>
        <w:tc>
          <w:tcPr>
            <w:tcW w:type="dxa" w:w="5472"/>
          </w:tcPr>
          <w:p>
            <w:r>
              <w:rPr>
                <w:rFonts w:ascii="Times New Roman" w:hAnsi="Times New Roman"/>
                <w:b w:val="0"/>
                <w:i w:val="0"/>
                <w:color w:val="000000"/>
                <w:sz w:val="22"/>
              </w:rPr>
              <w:t>29 September 2026</w:t>
            </w:r>
          </w:p>
        </w:tc>
      </w:tr>
    </w:tbl>
    <w:p>
      <w:r>
        <w:br w:type="page"/>
      </w:r>
    </w:p>
    <w:p>
      <w:pPr>
        <w:keepNext/>
        <w:spacing w:before="280" w:after="120"/>
      </w:pPr>
      <w:r>
        <w:rPr>
          <w:rFonts w:ascii="Times New Roman" w:hAnsi="Times New Roman"/>
          <w:b/>
          <w:i w:val="0"/>
          <w:color w:val="142D55"/>
          <w:sz w:val="26"/>
        </w:rPr>
        <w:t>Ethical Declaration of Original Work</w:t>
      </w:r>
    </w:p>
    <w:p>
      <w:pPr>
        <w:spacing w:before="0" w:after="120" w:line="360" w:lineRule="auto"/>
        <w:jc w:val="both"/>
      </w:pPr>
      <w:r>
        <w:rPr>
          <w:rFonts w:ascii="Times New Roman" w:hAnsi="Times New Roman"/>
          <w:b w:val="0"/>
          <w:i w:val="0"/>
          <w:color w:val="000000"/>
          <w:sz w:val="24"/>
        </w:rPr>
        <w:t>I declare that the work presented in this coursework is entirely my own. I confirm that:</w:t>
      </w:r>
    </w:p>
    <w:p>
      <w:pPr>
        <w:spacing w:before="0" w:after="120" w:line="360" w:lineRule="auto"/>
        <w:jc w:val="both"/>
      </w:pPr>
      <w:r>
        <w:rPr>
          <w:rFonts w:ascii="Times New Roman" w:hAnsi="Times New Roman"/>
          <w:b w:val="0"/>
          <w:i w:val="0"/>
          <w:color w:val="000000"/>
          <w:sz w:val="24"/>
        </w:rPr>
        <w:t>1. The work presented in this coursework is conducted by me, and any contributions from other individuals are appropriately acknowledged.</w:t>
      </w:r>
    </w:p>
    <w:p>
      <w:pPr>
        <w:spacing w:before="0" w:after="120" w:line="360" w:lineRule="auto"/>
        <w:jc w:val="both"/>
      </w:pPr>
      <w:r>
        <w:rPr>
          <w:rFonts w:ascii="Times New Roman" w:hAnsi="Times New Roman"/>
          <w:b w:val="0"/>
          <w:i w:val="0"/>
          <w:color w:val="000000"/>
          <w:sz w:val="24"/>
        </w:rPr>
        <w:t>2. Any external sources of information and ideas used in this work are cited and referenced accurately. I have provided proper credit to the original authors through citations in the text and a comprehensive list of references.</w:t>
      </w:r>
    </w:p>
    <w:p>
      <w:pPr>
        <w:spacing w:before="0" w:after="120" w:line="360" w:lineRule="auto"/>
        <w:jc w:val="both"/>
      </w:pPr>
      <w:r>
        <w:rPr>
          <w:rFonts w:ascii="Times New Roman" w:hAnsi="Times New Roman"/>
          <w:b w:val="0"/>
          <w:i w:val="0"/>
          <w:color w:val="000000"/>
          <w:sz w:val="24"/>
        </w:rPr>
        <w:t>3. The data and findings presented in this work are genuine and have not been manipulated or fabricated. Any assistance received in the collection and analysis of data is acknowledged appropriately.</w:t>
      </w:r>
    </w:p>
    <w:p>
      <w:pPr>
        <w:spacing w:before="0" w:after="120" w:line="360" w:lineRule="auto"/>
        <w:jc w:val="both"/>
      </w:pPr>
      <w:r>
        <w:rPr>
          <w:rFonts w:ascii="Times New Roman" w:hAnsi="Times New Roman"/>
          <w:b w:val="0"/>
          <w:i w:val="0"/>
          <w:color w:val="000000"/>
          <w:sz w:val="24"/>
        </w:rPr>
        <w:t>4. I have not submitted this work, or any part of it, for any other academic qualification.</w:t>
      </w:r>
    </w:p>
    <w:p>
      <w:pPr>
        <w:spacing w:before="0" w:after="120" w:line="360" w:lineRule="auto"/>
        <w:jc w:val="both"/>
      </w:pPr>
      <w:r>
        <w:rPr>
          <w:rFonts w:ascii="Times New Roman" w:hAnsi="Times New Roman"/>
          <w:b w:val="0"/>
          <w:i w:val="0"/>
          <w:color w:val="000000"/>
          <w:sz w:val="24"/>
        </w:rPr>
        <w:t>5. I understand the ethical principles governing academic work, including honesty, integrity, and accountability. I have adhered to these principles throughout the process.</w:t>
      </w:r>
    </w:p>
    <w:p>
      <w:pPr>
        <w:spacing w:before="0" w:after="480" w:line="360" w:lineRule="auto"/>
        <w:jc w:val="both"/>
      </w:pPr>
      <w:r>
        <w:rPr>
          <w:rFonts w:ascii="Times New Roman" w:hAnsi="Times New Roman"/>
          <w:b w:val="0"/>
          <w:i w:val="0"/>
          <w:color w:val="000000"/>
          <w:sz w:val="24"/>
        </w:rPr>
        <w:t>I am aware of the consequences of academic misconduct and understand that any violation of ethical standards may result in disciplinary action.</w:t>
      </w:r>
    </w:p>
    <w:p>
      <w:pPr>
        <w:spacing w:before="0" w:after="120" w:line="360" w:lineRule="auto"/>
        <w:jc w:val="both"/>
      </w:pPr>
      <w:r>
        <w:rPr>
          <w:rFonts w:ascii="Times New Roman" w:hAnsi="Times New Roman"/>
          <w:b/>
          <w:i w:val="0"/>
          <w:color w:val="000000"/>
          <w:sz w:val="24"/>
        </w:rPr>
        <w:t>Signed: R. S. Weerawickrama</w:t>
      </w:r>
    </w:p>
    <w:p>
      <w:pPr>
        <w:spacing w:before="0" w:after="480" w:line="360" w:lineRule="auto"/>
        <w:jc w:val="both"/>
      </w:pPr>
      <w:r>
        <w:rPr>
          <w:rFonts w:ascii="Times New Roman" w:hAnsi="Times New Roman"/>
          <w:b w:val="0"/>
          <w:i w:val="0"/>
          <w:color w:val="000000"/>
          <w:sz w:val="24"/>
        </w:rPr>
        <w:t>Date: 29 September 2026</w:t>
      </w:r>
    </w:p>
    <w:p>
      <w:r>
        <w:br w:type="page"/>
      </w:r>
    </w:p>
    <w:p>
      <w:pPr>
        <w:keepNext/>
        <w:spacing w:before="280" w:after="120"/>
      </w:pPr>
      <w:r>
        <w:rPr>
          <w:rFonts w:ascii="Times New Roman" w:hAnsi="Times New Roman"/>
          <w:b/>
          <w:i w:val="0"/>
          <w:color w:val="142D55"/>
          <w:sz w:val="26"/>
        </w:rPr>
        <w:t>Table of Contents</w:t>
      </w:r>
    </w:p>
    <w:tbl>
      <w:tblPr>
        <w:tblW w:type="auto" w:w="0"/>
        <w:jc w:val="center"/>
        <w:tblLook w:firstColumn="1" w:firstRow="1" w:lastColumn="0" w:lastRow="0" w:noHBand="0" w:noVBand="1" w:val="04A0"/>
      </w:tblPr>
      <w:tblGrid>
        <w:gridCol w:w="4680"/>
        <w:gridCol w:w="4680"/>
      </w:tblGrid>
      <w:tr>
        <w:tc>
          <w:tcPr>
            <w:tcW w:type="dxa" w:w="7920"/>
          </w:tcPr>
          <w:p>
            <w:pPr>
              <w:spacing w:before="20" w:after="20" w:line="276" w:lineRule="auto"/>
            </w:pPr>
            <w:r>
              <w:rPr>
                <w:rFonts w:ascii="Times New Roman" w:hAnsi="Times New Roman"/>
                <w:b/>
                <w:i w:val="0"/>
                <w:color w:val="000000"/>
                <w:sz w:val="20"/>
              </w:rPr>
              <w:t>INTRODUCTION</w:t>
            </w:r>
          </w:p>
        </w:tc>
        <w:tc>
          <w:tcPr>
            <w:tcW w:type="dxa" w:w="1440"/>
          </w:tcPr>
          <w:p>
            <w:pPr>
              <w:spacing w:before="20" w:after="20" w:line="276" w:lineRule="auto"/>
              <w:jc w:val="right"/>
            </w:pPr>
            <w:r>
              <w:rPr>
                <w:rFonts w:ascii="Times New Roman" w:hAnsi="Times New Roman"/>
                <w:b w:val="0"/>
                <w:i w:val="0"/>
                <w:color w:val="000000"/>
                <w:sz w:val="20"/>
              </w:rPr>
              <w:t>1</w:t>
            </w:r>
          </w:p>
        </w:tc>
      </w:tr>
      <w:tr>
        <w:tc>
          <w:tcPr>
            <w:tcW w:type="dxa" w:w="7920"/>
          </w:tcPr>
          <w:p>
            <w:pPr>
              <w:spacing w:before="20" w:after="20" w:line="276" w:lineRule="auto"/>
            </w:pPr>
            <w:r>
              <w:rPr>
                <w:rFonts w:ascii="Times New Roman" w:hAnsi="Times New Roman"/>
                <w:b/>
                <w:i w:val="0"/>
                <w:color w:val="000000"/>
                <w:sz w:val="20"/>
              </w:rPr>
              <w:t>TASK 1: BUSINESS QUESTIONS AND GRAIN</w:t>
            </w:r>
          </w:p>
        </w:tc>
        <w:tc>
          <w:tcPr>
            <w:tcW w:type="dxa" w:w="1440"/>
          </w:tcPr>
          <w:p>
            <w:pPr>
              <w:spacing w:before="20" w:after="20" w:line="276" w:lineRule="auto"/>
              <w:jc w:val="right"/>
            </w:pPr>
            <w:r>
              <w:rPr>
                <w:rFonts w:ascii="Times New Roman" w:hAnsi="Times New Roman"/>
                <w:b w:val="0"/>
                <w:i w:val="0"/>
                <w:color w:val="000000"/>
                <w:sz w:val="20"/>
              </w:rPr>
              <w:t>1</w:t>
            </w:r>
          </w:p>
        </w:tc>
      </w:tr>
      <w:tr>
        <w:tc>
          <w:tcPr>
            <w:tcW w:type="dxa" w:w="7920"/>
          </w:tcPr>
          <w:p>
            <w:pPr>
              <w:spacing w:before="20" w:after="20" w:line="276" w:lineRule="auto"/>
            </w:pPr>
            <w:r>
              <w:rPr>
                <w:rFonts w:ascii="Times New Roman" w:hAnsi="Times New Roman"/>
                <w:b w:val="0"/>
                <w:i w:val="0"/>
                <w:color w:val="000000"/>
                <w:sz w:val="20"/>
              </w:rPr>
              <w:t xml:space="preserve">    1.1 Business Questions</w:t>
            </w:r>
          </w:p>
        </w:tc>
        <w:tc>
          <w:tcPr>
            <w:tcW w:type="dxa" w:w="1440"/>
          </w:tcPr>
          <w:p>
            <w:pPr>
              <w:spacing w:before="20" w:after="20" w:line="276" w:lineRule="auto"/>
              <w:jc w:val="right"/>
            </w:pPr>
            <w:r>
              <w:rPr>
                <w:rFonts w:ascii="Times New Roman" w:hAnsi="Times New Roman"/>
                <w:b w:val="0"/>
                <w:i w:val="0"/>
                <w:color w:val="000000"/>
                <w:sz w:val="20"/>
              </w:rPr>
              <w:t>1</w:t>
            </w:r>
          </w:p>
        </w:tc>
      </w:tr>
      <w:tr>
        <w:tc>
          <w:tcPr>
            <w:tcW w:type="dxa" w:w="7920"/>
          </w:tcPr>
          <w:p>
            <w:pPr>
              <w:spacing w:before="20" w:after="20" w:line="276" w:lineRule="auto"/>
            </w:pPr>
            <w:r>
              <w:rPr>
                <w:rFonts w:ascii="Times New Roman" w:hAnsi="Times New Roman"/>
                <w:b w:val="0"/>
                <w:i w:val="0"/>
                <w:color w:val="000000"/>
                <w:sz w:val="20"/>
              </w:rPr>
              <w:t xml:space="preserve">    1.2 Grain Statement</w:t>
            </w:r>
          </w:p>
        </w:tc>
        <w:tc>
          <w:tcPr>
            <w:tcW w:type="dxa" w:w="1440"/>
          </w:tcPr>
          <w:p>
            <w:pPr>
              <w:spacing w:before="20" w:after="20" w:line="276" w:lineRule="auto"/>
              <w:jc w:val="right"/>
            </w:pPr>
            <w:r>
              <w:rPr>
                <w:rFonts w:ascii="Times New Roman" w:hAnsi="Times New Roman"/>
                <w:b w:val="0"/>
                <w:i w:val="0"/>
                <w:color w:val="000000"/>
                <w:sz w:val="20"/>
              </w:rPr>
              <w:t>1</w:t>
            </w:r>
          </w:p>
        </w:tc>
      </w:tr>
      <w:tr>
        <w:tc>
          <w:tcPr>
            <w:tcW w:type="dxa" w:w="7920"/>
          </w:tcPr>
          <w:p>
            <w:pPr>
              <w:spacing w:before="20" w:after="20" w:line="276" w:lineRule="auto"/>
            </w:pPr>
            <w:r>
              <w:rPr>
                <w:rFonts w:ascii="Times New Roman" w:hAnsi="Times New Roman"/>
                <w:b w:val="0"/>
                <w:i w:val="0"/>
                <w:color w:val="000000"/>
                <w:sz w:val="20"/>
              </w:rPr>
              <w:t xml:space="preserve">    1.3 Measures and Totals</w:t>
            </w:r>
          </w:p>
        </w:tc>
        <w:tc>
          <w:tcPr>
            <w:tcW w:type="dxa" w:w="1440"/>
          </w:tcPr>
          <w:p>
            <w:pPr>
              <w:spacing w:before="20" w:after="20" w:line="276" w:lineRule="auto"/>
              <w:jc w:val="right"/>
            </w:pPr>
            <w:r>
              <w:rPr>
                <w:rFonts w:ascii="Times New Roman" w:hAnsi="Times New Roman"/>
                <w:b w:val="0"/>
                <w:i w:val="0"/>
                <w:color w:val="000000"/>
                <w:sz w:val="20"/>
              </w:rPr>
              <w:t>2</w:t>
            </w:r>
          </w:p>
        </w:tc>
      </w:tr>
      <w:tr>
        <w:tc>
          <w:tcPr>
            <w:tcW w:type="dxa" w:w="7920"/>
          </w:tcPr>
          <w:p>
            <w:pPr>
              <w:spacing w:before="20" w:after="20" w:line="276" w:lineRule="auto"/>
            </w:pPr>
            <w:r>
              <w:rPr>
                <w:rFonts w:ascii="Times New Roman" w:hAnsi="Times New Roman"/>
                <w:b/>
                <w:i w:val="0"/>
                <w:color w:val="000000"/>
                <w:sz w:val="20"/>
              </w:rPr>
              <w:t>TASK 2: STAR SCHEMA DESIGN</w:t>
            </w:r>
          </w:p>
        </w:tc>
        <w:tc>
          <w:tcPr>
            <w:tcW w:type="dxa" w:w="1440"/>
          </w:tcPr>
          <w:p>
            <w:pPr>
              <w:spacing w:before="20" w:after="20" w:line="276" w:lineRule="auto"/>
              <w:jc w:val="right"/>
            </w:pPr>
            <w:r>
              <w:rPr>
                <w:rFonts w:ascii="Times New Roman" w:hAnsi="Times New Roman"/>
                <w:b w:val="0"/>
                <w:i w:val="0"/>
                <w:color w:val="000000"/>
                <w:sz w:val="20"/>
              </w:rPr>
              <w:t>2</w:t>
            </w:r>
          </w:p>
        </w:tc>
      </w:tr>
      <w:tr>
        <w:tc>
          <w:tcPr>
            <w:tcW w:type="dxa" w:w="7920"/>
          </w:tcPr>
          <w:p>
            <w:pPr>
              <w:spacing w:before="20" w:after="20" w:line="276" w:lineRule="auto"/>
            </w:pPr>
            <w:r>
              <w:rPr>
                <w:rFonts w:ascii="Times New Roman" w:hAnsi="Times New Roman"/>
                <w:b w:val="0"/>
                <w:i w:val="0"/>
                <w:color w:val="000000"/>
                <w:sz w:val="20"/>
              </w:rPr>
              <w:t xml:space="preserve">    2.1 Dimension Tables</w:t>
            </w:r>
          </w:p>
        </w:tc>
        <w:tc>
          <w:tcPr>
            <w:tcW w:type="dxa" w:w="1440"/>
          </w:tcPr>
          <w:p>
            <w:pPr>
              <w:spacing w:before="20" w:after="20" w:line="276" w:lineRule="auto"/>
              <w:jc w:val="right"/>
            </w:pPr>
            <w:r>
              <w:rPr>
                <w:rFonts w:ascii="Times New Roman" w:hAnsi="Times New Roman"/>
                <w:b w:val="0"/>
                <w:i w:val="0"/>
                <w:color w:val="000000"/>
                <w:sz w:val="20"/>
              </w:rPr>
              <w:t>2</w:t>
            </w:r>
          </w:p>
        </w:tc>
      </w:tr>
      <w:tr>
        <w:tc>
          <w:tcPr>
            <w:tcW w:type="dxa" w:w="7920"/>
          </w:tcPr>
          <w:p>
            <w:pPr>
              <w:spacing w:before="20" w:after="20" w:line="276" w:lineRule="auto"/>
            </w:pPr>
            <w:r>
              <w:rPr>
                <w:rFonts w:ascii="Times New Roman" w:hAnsi="Times New Roman"/>
                <w:b w:val="0"/>
                <w:i w:val="0"/>
                <w:color w:val="000000"/>
                <w:sz w:val="20"/>
              </w:rPr>
              <w:t xml:space="preserve">    2.2 Date Dimension</w:t>
            </w:r>
          </w:p>
        </w:tc>
        <w:tc>
          <w:tcPr>
            <w:tcW w:type="dxa" w:w="1440"/>
          </w:tcPr>
          <w:p>
            <w:pPr>
              <w:spacing w:before="20" w:after="20" w:line="276" w:lineRule="auto"/>
              <w:jc w:val="right"/>
            </w:pPr>
            <w:r>
              <w:rPr>
                <w:rFonts w:ascii="Times New Roman" w:hAnsi="Times New Roman"/>
                <w:b w:val="0"/>
                <w:i w:val="0"/>
                <w:color w:val="000000"/>
                <w:sz w:val="20"/>
              </w:rPr>
              <w:t>3</w:t>
            </w:r>
          </w:p>
        </w:tc>
      </w:tr>
      <w:tr>
        <w:tc>
          <w:tcPr>
            <w:tcW w:type="dxa" w:w="7920"/>
          </w:tcPr>
          <w:p>
            <w:pPr>
              <w:spacing w:before="20" w:after="20" w:line="276" w:lineRule="auto"/>
            </w:pPr>
            <w:r>
              <w:rPr>
                <w:rFonts w:ascii="Times New Roman" w:hAnsi="Times New Roman"/>
                <w:b w:val="0"/>
                <w:i w:val="0"/>
                <w:color w:val="000000"/>
                <w:sz w:val="20"/>
              </w:rPr>
              <w:t xml:space="preserve">    2.3 Fact Table</w:t>
            </w:r>
          </w:p>
        </w:tc>
        <w:tc>
          <w:tcPr>
            <w:tcW w:type="dxa" w:w="1440"/>
          </w:tcPr>
          <w:p>
            <w:pPr>
              <w:spacing w:before="20" w:after="20" w:line="276" w:lineRule="auto"/>
              <w:jc w:val="right"/>
            </w:pPr>
            <w:r>
              <w:rPr>
                <w:rFonts w:ascii="Times New Roman" w:hAnsi="Times New Roman"/>
                <w:b w:val="0"/>
                <w:i w:val="0"/>
                <w:color w:val="000000"/>
                <w:sz w:val="20"/>
              </w:rPr>
              <w:t>3</w:t>
            </w:r>
          </w:p>
        </w:tc>
      </w:tr>
      <w:tr>
        <w:tc>
          <w:tcPr>
            <w:tcW w:type="dxa" w:w="7920"/>
          </w:tcPr>
          <w:p>
            <w:pPr>
              <w:spacing w:before="20" w:after="20" w:line="276" w:lineRule="auto"/>
            </w:pPr>
            <w:r>
              <w:rPr>
                <w:rFonts w:ascii="Times New Roman" w:hAnsi="Times New Roman"/>
                <w:b w:val="0"/>
                <w:i w:val="0"/>
                <w:color w:val="000000"/>
                <w:sz w:val="20"/>
              </w:rPr>
              <w:t xml:space="preserve">    2.4 Entity Relationship Diagram</w:t>
            </w:r>
          </w:p>
        </w:tc>
        <w:tc>
          <w:tcPr>
            <w:tcW w:type="dxa" w:w="1440"/>
          </w:tcPr>
          <w:p>
            <w:pPr>
              <w:spacing w:before="20" w:after="20" w:line="276" w:lineRule="auto"/>
              <w:jc w:val="right"/>
            </w:pPr>
            <w:r>
              <w:rPr>
                <w:rFonts w:ascii="Times New Roman" w:hAnsi="Times New Roman"/>
                <w:b w:val="0"/>
                <w:i w:val="0"/>
                <w:color w:val="000000"/>
                <w:sz w:val="20"/>
              </w:rPr>
              <w:t>4</w:t>
            </w:r>
          </w:p>
        </w:tc>
      </w:tr>
      <w:tr>
        <w:tc>
          <w:tcPr>
            <w:tcW w:type="dxa" w:w="7920"/>
          </w:tcPr>
          <w:p>
            <w:pPr>
              <w:spacing w:before="20" w:after="20" w:line="276" w:lineRule="auto"/>
            </w:pPr>
            <w:r>
              <w:rPr>
                <w:rFonts w:ascii="Times New Roman" w:hAnsi="Times New Roman"/>
                <w:b w:val="0"/>
                <w:i w:val="0"/>
                <w:color w:val="000000"/>
                <w:sz w:val="20"/>
              </w:rPr>
              <w:t xml:space="preserve">    2.5 Star or Snowflake</w:t>
            </w:r>
          </w:p>
        </w:tc>
        <w:tc>
          <w:tcPr>
            <w:tcW w:type="dxa" w:w="1440"/>
          </w:tcPr>
          <w:p>
            <w:pPr>
              <w:spacing w:before="20" w:after="20" w:line="276" w:lineRule="auto"/>
              <w:jc w:val="right"/>
            </w:pPr>
            <w:r>
              <w:rPr>
                <w:rFonts w:ascii="Times New Roman" w:hAnsi="Times New Roman"/>
                <w:b w:val="0"/>
                <w:i w:val="0"/>
                <w:color w:val="000000"/>
                <w:sz w:val="20"/>
              </w:rPr>
              <w:t>4</w:t>
            </w:r>
          </w:p>
        </w:tc>
      </w:tr>
      <w:tr>
        <w:tc>
          <w:tcPr>
            <w:tcW w:type="dxa" w:w="7920"/>
          </w:tcPr>
          <w:p>
            <w:pPr>
              <w:spacing w:before="20" w:after="20" w:line="276" w:lineRule="auto"/>
            </w:pPr>
            <w:r>
              <w:rPr>
                <w:rFonts w:ascii="Times New Roman" w:hAnsi="Times New Roman"/>
                <w:b/>
                <w:i w:val="0"/>
                <w:color w:val="000000"/>
                <w:sz w:val="20"/>
              </w:rPr>
              <w:t>TASK 3: ETL NOTEBOOK - PROFILE, CLEANSE AND INTEGRATE</w:t>
            </w:r>
          </w:p>
        </w:tc>
        <w:tc>
          <w:tcPr>
            <w:tcW w:type="dxa" w:w="1440"/>
          </w:tcPr>
          <w:p>
            <w:pPr>
              <w:spacing w:before="20" w:after="20" w:line="276" w:lineRule="auto"/>
              <w:jc w:val="right"/>
            </w:pPr>
            <w:r>
              <w:rPr>
                <w:rFonts w:ascii="Times New Roman" w:hAnsi="Times New Roman"/>
                <w:b w:val="0"/>
                <w:i w:val="0"/>
                <w:color w:val="000000"/>
                <w:sz w:val="20"/>
              </w:rPr>
              <w:t>5</w:t>
            </w:r>
          </w:p>
        </w:tc>
      </w:tr>
      <w:tr>
        <w:tc>
          <w:tcPr>
            <w:tcW w:type="dxa" w:w="7920"/>
          </w:tcPr>
          <w:p>
            <w:pPr>
              <w:spacing w:before="20" w:after="20" w:line="276" w:lineRule="auto"/>
            </w:pPr>
            <w:r>
              <w:rPr>
                <w:rFonts w:ascii="Times New Roman" w:hAnsi="Times New Roman"/>
                <w:b w:val="0"/>
                <w:i w:val="0"/>
                <w:color w:val="000000"/>
                <w:sz w:val="20"/>
              </w:rPr>
              <w:t xml:space="preserve">    3.1 Data Profile</w:t>
            </w:r>
          </w:p>
        </w:tc>
        <w:tc>
          <w:tcPr>
            <w:tcW w:type="dxa" w:w="1440"/>
          </w:tcPr>
          <w:p>
            <w:pPr>
              <w:spacing w:before="20" w:after="20" w:line="276" w:lineRule="auto"/>
              <w:jc w:val="right"/>
            </w:pPr>
            <w:r>
              <w:rPr>
                <w:rFonts w:ascii="Times New Roman" w:hAnsi="Times New Roman"/>
                <w:b w:val="0"/>
                <w:i w:val="0"/>
                <w:color w:val="000000"/>
                <w:sz w:val="20"/>
              </w:rPr>
              <w:t>5</w:t>
            </w:r>
          </w:p>
        </w:tc>
      </w:tr>
      <w:tr>
        <w:tc>
          <w:tcPr>
            <w:tcW w:type="dxa" w:w="7920"/>
          </w:tcPr>
          <w:p>
            <w:pPr>
              <w:spacing w:before="20" w:after="20" w:line="276" w:lineRule="auto"/>
            </w:pPr>
            <w:r>
              <w:rPr>
                <w:rFonts w:ascii="Times New Roman" w:hAnsi="Times New Roman"/>
                <w:b w:val="0"/>
                <w:i w:val="0"/>
                <w:color w:val="000000"/>
                <w:sz w:val="20"/>
              </w:rPr>
              <w:t xml:space="preserve">    3.2 Repeated Bookings</w:t>
            </w:r>
          </w:p>
        </w:tc>
        <w:tc>
          <w:tcPr>
            <w:tcW w:type="dxa" w:w="1440"/>
          </w:tcPr>
          <w:p>
            <w:pPr>
              <w:spacing w:before="20" w:after="20" w:line="276" w:lineRule="auto"/>
              <w:jc w:val="right"/>
            </w:pPr>
            <w:r>
              <w:rPr>
                <w:rFonts w:ascii="Times New Roman" w:hAnsi="Times New Roman"/>
                <w:b w:val="0"/>
                <w:i w:val="0"/>
                <w:color w:val="000000"/>
                <w:sz w:val="20"/>
              </w:rPr>
              <w:t>5</w:t>
            </w:r>
          </w:p>
        </w:tc>
      </w:tr>
      <w:tr>
        <w:tc>
          <w:tcPr>
            <w:tcW w:type="dxa" w:w="7920"/>
          </w:tcPr>
          <w:p>
            <w:pPr>
              <w:spacing w:before="20" w:after="20" w:line="276" w:lineRule="auto"/>
            </w:pPr>
            <w:r>
              <w:rPr>
                <w:rFonts w:ascii="Times New Roman" w:hAnsi="Times New Roman"/>
                <w:b w:val="0"/>
                <w:i w:val="0"/>
                <w:color w:val="000000"/>
                <w:sz w:val="20"/>
              </w:rPr>
              <w:t xml:space="preserve">    3.3 Date Formats</w:t>
            </w:r>
          </w:p>
        </w:tc>
        <w:tc>
          <w:tcPr>
            <w:tcW w:type="dxa" w:w="1440"/>
          </w:tcPr>
          <w:p>
            <w:pPr>
              <w:spacing w:before="20" w:after="20" w:line="276" w:lineRule="auto"/>
              <w:jc w:val="right"/>
            </w:pPr>
            <w:r>
              <w:rPr>
                <w:rFonts w:ascii="Times New Roman" w:hAnsi="Times New Roman"/>
                <w:b w:val="0"/>
                <w:i w:val="0"/>
                <w:color w:val="000000"/>
                <w:sz w:val="20"/>
              </w:rPr>
              <w:t>6</w:t>
            </w:r>
          </w:p>
        </w:tc>
      </w:tr>
      <w:tr>
        <w:tc>
          <w:tcPr>
            <w:tcW w:type="dxa" w:w="7920"/>
          </w:tcPr>
          <w:p>
            <w:pPr>
              <w:spacing w:before="20" w:after="20" w:line="276" w:lineRule="auto"/>
            </w:pPr>
            <w:r>
              <w:rPr>
                <w:rFonts w:ascii="Times New Roman" w:hAnsi="Times New Roman"/>
                <w:b w:val="0"/>
                <w:i w:val="0"/>
                <w:color w:val="000000"/>
                <w:sz w:val="20"/>
              </w:rPr>
              <w:t xml:space="preserve">    3.4 Specialty Text</w:t>
            </w:r>
          </w:p>
        </w:tc>
        <w:tc>
          <w:tcPr>
            <w:tcW w:type="dxa" w:w="1440"/>
          </w:tcPr>
          <w:p>
            <w:pPr>
              <w:spacing w:before="20" w:after="20" w:line="276" w:lineRule="auto"/>
              <w:jc w:val="right"/>
            </w:pPr>
            <w:r>
              <w:rPr>
                <w:rFonts w:ascii="Times New Roman" w:hAnsi="Times New Roman"/>
                <w:b w:val="0"/>
                <w:i w:val="0"/>
                <w:color w:val="000000"/>
                <w:sz w:val="20"/>
              </w:rPr>
              <w:t>6</w:t>
            </w:r>
          </w:p>
        </w:tc>
      </w:tr>
      <w:tr>
        <w:tc>
          <w:tcPr>
            <w:tcW w:type="dxa" w:w="7920"/>
          </w:tcPr>
          <w:p>
            <w:pPr>
              <w:spacing w:before="20" w:after="20" w:line="276" w:lineRule="auto"/>
            </w:pPr>
            <w:r>
              <w:rPr>
                <w:rFonts w:ascii="Times New Roman" w:hAnsi="Times New Roman"/>
                <w:b w:val="0"/>
                <w:i w:val="0"/>
                <w:color w:val="000000"/>
                <w:sz w:val="20"/>
              </w:rPr>
              <w:t xml:space="preserve">    3.5 Missing and Invalid Measures</w:t>
            </w:r>
          </w:p>
        </w:tc>
        <w:tc>
          <w:tcPr>
            <w:tcW w:type="dxa" w:w="1440"/>
          </w:tcPr>
          <w:p>
            <w:pPr>
              <w:spacing w:before="20" w:after="20" w:line="276" w:lineRule="auto"/>
              <w:jc w:val="right"/>
            </w:pPr>
            <w:r>
              <w:rPr>
                <w:rFonts w:ascii="Times New Roman" w:hAnsi="Times New Roman"/>
                <w:b w:val="0"/>
                <w:i w:val="0"/>
                <w:color w:val="000000"/>
                <w:sz w:val="20"/>
              </w:rPr>
              <w:t>7</w:t>
            </w:r>
          </w:p>
        </w:tc>
      </w:tr>
      <w:tr>
        <w:tc>
          <w:tcPr>
            <w:tcW w:type="dxa" w:w="7920"/>
          </w:tcPr>
          <w:p>
            <w:pPr>
              <w:spacing w:before="20" w:after="20" w:line="276" w:lineRule="auto"/>
            </w:pPr>
            <w:r>
              <w:rPr>
                <w:rFonts w:ascii="Times New Roman" w:hAnsi="Times New Roman"/>
                <w:b w:val="0"/>
                <w:i w:val="0"/>
                <w:color w:val="000000"/>
                <w:sz w:val="20"/>
              </w:rPr>
              <w:t xml:space="preserve">    3.6 Joining the Doctors File</w:t>
            </w:r>
          </w:p>
        </w:tc>
        <w:tc>
          <w:tcPr>
            <w:tcW w:type="dxa" w:w="1440"/>
          </w:tcPr>
          <w:p>
            <w:pPr>
              <w:spacing w:before="20" w:after="20" w:line="276" w:lineRule="auto"/>
              <w:jc w:val="right"/>
            </w:pPr>
            <w:r>
              <w:rPr>
                <w:rFonts w:ascii="Times New Roman" w:hAnsi="Times New Roman"/>
                <w:b w:val="0"/>
                <w:i w:val="0"/>
                <w:color w:val="000000"/>
                <w:sz w:val="20"/>
              </w:rPr>
              <w:t>7</w:t>
            </w:r>
          </w:p>
        </w:tc>
      </w:tr>
      <w:tr>
        <w:tc>
          <w:tcPr>
            <w:tcW w:type="dxa" w:w="7920"/>
          </w:tcPr>
          <w:p>
            <w:pPr>
              <w:spacing w:before="20" w:after="20" w:line="276" w:lineRule="auto"/>
            </w:pPr>
            <w:r>
              <w:rPr>
                <w:rFonts w:ascii="Times New Roman" w:hAnsi="Times New Roman"/>
                <w:b/>
                <w:i w:val="0"/>
                <w:color w:val="000000"/>
                <w:sz w:val="20"/>
              </w:rPr>
              <w:t>TASK 4: SURROGATE KEYS AND LOAD</w:t>
            </w:r>
          </w:p>
        </w:tc>
        <w:tc>
          <w:tcPr>
            <w:tcW w:type="dxa" w:w="1440"/>
          </w:tcPr>
          <w:p>
            <w:pPr>
              <w:spacing w:before="20" w:after="20" w:line="276" w:lineRule="auto"/>
              <w:jc w:val="right"/>
            </w:pPr>
            <w:r>
              <w:rPr>
                <w:rFonts w:ascii="Times New Roman" w:hAnsi="Times New Roman"/>
                <w:b w:val="0"/>
                <w:i w:val="0"/>
                <w:color w:val="000000"/>
                <w:sz w:val="20"/>
              </w:rPr>
              <w:t>8</w:t>
            </w:r>
          </w:p>
        </w:tc>
      </w:tr>
      <w:tr>
        <w:tc>
          <w:tcPr>
            <w:tcW w:type="dxa" w:w="7920"/>
          </w:tcPr>
          <w:p>
            <w:pPr>
              <w:spacing w:before="20" w:after="20" w:line="276" w:lineRule="auto"/>
            </w:pPr>
            <w:r>
              <w:rPr>
                <w:rFonts w:ascii="Times New Roman" w:hAnsi="Times New Roman"/>
                <w:b w:val="0"/>
                <w:i w:val="0"/>
                <w:color w:val="000000"/>
                <w:sz w:val="20"/>
              </w:rPr>
              <w:t xml:space="preserve">    4.1 Surrogate Keys</w:t>
            </w:r>
          </w:p>
        </w:tc>
        <w:tc>
          <w:tcPr>
            <w:tcW w:type="dxa" w:w="1440"/>
          </w:tcPr>
          <w:p>
            <w:pPr>
              <w:spacing w:before="20" w:after="20" w:line="276" w:lineRule="auto"/>
              <w:jc w:val="right"/>
            </w:pPr>
            <w:r>
              <w:rPr>
                <w:rFonts w:ascii="Times New Roman" w:hAnsi="Times New Roman"/>
                <w:b w:val="0"/>
                <w:i w:val="0"/>
                <w:color w:val="000000"/>
                <w:sz w:val="20"/>
              </w:rPr>
              <w:t>8</w:t>
            </w:r>
          </w:p>
        </w:tc>
      </w:tr>
      <w:tr>
        <w:tc>
          <w:tcPr>
            <w:tcW w:type="dxa" w:w="7920"/>
          </w:tcPr>
          <w:p>
            <w:pPr>
              <w:spacing w:before="20" w:after="20" w:line="276" w:lineRule="auto"/>
            </w:pPr>
            <w:r>
              <w:rPr>
                <w:rFonts w:ascii="Times New Roman" w:hAnsi="Times New Roman"/>
                <w:b w:val="0"/>
                <w:i w:val="0"/>
                <w:color w:val="000000"/>
                <w:sz w:val="20"/>
              </w:rPr>
              <w:t xml:space="preserve">    4.2 Loading the Warehouse</w:t>
            </w:r>
          </w:p>
        </w:tc>
        <w:tc>
          <w:tcPr>
            <w:tcW w:type="dxa" w:w="1440"/>
          </w:tcPr>
          <w:p>
            <w:pPr>
              <w:spacing w:before="20" w:after="20" w:line="276" w:lineRule="auto"/>
              <w:jc w:val="right"/>
            </w:pPr>
            <w:r>
              <w:rPr>
                <w:rFonts w:ascii="Times New Roman" w:hAnsi="Times New Roman"/>
                <w:b w:val="0"/>
                <w:i w:val="0"/>
                <w:color w:val="000000"/>
                <w:sz w:val="20"/>
              </w:rPr>
              <w:t>8</w:t>
            </w:r>
          </w:p>
        </w:tc>
      </w:tr>
      <w:tr>
        <w:tc>
          <w:tcPr>
            <w:tcW w:type="dxa" w:w="7920"/>
          </w:tcPr>
          <w:p>
            <w:pPr>
              <w:spacing w:before="20" w:after="20" w:line="276" w:lineRule="auto"/>
            </w:pPr>
            <w:r>
              <w:rPr>
                <w:rFonts w:ascii="Times New Roman" w:hAnsi="Times New Roman"/>
                <w:b w:val="0"/>
                <w:i w:val="0"/>
                <w:color w:val="000000"/>
                <w:sz w:val="20"/>
              </w:rPr>
              <w:t xml:space="preserve">    4.3 Load Order</w:t>
            </w:r>
          </w:p>
        </w:tc>
        <w:tc>
          <w:tcPr>
            <w:tcW w:type="dxa" w:w="1440"/>
          </w:tcPr>
          <w:p>
            <w:pPr>
              <w:spacing w:before="20" w:after="20" w:line="276" w:lineRule="auto"/>
              <w:jc w:val="right"/>
            </w:pPr>
            <w:r>
              <w:rPr>
                <w:rFonts w:ascii="Times New Roman" w:hAnsi="Times New Roman"/>
                <w:b w:val="0"/>
                <w:i w:val="0"/>
                <w:color w:val="000000"/>
                <w:sz w:val="20"/>
              </w:rPr>
              <w:t>9</w:t>
            </w:r>
          </w:p>
        </w:tc>
      </w:tr>
      <w:tr>
        <w:tc>
          <w:tcPr>
            <w:tcW w:type="dxa" w:w="7920"/>
          </w:tcPr>
          <w:p>
            <w:pPr>
              <w:spacing w:before="20" w:after="20" w:line="276" w:lineRule="auto"/>
            </w:pPr>
            <w:r>
              <w:rPr>
                <w:rFonts w:ascii="Times New Roman" w:hAnsi="Times New Roman"/>
                <w:b w:val="0"/>
                <w:i w:val="0"/>
                <w:color w:val="000000"/>
                <w:sz w:val="20"/>
              </w:rPr>
              <w:t xml:space="preserve">    4.4 Verification</w:t>
            </w:r>
          </w:p>
        </w:tc>
        <w:tc>
          <w:tcPr>
            <w:tcW w:type="dxa" w:w="1440"/>
          </w:tcPr>
          <w:p>
            <w:pPr>
              <w:spacing w:before="20" w:after="20" w:line="276" w:lineRule="auto"/>
              <w:jc w:val="right"/>
            </w:pPr>
            <w:r>
              <w:rPr>
                <w:rFonts w:ascii="Times New Roman" w:hAnsi="Times New Roman"/>
                <w:b w:val="0"/>
                <w:i w:val="0"/>
                <w:color w:val="000000"/>
                <w:sz w:val="20"/>
              </w:rPr>
              <w:t>9</w:t>
            </w:r>
          </w:p>
        </w:tc>
      </w:tr>
      <w:tr>
        <w:tc>
          <w:tcPr>
            <w:tcW w:type="dxa" w:w="7920"/>
          </w:tcPr>
          <w:p>
            <w:pPr>
              <w:spacing w:before="20" w:after="20" w:line="276" w:lineRule="auto"/>
            </w:pPr>
            <w:r>
              <w:rPr>
                <w:rFonts w:ascii="Times New Roman" w:hAnsi="Times New Roman"/>
                <w:b/>
                <w:i w:val="0"/>
                <w:color w:val="000000"/>
                <w:sz w:val="20"/>
              </w:rPr>
              <w:t>TASK 5: OLAP QUERIES</w:t>
            </w:r>
          </w:p>
        </w:tc>
        <w:tc>
          <w:tcPr>
            <w:tcW w:type="dxa" w:w="1440"/>
          </w:tcPr>
          <w:p>
            <w:pPr>
              <w:spacing w:before="20" w:after="20" w:line="276" w:lineRule="auto"/>
              <w:jc w:val="right"/>
            </w:pPr>
            <w:r>
              <w:rPr>
                <w:rFonts w:ascii="Times New Roman" w:hAnsi="Times New Roman"/>
                <w:b w:val="0"/>
                <w:i w:val="0"/>
                <w:color w:val="000000"/>
                <w:sz w:val="20"/>
              </w:rPr>
              <w:t>10</w:t>
            </w:r>
          </w:p>
        </w:tc>
      </w:tr>
      <w:tr>
        <w:tc>
          <w:tcPr>
            <w:tcW w:type="dxa" w:w="7920"/>
          </w:tcPr>
          <w:p>
            <w:pPr>
              <w:spacing w:before="20" w:after="20" w:line="276" w:lineRule="auto"/>
            </w:pPr>
            <w:r>
              <w:rPr>
                <w:rFonts w:ascii="Times New Roman" w:hAnsi="Times New Roman"/>
                <w:b w:val="0"/>
                <w:i w:val="0"/>
                <w:color w:val="000000"/>
                <w:sz w:val="20"/>
              </w:rPr>
              <w:t xml:space="preserve">    5.1 Slice</w:t>
            </w:r>
          </w:p>
        </w:tc>
        <w:tc>
          <w:tcPr>
            <w:tcW w:type="dxa" w:w="1440"/>
          </w:tcPr>
          <w:p>
            <w:pPr>
              <w:spacing w:before="20" w:after="20" w:line="276" w:lineRule="auto"/>
              <w:jc w:val="right"/>
            </w:pPr>
            <w:r>
              <w:rPr>
                <w:rFonts w:ascii="Times New Roman" w:hAnsi="Times New Roman"/>
                <w:b w:val="0"/>
                <w:i w:val="0"/>
                <w:color w:val="000000"/>
                <w:sz w:val="20"/>
              </w:rPr>
              <w:t>10</w:t>
            </w:r>
          </w:p>
        </w:tc>
      </w:tr>
      <w:tr>
        <w:tc>
          <w:tcPr>
            <w:tcW w:type="dxa" w:w="7920"/>
          </w:tcPr>
          <w:p>
            <w:pPr>
              <w:spacing w:before="20" w:after="20" w:line="276" w:lineRule="auto"/>
            </w:pPr>
            <w:r>
              <w:rPr>
                <w:rFonts w:ascii="Times New Roman" w:hAnsi="Times New Roman"/>
                <w:b w:val="0"/>
                <w:i w:val="0"/>
                <w:color w:val="000000"/>
                <w:sz w:val="20"/>
              </w:rPr>
              <w:t xml:space="preserve">    5.2 Dice</w:t>
            </w:r>
          </w:p>
        </w:tc>
        <w:tc>
          <w:tcPr>
            <w:tcW w:type="dxa" w:w="1440"/>
          </w:tcPr>
          <w:p>
            <w:pPr>
              <w:spacing w:before="20" w:after="20" w:line="276" w:lineRule="auto"/>
              <w:jc w:val="right"/>
            </w:pPr>
            <w:r>
              <w:rPr>
                <w:rFonts w:ascii="Times New Roman" w:hAnsi="Times New Roman"/>
                <w:b w:val="0"/>
                <w:i w:val="0"/>
                <w:color w:val="000000"/>
                <w:sz w:val="20"/>
              </w:rPr>
              <w:t>10</w:t>
            </w:r>
          </w:p>
        </w:tc>
      </w:tr>
      <w:tr>
        <w:tc>
          <w:tcPr>
            <w:tcW w:type="dxa" w:w="7920"/>
          </w:tcPr>
          <w:p>
            <w:pPr>
              <w:spacing w:before="20" w:after="20" w:line="276" w:lineRule="auto"/>
            </w:pPr>
            <w:r>
              <w:rPr>
                <w:rFonts w:ascii="Times New Roman" w:hAnsi="Times New Roman"/>
                <w:b w:val="0"/>
                <w:i w:val="0"/>
                <w:color w:val="000000"/>
                <w:sz w:val="20"/>
              </w:rPr>
              <w:t xml:space="preserve">    5.3 Roll Up</w:t>
            </w:r>
          </w:p>
        </w:tc>
        <w:tc>
          <w:tcPr>
            <w:tcW w:type="dxa" w:w="1440"/>
          </w:tcPr>
          <w:p>
            <w:pPr>
              <w:spacing w:before="20" w:after="20" w:line="276" w:lineRule="auto"/>
              <w:jc w:val="right"/>
            </w:pPr>
            <w:r>
              <w:rPr>
                <w:rFonts w:ascii="Times New Roman" w:hAnsi="Times New Roman"/>
                <w:b w:val="0"/>
                <w:i w:val="0"/>
                <w:color w:val="000000"/>
                <w:sz w:val="20"/>
              </w:rPr>
              <w:t>11</w:t>
            </w:r>
          </w:p>
        </w:tc>
      </w:tr>
      <w:tr>
        <w:tc>
          <w:tcPr>
            <w:tcW w:type="dxa" w:w="7920"/>
          </w:tcPr>
          <w:p>
            <w:pPr>
              <w:spacing w:before="20" w:after="20" w:line="276" w:lineRule="auto"/>
            </w:pPr>
            <w:r>
              <w:rPr>
                <w:rFonts w:ascii="Times New Roman" w:hAnsi="Times New Roman"/>
                <w:b w:val="0"/>
                <w:i w:val="0"/>
                <w:color w:val="000000"/>
                <w:sz w:val="20"/>
              </w:rPr>
              <w:t xml:space="preserve">    5.4 Drill Down</w:t>
            </w:r>
          </w:p>
        </w:tc>
        <w:tc>
          <w:tcPr>
            <w:tcW w:type="dxa" w:w="1440"/>
          </w:tcPr>
          <w:p>
            <w:pPr>
              <w:spacing w:before="20" w:after="20" w:line="276" w:lineRule="auto"/>
              <w:jc w:val="right"/>
            </w:pPr>
            <w:r>
              <w:rPr>
                <w:rFonts w:ascii="Times New Roman" w:hAnsi="Times New Roman"/>
                <w:b w:val="0"/>
                <w:i w:val="0"/>
                <w:color w:val="000000"/>
                <w:sz w:val="20"/>
              </w:rPr>
              <w:t>11</w:t>
            </w:r>
          </w:p>
        </w:tc>
      </w:tr>
      <w:tr>
        <w:tc>
          <w:tcPr>
            <w:tcW w:type="dxa" w:w="7920"/>
          </w:tcPr>
          <w:p>
            <w:pPr>
              <w:spacing w:before="20" w:after="20" w:line="276" w:lineRule="auto"/>
            </w:pPr>
            <w:r>
              <w:rPr>
                <w:rFonts w:ascii="Times New Roman" w:hAnsi="Times New Roman"/>
                <w:b w:val="0"/>
                <w:i w:val="0"/>
                <w:color w:val="000000"/>
                <w:sz w:val="20"/>
              </w:rPr>
              <w:t xml:space="preserve">    5.5 Pivot</w:t>
            </w:r>
          </w:p>
        </w:tc>
        <w:tc>
          <w:tcPr>
            <w:tcW w:type="dxa" w:w="1440"/>
          </w:tcPr>
          <w:p>
            <w:pPr>
              <w:spacing w:before="20" w:after="20" w:line="276" w:lineRule="auto"/>
              <w:jc w:val="right"/>
            </w:pPr>
            <w:r>
              <w:rPr>
                <w:rFonts w:ascii="Times New Roman" w:hAnsi="Times New Roman"/>
                <w:b w:val="0"/>
                <w:i w:val="0"/>
                <w:color w:val="000000"/>
                <w:sz w:val="20"/>
              </w:rPr>
              <w:t>12</w:t>
            </w:r>
          </w:p>
        </w:tc>
      </w:tr>
      <w:tr>
        <w:tc>
          <w:tcPr>
            <w:tcW w:type="dxa" w:w="7920"/>
          </w:tcPr>
          <w:p>
            <w:pPr>
              <w:spacing w:before="20" w:after="20" w:line="276" w:lineRule="auto"/>
            </w:pPr>
            <w:r>
              <w:rPr>
                <w:rFonts w:ascii="Times New Roman" w:hAnsi="Times New Roman"/>
                <w:b/>
                <w:i w:val="0"/>
                <w:color w:val="000000"/>
                <w:sz w:val="20"/>
              </w:rPr>
              <w:t>TASK 6: DASHBOARD</w:t>
            </w:r>
          </w:p>
        </w:tc>
        <w:tc>
          <w:tcPr>
            <w:tcW w:type="dxa" w:w="1440"/>
          </w:tcPr>
          <w:p>
            <w:pPr>
              <w:spacing w:before="20" w:after="20" w:line="276" w:lineRule="auto"/>
              <w:jc w:val="right"/>
            </w:pPr>
            <w:r>
              <w:rPr>
                <w:rFonts w:ascii="Times New Roman" w:hAnsi="Times New Roman"/>
                <w:b w:val="0"/>
                <w:i w:val="0"/>
                <w:color w:val="000000"/>
                <w:sz w:val="20"/>
              </w:rPr>
              <w:t>13</w:t>
            </w:r>
          </w:p>
        </w:tc>
      </w:tr>
      <w:tr>
        <w:tc>
          <w:tcPr>
            <w:tcW w:type="dxa" w:w="7920"/>
          </w:tcPr>
          <w:p>
            <w:pPr>
              <w:spacing w:before="20" w:after="20" w:line="276" w:lineRule="auto"/>
            </w:pPr>
            <w:r>
              <w:rPr>
                <w:rFonts w:ascii="Times New Roman" w:hAnsi="Times New Roman"/>
                <w:b w:val="0"/>
                <w:i w:val="0"/>
                <w:color w:val="000000"/>
                <w:sz w:val="20"/>
              </w:rPr>
              <w:t xml:space="preserve">    6.1 Dashboard Visuals</w:t>
            </w:r>
          </w:p>
        </w:tc>
        <w:tc>
          <w:tcPr>
            <w:tcW w:type="dxa" w:w="1440"/>
          </w:tcPr>
          <w:p>
            <w:pPr>
              <w:spacing w:before="20" w:after="20" w:line="276" w:lineRule="auto"/>
              <w:jc w:val="right"/>
            </w:pPr>
            <w:r>
              <w:rPr>
                <w:rFonts w:ascii="Times New Roman" w:hAnsi="Times New Roman"/>
                <w:b w:val="0"/>
                <w:i w:val="0"/>
                <w:color w:val="000000"/>
                <w:sz w:val="20"/>
              </w:rPr>
              <w:t>13</w:t>
            </w:r>
          </w:p>
        </w:tc>
      </w:tr>
      <w:tr>
        <w:tc>
          <w:tcPr>
            <w:tcW w:type="dxa" w:w="7920"/>
          </w:tcPr>
          <w:p>
            <w:pPr>
              <w:spacing w:before="20" w:after="20" w:line="276" w:lineRule="auto"/>
            </w:pPr>
            <w:r>
              <w:rPr>
                <w:rFonts w:ascii="Times New Roman" w:hAnsi="Times New Roman"/>
                <w:b w:val="0"/>
                <w:i w:val="0"/>
                <w:color w:val="000000"/>
                <w:sz w:val="20"/>
              </w:rPr>
              <w:t xml:space="preserve">    6.2 Chart Choices</w:t>
            </w:r>
          </w:p>
        </w:tc>
        <w:tc>
          <w:tcPr>
            <w:tcW w:type="dxa" w:w="1440"/>
          </w:tcPr>
          <w:p>
            <w:pPr>
              <w:spacing w:before="20" w:after="20" w:line="276" w:lineRule="auto"/>
              <w:jc w:val="right"/>
            </w:pPr>
            <w:r>
              <w:rPr>
                <w:rFonts w:ascii="Times New Roman" w:hAnsi="Times New Roman"/>
                <w:b w:val="0"/>
                <w:i w:val="0"/>
                <w:color w:val="000000"/>
                <w:sz w:val="20"/>
              </w:rPr>
              <w:t>13</w:t>
            </w:r>
          </w:p>
        </w:tc>
      </w:tr>
      <w:tr>
        <w:tc>
          <w:tcPr>
            <w:tcW w:type="dxa" w:w="7920"/>
          </w:tcPr>
          <w:p>
            <w:pPr>
              <w:spacing w:before="20" w:after="20" w:line="276" w:lineRule="auto"/>
            </w:pPr>
            <w:r>
              <w:rPr>
                <w:rFonts w:ascii="Times New Roman" w:hAnsi="Times New Roman"/>
                <w:b w:val="0"/>
                <w:i w:val="0"/>
                <w:color w:val="000000"/>
                <w:sz w:val="20"/>
              </w:rPr>
              <w:t xml:space="preserve">    6.3 Dashboard Filter</w:t>
            </w:r>
          </w:p>
        </w:tc>
        <w:tc>
          <w:tcPr>
            <w:tcW w:type="dxa" w:w="1440"/>
          </w:tcPr>
          <w:p>
            <w:pPr>
              <w:spacing w:before="20" w:after="20" w:line="276" w:lineRule="auto"/>
              <w:jc w:val="right"/>
            </w:pPr>
            <w:r>
              <w:rPr>
                <w:rFonts w:ascii="Times New Roman" w:hAnsi="Times New Roman"/>
                <w:b w:val="0"/>
                <w:i w:val="0"/>
                <w:color w:val="000000"/>
                <w:sz w:val="20"/>
              </w:rPr>
              <w:t>14</w:t>
            </w:r>
          </w:p>
        </w:tc>
      </w:tr>
      <w:tr>
        <w:tc>
          <w:tcPr>
            <w:tcW w:type="dxa" w:w="7920"/>
          </w:tcPr>
          <w:p>
            <w:pPr>
              <w:spacing w:before="20" w:after="20" w:line="276" w:lineRule="auto"/>
            </w:pPr>
            <w:r>
              <w:rPr>
                <w:rFonts w:ascii="Times New Roman" w:hAnsi="Times New Roman"/>
                <w:b/>
                <w:i w:val="0"/>
                <w:color w:val="000000"/>
                <w:sz w:val="20"/>
              </w:rPr>
              <w:t>TASK 7: A PATIENT CHANGES DISTRICT</w:t>
            </w:r>
          </w:p>
        </w:tc>
        <w:tc>
          <w:tcPr>
            <w:tcW w:type="dxa" w:w="1440"/>
          </w:tcPr>
          <w:p>
            <w:pPr>
              <w:spacing w:before="20" w:after="20" w:line="276" w:lineRule="auto"/>
              <w:jc w:val="right"/>
            </w:pPr>
            <w:r>
              <w:rPr>
                <w:rFonts w:ascii="Times New Roman" w:hAnsi="Times New Roman"/>
                <w:b w:val="0"/>
                <w:i w:val="0"/>
                <w:color w:val="000000"/>
                <w:sz w:val="20"/>
              </w:rPr>
              <w:t>15</w:t>
            </w:r>
          </w:p>
        </w:tc>
      </w:tr>
      <w:tr>
        <w:tc>
          <w:tcPr>
            <w:tcW w:type="dxa" w:w="7920"/>
          </w:tcPr>
          <w:p>
            <w:pPr>
              <w:spacing w:before="20" w:after="20" w:line="276" w:lineRule="auto"/>
            </w:pPr>
            <w:r>
              <w:rPr>
                <w:rFonts w:ascii="Times New Roman" w:hAnsi="Times New Roman"/>
                <w:b w:val="0"/>
                <w:i w:val="0"/>
                <w:color w:val="000000"/>
                <w:sz w:val="20"/>
              </w:rPr>
              <w:t xml:space="preserve">    7.1 Overwrite Approach</w:t>
            </w:r>
          </w:p>
        </w:tc>
        <w:tc>
          <w:tcPr>
            <w:tcW w:type="dxa" w:w="1440"/>
          </w:tcPr>
          <w:p>
            <w:pPr>
              <w:spacing w:before="20" w:after="20" w:line="276" w:lineRule="auto"/>
              <w:jc w:val="right"/>
            </w:pPr>
            <w:r>
              <w:rPr>
                <w:rFonts w:ascii="Times New Roman" w:hAnsi="Times New Roman"/>
                <w:b w:val="0"/>
                <w:i w:val="0"/>
                <w:color w:val="000000"/>
                <w:sz w:val="20"/>
              </w:rPr>
              <w:t>15</w:t>
            </w:r>
          </w:p>
        </w:tc>
      </w:tr>
      <w:tr>
        <w:tc>
          <w:tcPr>
            <w:tcW w:type="dxa" w:w="7920"/>
          </w:tcPr>
          <w:p>
            <w:pPr>
              <w:spacing w:before="20" w:after="20" w:line="276" w:lineRule="auto"/>
            </w:pPr>
            <w:r>
              <w:rPr>
                <w:rFonts w:ascii="Times New Roman" w:hAnsi="Times New Roman"/>
                <w:b w:val="0"/>
                <w:i w:val="0"/>
                <w:color w:val="000000"/>
                <w:sz w:val="20"/>
              </w:rPr>
              <w:t xml:space="preserve">    7.2 Keep-History Approach</w:t>
            </w:r>
          </w:p>
        </w:tc>
        <w:tc>
          <w:tcPr>
            <w:tcW w:type="dxa" w:w="1440"/>
          </w:tcPr>
          <w:p>
            <w:pPr>
              <w:spacing w:before="20" w:after="20" w:line="276" w:lineRule="auto"/>
              <w:jc w:val="right"/>
            </w:pPr>
            <w:r>
              <w:rPr>
                <w:rFonts w:ascii="Times New Roman" w:hAnsi="Times New Roman"/>
                <w:b w:val="0"/>
                <w:i w:val="0"/>
                <w:color w:val="000000"/>
                <w:sz w:val="20"/>
              </w:rPr>
              <w:t>15</w:t>
            </w:r>
          </w:p>
        </w:tc>
      </w:tr>
      <w:tr>
        <w:tc>
          <w:tcPr>
            <w:tcW w:type="dxa" w:w="7920"/>
          </w:tcPr>
          <w:p>
            <w:pPr>
              <w:spacing w:before="20" w:after="20" w:line="276" w:lineRule="auto"/>
            </w:pPr>
            <w:r>
              <w:rPr>
                <w:rFonts w:ascii="Times New Roman" w:hAnsi="Times New Roman"/>
                <w:b/>
                <w:i w:val="0"/>
                <w:color w:val="000000"/>
                <w:sz w:val="20"/>
              </w:rPr>
              <w:t>REFERENCES</w:t>
            </w:r>
          </w:p>
        </w:tc>
        <w:tc>
          <w:tcPr>
            <w:tcW w:type="dxa" w:w="1440"/>
          </w:tcPr>
          <w:p>
            <w:pPr>
              <w:spacing w:before="20" w:after="20" w:line="276" w:lineRule="auto"/>
              <w:jc w:val="right"/>
            </w:pPr>
            <w:r>
              <w:rPr>
                <w:rFonts w:ascii="Times New Roman" w:hAnsi="Times New Roman"/>
                <w:b w:val="0"/>
                <w:i w:val="0"/>
                <w:color w:val="000000"/>
                <w:sz w:val="20"/>
              </w:rPr>
              <w:t>16</w:t>
            </w:r>
          </w:p>
        </w:tc>
      </w:tr>
      <w:tr>
        <w:tc>
          <w:tcPr>
            <w:tcW w:type="dxa" w:w="7920"/>
          </w:tcPr>
          <w:p>
            <w:pPr>
              <w:spacing w:before="20" w:after="20" w:line="276" w:lineRule="auto"/>
            </w:pPr>
            <w:r>
              <w:rPr>
                <w:rFonts w:ascii="Times New Roman" w:hAnsi="Times New Roman"/>
                <w:b/>
                <w:i w:val="0"/>
                <w:color w:val="000000"/>
                <w:sz w:val="20"/>
              </w:rPr>
              <w:t>APPENDICES</w:t>
            </w:r>
          </w:p>
        </w:tc>
        <w:tc>
          <w:tcPr>
            <w:tcW w:type="dxa" w:w="1440"/>
          </w:tcPr>
          <w:p>
            <w:pPr>
              <w:spacing w:before="20" w:after="20" w:line="276" w:lineRule="auto"/>
              <w:jc w:val="right"/>
            </w:pPr>
            <w:r>
              <w:rPr>
                <w:rFonts w:ascii="Times New Roman" w:hAnsi="Times New Roman"/>
                <w:b w:val="0"/>
                <w:i w:val="0"/>
                <w:color w:val="000000"/>
                <w:sz w:val="20"/>
              </w:rPr>
              <w:t>17</w:t>
            </w:r>
          </w:p>
        </w:tc>
      </w:tr>
      <w:tr>
        <w:tc>
          <w:tcPr>
            <w:tcW w:type="dxa" w:w="7920"/>
          </w:tcPr>
          <w:p>
            <w:pPr>
              <w:spacing w:before="20" w:after="20" w:line="276" w:lineRule="auto"/>
            </w:pPr>
            <w:r>
              <w:rPr>
                <w:rFonts w:ascii="Times New Roman" w:hAnsi="Times New Roman"/>
                <w:b w:val="0"/>
                <w:i w:val="0"/>
                <w:color w:val="000000"/>
                <w:sz w:val="20"/>
              </w:rPr>
              <w:t xml:space="preserve">    Appendix A: GitHub Repository</w:t>
            </w:r>
          </w:p>
        </w:tc>
        <w:tc>
          <w:tcPr>
            <w:tcW w:type="dxa" w:w="1440"/>
          </w:tcPr>
          <w:p>
            <w:pPr>
              <w:spacing w:before="20" w:after="20" w:line="276" w:lineRule="auto"/>
              <w:jc w:val="right"/>
            </w:pPr>
            <w:r>
              <w:rPr>
                <w:rFonts w:ascii="Times New Roman" w:hAnsi="Times New Roman"/>
                <w:b w:val="0"/>
                <w:i w:val="0"/>
                <w:color w:val="000000"/>
                <w:sz w:val="20"/>
              </w:rPr>
              <w:t>17</w:t>
            </w:r>
          </w:p>
        </w:tc>
      </w:tr>
    </w:tbl>
    <w:p>
      <w:pPr>
        <w:keepNext/>
        <w:spacing w:before="280" w:after="120"/>
      </w:pPr>
      <w:r>
        <w:rPr>
          <w:rFonts w:ascii="Times New Roman" w:hAnsi="Times New Roman"/>
          <w:b/>
          <w:i w:val="0"/>
          <w:color w:val="142D55"/>
          <w:sz w:val="26"/>
        </w:rPr>
        <w:t>Table of Figures and Tables</w:t>
      </w:r>
    </w:p>
    <w:tbl>
      <w:tblPr>
        <w:tblW w:type="auto" w:w="0"/>
        <w:jc w:val="center"/>
        <w:tblLook w:firstColumn="1" w:firstRow="1" w:lastColumn="0" w:lastRow="0" w:noHBand="0" w:noVBand="1" w:val="04A0"/>
      </w:tblPr>
      <w:tblGrid>
        <w:gridCol w:w="4680"/>
        <w:gridCol w:w="4680"/>
      </w:tblGrid>
      <w:tr>
        <w:tc>
          <w:tcPr>
            <w:tcW w:type="dxa" w:w="7920"/>
          </w:tcPr>
          <w:p>
            <w:pPr>
              <w:spacing w:before="20" w:after="20" w:line="276" w:lineRule="auto"/>
            </w:pPr>
            <w:r>
              <w:rPr>
                <w:rFonts w:ascii="Times New Roman" w:hAnsi="Times New Roman"/>
                <w:b w:val="0"/>
                <w:i w:val="0"/>
                <w:color w:val="000000"/>
                <w:sz w:val="20"/>
              </w:rPr>
              <w:t>Figure 1: Star Schema Entity Relationship Diagram (ERD)</w:t>
            </w:r>
          </w:p>
        </w:tc>
        <w:tc>
          <w:tcPr>
            <w:tcW w:type="dxa" w:w="1440"/>
          </w:tcPr>
          <w:p>
            <w:pPr>
              <w:spacing w:before="20" w:after="20" w:line="276" w:lineRule="auto"/>
              <w:jc w:val="right"/>
            </w:pPr>
            <w:r>
              <w:rPr>
                <w:rFonts w:ascii="Times New Roman" w:hAnsi="Times New Roman"/>
                <w:b w:val="0"/>
                <w:i w:val="0"/>
                <w:color w:val="000000"/>
                <w:sz w:val="20"/>
              </w:rPr>
              <w:t>4</w:t>
            </w:r>
          </w:p>
        </w:tc>
      </w:tr>
      <w:tr>
        <w:tc>
          <w:tcPr>
            <w:tcW w:type="dxa" w:w="7920"/>
          </w:tcPr>
          <w:p>
            <w:pPr>
              <w:spacing w:before="20" w:after="20" w:line="276" w:lineRule="auto"/>
            </w:pPr>
            <w:r>
              <w:rPr>
                <w:rFonts w:ascii="Times New Roman" w:hAnsi="Times New Roman"/>
                <w:b w:val="0"/>
                <w:i w:val="0"/>
                <w:color w:val="000000"/>
                <w:sz w:val="20"/>
              </w:rPr>
              <w:t>Figure 2: Metabase Operations Performance Dashboard (Unfiltered)</w:t>
            </w:r>
          </w:p>
        </w:tc>
        <w:tc>
          <w:tcPr>
            <w:tcW w:type="dxa" w:w="1440"/>
          </w:tcPr>
          <w:p>
            <w:pPr>
              <w:spacing w:before="20" w:after="20" w:line="276" w:lineRule="auto"/>
              <w:jc w:val="right"/>
            </w:pPr>
            <w:r>
              <w:rPr>
                <w:rFonts w:ascii="Times New Roman" w:hAnsi="Times New Roman"/>
                <w:b w:val="0"/>
                <w:i w:val="0"/>
                <w:color w:val="000000"/>
                <w:sz w:val="20"/>
              </w:rPr>
              <w:t>13</w:t>
            </w:r>
          </w:p>
        </w:tc>
      </w:tr>
      <w:tr>
        <w:tc>
          <w:tcPr>
            <w:tcW w:type="dxa" w:w="7920"/>
          </w:tcPr>
          <w:p>
            <w:pPr>
              <w:spacing w:before="20" w:after="20" w:line="276" w:lineRule="auto"/>
            </w:pPr>
            <w:r>
              <w:rPr>
                <w:rFonts w:ascii="Times New Roman" w:hAnsi="Times New Roman"/>
                <w:b w:val="0"/>
                <w:i w:val="0"/>
                <w:color w:val="000000"/>
                <w:sz w:val="20"/>
              </w:rPr>
              <w:t>Figure 3: Metabase Operations Performance Dashboard (Filtered on Colombo Branch)</w:t>
            </w:r>
          </w:p>
        </w:tc>
        <w:tc>
          <w:tcPr>
            <w:tcW w:type="dxa" w:w="1440"/>
          </w:tcPr>
          <w:p>
            <w:pPr>
              <w:spacing w:before="20" w:after="20" w:line="276" w:lineRule="auto"/>
              <w:jc w:val="right"/>
            </w:pPr>
            <w:r>
              <w:rPr>
                <w:rFonts w:ascii="Times New Roman" w:hAnsi="Times New Roman"/>
                <w:b w:val="0"/>
                <w:i w:val="0"/>
                <w:color w:val="000000"/>
                <w:sz w:val="20"/>
              </w:rPr>
              <w:t>14</w:t>
            </w:r>
          </w:p>
        </w:tc>
      </w:tr>
      <w:tr>
        <w:tc>
          <w:tcPr>
            <w:tcW w:type="dxa" w:w="7920"/>
          </w:tcPr>
          <w:p>
            <w:pPr>
              <w:spacing w:before="20" w:after="20" w:line="276" w:lineRule="auto"/>
            </w:pPr>
            <w:r>
              <w:rPr>
                <w:rFonts w:ascii="Times New Roman" w:hAnsi="Times New Roman"/>
                <w:b w:val="0"/>
                <w:i w:val="0"/>
                <w:color w:val="000000"/>
                <w:sz w:val="20"/>
              </w:rPr>
              <w:t>Table 1: Additivity Analysis of Business Measures</w:t>
            </w:r>
          </w:p>
        </w:tc>
        <w:tc>
          <w:tcPr>
            <w:tcW w:type="dxa" w:w="1440"/>
          </w:tcPr>
          <w:p>
            <w:pPr>
              <w:spacing w:before="20" w:after="20" w:line="276" w:lineRule="auto"/>
              <w:jc w:val="right"/>
            </w:pPr>
            <w:r>
              <w:rPr>
                <w:rFonts w:ascii="Times New Roman" w:hAnsi="Times New Roman"/>
                <w:b w:val="0"/>
                <w:i w:val="0"/>
                <w:color w:val="000000"/>
                <w:sz w:val="20"/>
              </w:rPr>
              <w:t>2</w:t>
            </w:r>
          </w:p>
        </w:tc>
      </w:tr>
      <w:tr>
        <w:tc>
          <w:tcPr>
            <w:tcW w:type="dxa" w:w="7920"/>
          </w:tcPr>
          <w:p>
            <w:pPr>
              <w:spacing w:before="20" w:after="20" w:line="276" w:lineRule="auto"/>
            </w:pPr>
            <w:r>
              <w:rPr>
                <w:rFonts w:ascii="Times New Roman" w:hAnsi="Times New Roman"/>
                <w:b w:val="0"/>
                <w:i w:val="0"/>
                <w:color w:val="000000"/>
                <w:sz w:val="20"/>
              </w:rPr>
              <w:t>Table 2: Comprehensive Raw Data Quality Profile Summary</w:t>
            </w:r>
          </w:p>
        </w:tc>
        <w:tc>
          <w:tcPr>
            <w:tcW w:type="dxa" w:w="1440"/>
          </w:tcPr>
          <w:p>
            <w:pPr>
              <w:spacing w:before="20" w:after="20" w:line="276" w:lineRule="auto"/>
              <w:jc w:val="right"/>
            </w:pPr>
            <w:r>
              <w:rPr>
                <w:rFonts w:ascii="Times New Roman" w:hAnsi="Times New Roman"/>
                <w:b w:val="0"/>
                <w:i w:val="0"/>
                <w:color w:val="000000"/>
                <w:sz w:val="20"/>
              </w:rPr>
              <w:t>5</w:t>
            </w:r>
          </w:p>
        </w:tc>
      </w:tr>
      <w:tr>
        <w:tc>
          <w:tcPr>
            <w:tcW w:type="dxa" w:w="7920"/>
          </w:tcPr>
          <w:p>
            <w:pPr>
              <w:spacing w:before="20" w:after="20" w:line="276" w:lineRule="auto"/>
            </w:pPr>
            <w:r>
              <w:rPr>
                <w:rFonts w:ascii="Times New Roman" w:hAnsi="Times New Roman"/>
                <w:b w:val="0"/>
                <w:i w:val="0"/>
                <w:color w:val="000000"/>
                <w:sz w:val="20"/>
              </w:rPr>
              <w:t>Table 3: Table Row Counts and Referential Integrity Verification</w:t>
            </w:r>
          </w:p>
        </w:tc>
        <w:tc>
          <w:tcPr>
            <w:tcW w:type="dxa" w:w="1440"/>
          </w:tcPr>
          <w:p>
            <w:pPr>
              <w:spacing w:before="20" w:after="20" w:line="276" w:lineRule="auto"/>
              <w:jc w:val="right"/>
            </w:pPr>
            <w:r>
              <w:rPr>
                <w:rFonts w:ascii="Times New Roman" w:hAnsi="Times New Roman"/>
                <w:b w:val="0"/>
                <w:i w:val="0"/>
                <w:color w:val="000000"/>
                <w:sz w:val="20"/>
              </w:rPr>
              <w:t>9</w:t>
            </w:r>
          </w:p>
        </w:tc>
      </w:tr>
      <w:tr>
        <w:tc>
          <w:tcPr>
            <w:tcW w:type="dxa" w:w="7920"/>
          </w:tcPr>
          <w:p>
            <w:pPr>
              <w:spacing w:before="20" w:after="20" w:line="276" w:lineRule="auto"/>
            </w:pPr>
            <w:r>
              <w:rPr>
                <w:rFonts w:ascii="Times New Roman" w:hAnsi="Times New Roman"/>
                <w:b w:val="0"/>
                <w:i w:val="0"/>
                <w:color w:val="000000"/>
                <w:sz w:val="20"/>
              </w:rPr>
              <w:t>Table 4: SCD Type 1 Overwrite District Appointment Distribution Impact</w:t>
            </w:r>
          </w:p>
        </w:tc>
        <w:tc>
          <w:tcPr>
            <w:tcW w:type="dxa" w:w="1440"/>
          </w:tcPr>
          <w:p>
            <w:pPr>
              <w:spacing w:before="20" w:after="20" w:line="276" w:lineRule="auto"/>
              <w:jc w:val="right"/>
            </w:pPr>
            <w:r>
              <w:rPr>
                <w:rFonts w:ascii="Times New Roman" w:hAnsi="Times New Roman"/>
                <w:b w:val="0"/>
                <w:i w:val="0"/>
                <w:color w:val="000000"/>
                <w:sz w:val="20"/>
              </w:rPr>
              <w:t>15</w:t>
            </w:r>
          </w:p>
        </w:tc>
      </w:tr>
    </w:tbl>
    <w:p>
      <w:r>
        <w:br w:type="page"/>
      </w:r>
    </w:p>
    <w:p>
      <w:pPr>
        <w:keepNext/>
        <w:spacing w:before="280" w:after="120"/>
      </w:pPr>
      <w:r>
        <w:rPr>
          <w:rFonts w:ascii="Times New Roman" w:hAnsi="Times New Roman"/>
          <w:b/>
          <w:i w:val="0"/>
          <w:color w:val="142D55"/>
          <w:sz w:val="26"/>
        </w:rPr>
        <w:t>INTRODUCTION</w:t>
      </w:r>
    </w:p>
    <w:p>
      <w:pPr>
        <w:spacing w:before="0" w:after="120" w:line="360" w:lineRule="auto"/>
        <w:jc w:val="both"/>
      </w:pPr>
      <w:r>
        <w:rPr>
          <w:rFonts w:ascii="Times New Roman" w:hAnsi="Times New Roman"/>
          <w:b w:val="0"/>
          <w:i w:val="0"/>
          <w:color w:val="000000"/>
          <w:sz w:val="24"/>
        </w:rPr>
        <w:t>Lotus Care Outpatient Clinics operates five outpatient clinic centers across Sri Lanka. The operations management team requires an analytical data warehousing system to evaluate patient waiting times, doctor clinical workloads, and consultation fee revenue for the 2025 financial year. This project delivers an end-to-end data warehouse, converting unchecked transactional CSV datasets into an optimized Star Schema and an interactive executive dashboard. In strict accordance with laboratory guidelines, four specialized tools were employed: Python with pandas in Jupyter Notebook for data profiling and ETL; PostgreSQL for relational storage and SQL execution; DBeaver Community for DDL execution and visual ERD generation; and Metabase Community for executive visual reporting.</w:t>
      </w:r>
    </w:p>
    <w:p>
      <w:pPr>
        <w:keepNext/>
        <w:spacing w:before="280" w:after="120"/>
      </w:pPr>
      <w:r>
        <w:rPr>
          <w:rFonts w:ascii="Times New Roman" w:hAnsi="Times New Roman"/>
          <w:b/>
          <w:i w:val="0"/>
          <w:color w:val="142D55"/>
          <w:sz w:val="26"/>
        </w:rPr>
        <w:t>TASK 1: BUSINESS QUESTIONS AND GRAIN</w:t>
      </w:r>
    </w:p>
    <w:p>
      <w:pPr>
        <w:keepNext/>
        <w:spacing w:before="200" w:after="80"/>
      </w:pPr>
      <w:r>
        <w:rPr>
          <w:rFonts w:ascii="Times New Roman" w:hAnsi="Times New Roman"/>
          <w:b/>
          <w:i w:val="0"/>
          <w:color w:val="284678"/>
          <w:sz w:val="24"/>
        </w:rPr>
        <w:t>1.1 Business Questions</w:t>
      </w:r>
    </w:p>
    <w:p>
      <w:pPr>
        <w:spacing w:before="0" w:after="120" w:line="360" w:lineRule="auto"/>
        <w:jc w:val="both"/>
      </w:pPr>
      <w:r>
        <w:rPr>
          <w:rFonts w:ascii="Times New Roman" w:hAnsi="Times New Roman"/>
          <w:b w:val="0"/>
          <w:i w:val="0"/>
          <w:color w:val="000000"/>
          <w:sz w:val="24"/>
        </w:rPr>
        <w:t>To assist the operations manager, three core analytical business questions were defined, each linking one quantitative measure with one descriptive dimension:</w:t>
      </w:r>
    </w:p>
    <w:p>
      <w:pPr>
        <w:spacing w:before="0" w:after="120" w:line="360" w:lineRule="auto"/>
        <w:jc w:val="both"/>
      </w:pPr>
      <w:r>
        <w:rPr>
          <w:rFonts w:ascii="Times New Roman" w:hAnsi="Times New Roman"/>
          <w:b w:val="0"/>
          <w:i w:val="0"/>
          <w:color w:val="000000"/>
          <w:sz w:val="24"/>
        </w:rPr>
        <w:t>1. Question 1 (Wait Times vs Clinic): What is the average patient waiting time in minutes (measure: wait_minutes) across each clinic branch (dimension: dim_clinic) during 2025?</w:t>
      </w:r>
    </w:p>
    <w:p>
      <w:pPr>
        <w:spacing w:before="0" w:after="120" w:line="360" w:lineRule="auto"/>
        <w:jc w:val="both"/>
      </w:pPr>
      <w:r>
        <w:rPr>
          <w:rFonts w:ascii="Times New Roman" w:hAnsi="Times New Roman"/>
          <w:b w:val="0"/>
          <w:i w:val="0"/>
          <w:color w:val="000000"/>
          <w:sz w:val="24"/>
        </w:rPr>
        <w:t>2. Question 2 (Doctor Workload vs Specialty): What is the total consultation time in minutes (measure: consultation_minutes) delivered by each medical specialty and doctor (dimension: dim_doctor)?</w:t>
      </w:r>
    </w:p>
    <w:p>
      <w:pPr>
        <w:spacing w:before="0" w:after="120" w:line="360" w:lineRule="auto"/>
        <w:jc w:val="both"/>
      </w:pPr>
      <w:r>
        <w:rPr>
          <w:rFonts w:ascii="Times New Roman" w:hAnsi="Times New Roman"/>
          <w:b w:val="0"/>
          <w:i w:val="0"/>
          <w:color w:val="000000"/>
          <w:sz w:val="24"/>
        </w:rPr>
        <w:t>3. Question 3 (Revenue vs Time): What is the total fee revenue in Sri Lankan Rupees (measure: fee) generated by month and quarter (dimension: dim_date) across all branches?</w:t>
      </w:r>
    </w:p>
    <w:p>
      <w:pPr>
        <w:keepNext/>
        <w:spacing w:before="200" w:after="80"/>
      </w:pPr>
      <w:r>
        <w:rPr>
          <w:rFonts w:ascii="Times New Roman" w:hAnsi="Times New Roman"/>
          <w:b/>
          <w:i w:val="0"/>
          <w:color w:val="284678"/>
          <w:sz w:val="24"/>
        </w:rPr>
        <w:t>1.2 Grain Statement</w:t>
      </w:r>
    </w:p>
    <w:p>
      <w:pPr>
        <w:spacing w:before="0" w:after="120" w:line="360" w:lineRule="auto"/>
        <w:jc w:val="both"/>
      </w:pPr>
      <w:r>
        <w:rPr>
          <w:rFonts w:ascii="Times New Roman" w:hAnsi="Times New Roman"/>
          <w:b w:val="0"/>
          <w:i w:val="0"/>
          <w:color w:val="000000"/>
          <w:sz w:val="24"/>
        </w:rPr>
        <w:t>The grain of fact_appointment is one individual outpatient consultation booking for a specific patient with a specific doctor at a specific clinic branch on a single calendar date.</w:t>
      </w:r>
    </w:p>
    <w:p>
      <w:pPr>
        <w:spacing w:before="0" w:after="120" w:line="360" w:lineRule="auto"/>
        <w:jc w:val="both"/>
      </w:pPr>
      <w:r>
        <w:rPr>
          <w:rFonts w:ascii="Times New Roman" w:hAnsi="Times New Roman"/>
          <w:b w:val="0"/>
          <w:i w:val="0"/>
          <w:color w:val="000000"/>
          <w:sz w:val="24"/>
        </w:rPr>
        <w:t>A row recording the total weekly consultation fee aggregated across an entire clinic would break this grain because it represents an aggregated summary rather than an atomic single-event consultation booking.</w:t>
      </w:r>
    </w:p>
    <w:p>
      <w:pPr>
        <w:keepNext/>
        <w:spacing w:before="200" w:after="80"/>
      </w:pPr>
      <w:r>
        <w:rPr>
          <w:rFonts w:ascii="Times New Roman" w:hAnsi="Times New Roman"/>
          <w:b/>
          <w:i w:val="0"/>
          <w:color w:val="284678"/>
          <w:sz w:val="24"/>
        </w:rPr>
        <w:t>1.3 Measures and Totals</w:t>
      </w:r>
    </w:p>
    <w:p>
      <w:pPr>
        <w:spacing w:before="0" w:after="120" w:line="360" w:lineRule="auto"/>
        <w:jc w:val="both"/>
      </w:pPr>
      <w:r>
        <w:rPr>
          <w:rFonts w:ascii="Times New Roman" w:hAnsi="Times New Roman"/>
          <w:b w:val="0"/>
          <w:i w:val="0"/>
          <w:color w:val="000000"/>
          <w:sz w:val="24"/>
        </w:rPr>
        <w:t>Table 1 classifies the additivity of each numeric measure across dimensional hierarchies.</w:t>
      </w:r>
    </w:p>
    <w:tbl>
      <w:tblPr>
        <w:tblW w:type="auto" w:w="0"/>
        <w:jc w:val="center"/>
        <w:tblLook w:firstColumn="1" w:firstRow="1" w:lastColumn="0" w:lastRow="0" w:noHBand="0" w:noVBand="1" w:val="04A0"/>
      </w:tblPr>
      <w:tblGrid>
        <w:gridCol w:w="3120"/>
        <w:gridCol w:w="3120"/>
        <w:gridCol w:w="3120"/>
      </w:tblGrid>
      <w:tr>
        <w:trPr>
          <w:cantSplit/>
        </w:trPr>
        <w:tc>
          <w:tcPr>
            <w:tcW w:type="dxa" w:w="2160"/>
            <w:vAlign w:val="center"/>
            <w:tcMar>
              <w:top w:w="120" w:type="dxa"/>
              <w:left w:w="160" w:type="dxa"/>
              <w:bottom w:w="120" w:type="dxa"/>
              <w:right w:w="160" w:type="dxa"/>
            </w:tcMar>
            <w:shd w:fill="1E3A8A"/>
          </w:tcPr>
          <w:p>
            <w:pPr>
              <w:spacing w:before="40" w:after="40"/>
              <w:jc w:val="center"/>
            </w:pPr>
            <w:r>
              <w:rPr>
                <w:rFonts w:ascii="Times New Roman" w:hAnsi="Times New Roman"/>
                <w:b/>
                <w:i w:val="0"/>
                <w:color w:val="FFFFFF"/>
                <w:sz w:val="20"/>
              </w:rPr>
              <w:t>Measure</w:t>
            </w:r>
          </w:p>
        </w:tc>
        <w:tc>
          <w:tcPr>
            <w:tcW w:type="dxa" w:w="1872"/>
            <w:vAlign w:val="center"/>
            <w:tcMar>
              <w:top w:w="120" w:type="dxa"/>
              <w:left w:w="160" w:type="dxa"/>
              <w:bottom w:w="120" w:type="dxa"/>
              <w:right w:w="160" w:type="dxa"/>
            </w:tcMar>
            <w:shd w:fill="1E3A8A"/>
          </w:tcPr>
          <w:p>
            <w:pPr>
              <w:spacing w:before="40" w:after="40"/>
              <w:jc w:val="center"/>
            </w:pPr>
            <w:r>
              <w:rPr>
                <w:rFonts w:ascii="Times New Roman" w:hAnsi="Times New Roman"/>
                <w:b/>
                <w:i w:val="0"/>
                <w:color w:val="FFFFFF"/>
                <w:sz w:val="20"/>
              </w:rPr>
              <w:t>Meaningful to add up?</w:t>
            </w:r>
          </w:p>
        </w:tc>
        <w:tc>
          <w:tcPr>
            <w:tcW w:type="dxa" w:w="5328"/>
            <w:vAlign w:val="center"/>
            <w:tcMar>
              <w:top w:w="120" w:type="dxa"/>
              <w:left w:w="160" w:type="dxa"/>
              <w:bottom w:w="120" w:type="dxa"/>
              <w:right w:w="160" w:type="dxa"/>
            </w:tcMar>
            <w:shd w:fill="1E3A8A"/>
          </w:tcPr>
          <w:p>
            <w:pPr>
              <w:spacing w:before="40" w:after="40"/>
              <w:jc w:val="center"/>
            </w:pPr>
            <w:r>
              <w:rPr>
                <w:rFonts w:ascii="Times New Roman" w:hAnsi="Times New Roman"/>
                <w:b/>
                <w:i w:val="0"/>
                <w:color w:val="FFFFFF"/>
                <w:sz w:val="20"/>
              </w:rPr>
              <w:t>Reason</w:t>
            </w:r>
          </w:p>
        </w:tc>
      </w:tr>
      <w:tr>
        <w:trPr>
          <w:cantSplit/>
        </w:trPr>
        <w:tc>
          <w:tcPr>
            <w:tcW w:type="dxa" w:w="216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wait_minutes</w:t>
            </w:r>
          </w:p>
        </w:tc>
        <w:tc>
          <w:tcPr>
            <w:tcW w:type="dxa" w:w="1872"/>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No</w:t>
            </w:r>
          </w:p>
        </w:tc>
        <w:tc>
          <w:tcPr>
            <w:tcW w:type="dxa" w:w="5328"/>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Waiting time is a non-additive intensity measure. Summing wait times across appointments yields a meaningless cumulative duration; meaningful insights require averages (AVG).</w:t>
            </w:r>
          </w:p>
        </w:tc>
      </w:tr>
      <w:tr>
        <w:trPr>
          <w:cantSplit/>
        </w:trPr>
        <w:tc>
          <w:tcPr>
            <w:tcW w:type="dxa" w:w="216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consultation_minutes</w:t>
            </w:r>
          </w:p>
        </w:tc>
        <w:tc>
          <w:tcPr>
            <w:tcW w:type="dxa" w:w="1872"/>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Yes</w:t>
            </w:r>
          </w:p>
        </w:tc>
        <w:tc>
          <w:tcPr>
            <w:tcW w:type="dxa" w:w="5328"/>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Consultation time is a fully additive duration measure. Summing minutes across doctors or specialties reflects total clinical workload expended for staffing capacity planning.</w:t>
            </w:r>
          </w:p>
        </w:tc>
      </w:tr>
      <w:tr>
        <w:trPr>
          <w:cantSplit/>
        </w:trPr>
        <w:tc>
          <w:tcPr>
            <w:tcW w:type="dxa" w:w="216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fee</w:t>
            </w:r>
          </w:p>
        </w:tc>
        <w:tc>
          <w:tcPr>
            <w:tcW w:type="dxa" w:w="1872"/>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Yes</w:t>
            </w:r>
          </w:p>
        </w:tc>
        <w:tc>
          <w:tcPr>
            <w:tcW w:type="dxa" w:w="5328"/>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Fee is a fully additive monetary measure in LKR. Cumulative summation across any dimensional combination (clinic, month, doctor) directly calculates total gross revenue.</w:t>
            </w:r>
          </w:p>
        </w:tc>
      </w:tr>
    </w:tbl>
    <w:p>
      <w:pPr>
        <w:spacing w:before="80" w:after="200" w:line="360" w:lineRule="auto"/>
        <w:jc w:val="center"/>
      </w:pPr>
      <w:r>
        <w:rPr>
          <w:rFonts w:ascii="Times New Roman" w:hAnsi="Times New Roman"/>
          <w:b w:val="0"/>
          <w:i/>
          <w:color w:val="000000"/>
          <w:sz w:val="20"/>
        </w:rPr>
        <w:t>Table 1: Additivity Analysis of Business Measures</w:t>
      </w:r>
    </w:p>
    <w:p>
      <w:pPr>
        <w:keepNext/>
        <w:spacing w:before="280" w:after="120"/>
      </w:pPr>
      <w:r>
        <w:rPr>
          <w:rFonts w:ascii="Times New Roman" w:hAnsi="Times New Roman"/>
          <w:b/>
          <w:i w:val="0"/>
          <w:color w:val="142D55"/>
          <w:sz w:val="26"/>
        </w:rPr>
        <w:t>TASK 2: STAR SCHEMA DESIGN</w:t>
      </w:r>
    </w:p>
    <w:p>
      <w:pPr>
        <w:keepNext/>
        <w:spacing w:before="200" w:after="80"/>
      </w:pPr>
      <w:r>
        <w:rPr>
          <w:rFonts w:ascii="Times New Roman" w:hAnsi="Times New Roman"/>
          <w:b/>
          <w:i w:val="0"/>
          <w:color w:val="284678"/>
          <w:sz w:val="24"/>
        </w:rPr>
        <w:t>2.1 Dimension Tables</w:t>
      </w:r>
    </w:p>
    <w:p>
      <w:pPr>
        <w:spacing w:before="0" w:after="120" w:line="360" w:lineRule="auto"/>
        <w:jc w:val="both"/>
      </w:pPr>
      <w:r>
        <w:rPr>
          <w:rFonts w:ascii="Times New Roman" w:hAnsi="Times New Roman"/>
          <w:b w:val="0"/>
          <w:i w:val="0"/>
          <w:color w:val="000000"/>
          <w:sz w:val="24"/>
        </w:rPr>
        <w:t>The dimensional model includes dim_patient, dim_doctor, and dim_clinic. Each table utilizes an integer surrogate primary key while retaining its natural source identifier as an ordinary attribute:</w:t>
      </w:r>
    </w:p>
    <w:tbl>
      <w:tblPr>
        <w:tblW w:type="auto" w:w="0"/>
        <w:jc w:val="center"/>
        <w:tblLook w:firstColumn="1" w:firstRow="1" w:lastColumn="0" w:lastRow="0" w:noHBand="0" w:noVBand="1" w:val="04A0"/>
      </w:tblPr>
      <w:tblGrid>
        <w:gridCol w:w="9360"/>
      </w:tblGrid>
      <w:tr>
        <w:tc>
          <w:tcPr>
            <w:tcW w:type="dxa" w:w="9360"/>
            <w:shd w:fill="F3F4F6"/>
            <w:tcBorders>
              <w:top w:val="single" w:sz="6" w:space="0" w:color="CBD5E1"/>
              <w:left w:val="single" w:sz="18" w:space="0" w:color="3B82F6"/>
              <w:bottom w:val="single" w:sz="6" w:space="0" w:color="CBD5E1"/>
              <w:right w:val="single" w:sz="6" w:space="0" w:color="CBD5E1"/>
            </w:tcBorders>
          </w:tcPr>
          <w:p>
            <w:pPr>
              <w:spacing w:before="80" w:after="80" w:line="276" w:lineRule="auto"/>
            </w:pPr>
            <w:r>
              <w:rPr>
                <w:rFonts w:ascii="Consolas" w:hAnsi="Consolas"/>
                <w:b w:val="0"/>
                <w:i w:val="0"/>
                <w:color w:val="1E293B"/>
                <w:sz w:val="18"/>
              </w:rPr>
              <w:t>-- Dimension DDL Excerpts</w:t>
              <w:br/>
              <w:t>CREATE TABLE dim_patient (</w:t>
              <w:br/>
              <w:t xml:space="preserve">    patient_key SERIAL PRIMARY KEY, patient_id VARCHAR(10) NOT NULL UNIQUE,</w:t>
              <w:br/>
              <w:t xml:space="preserve">    gender VARCHAR(10) NOT NULL, date_of_birth DATE NOT NULL, district VARCHAR(50) NOT NULL</w:t>
              <w:br/>
              <w:t>);</w:t>
              <w:br/>
              <w:t>CREATE TABLE dim_doctor (</w:t>
              <w:br/>
              <w:t xml:space="preserve">    doctor_key SERIAL PRIMARY KEY, doctor_id VARCHAR(10) NOT NULL UNIQUE,</w:t>
              <w:br/>
              <w:t xml:space="preserve">    doctor_name VARCHAR(100) NOT NULL, specialty VARCHAR(50) NOT NULL</w:t>
              <w:br/>
              <w:t>);</w:t>
              <w:br/>
              <w:t>CREATE TABLE dim_clinic (</w:t>
              <w:br/>
              <w:t xml:space="preserve">    clinic_key SERIAL PRIMARY KEY, clinic_id VARCHAR(10) NOT NULL UNIQUE,</w:t>
              <w:br/>
              <w:t xml:space="preserve">    clinic_name VARCHAR(100) NOT NULL, city VARCHAR(50) NOT NULL, province VARCHAR(50) NOT NULL</w:t>
              <w:br/>
              <w:t>);</w:t>
            </w:r>
          </w:p>
        </w:tc>
      </w:tr>
    </w:tbl>
    <w:p>
      <w:pPr>
        <w:spacing w:before="0" w:after="80"/>
      </w:pPr>
    </w:p>
    <w:p>
      <w:pPr>
        <w:keepNext/>
        <w:spacing w:before="200" w:after="80"/>
      </w:pPr>
      <w:r>
        <w:rPr>
          <w:rFonts w:ascii="Times New Roman" w:hAnsi="Times New Roman"/>
          <w:b/>
          <w:i w:val="0"/>
          <w:color w:val="284678"/>
          <w:sz w:val="24"/>
        </w:rPr>
        <w:t>2.2 Date Dimension</w:t>
      </w:r>
    </w:p>
    <w:p>
      <w:pPr>
        <w:spacing w:before="0" w:after="120" w:line="360" w:lineRule="auto"/>
        <w:jc w:val="both"/>
      </w:pPr>
      <w:r>
        <w:rPr>
          <w:rFonts w:ascii="Times New Roman" w:hAnsi="Times New Roman"/>
          <w:b w:val="0"/>
          <w:i w:val="0"/>
          <w:color w:val="000000"/>
          <w:sz w:val="24"/>
        </w:rPr>
        <w:t>The time dimension, dim_date, contains one row for every calendar date in 2025 (exact row count: 365 rows). It provides temporal attributes including year, quarter, month, day name, and weekend indicators:</w:t>
      </w:r>
    </w:p>
    <w:tbl>
      <w:tblPr>
        <w:tblW w:type="auto" w:w="0"/>
        <w:jc w:val="center"/>
        <w:tblLook w:firstColumn="1" w:firstRow="1" w:lastColumn="0" w:lastRow="0" w:noHBand="0" w:noVBand="1" w:val="04A0"/>
      </w:tblPr>
      <w:tblGrid>
        <w:gridCol w:w="9360"/>
      </w:tblGrid>
      <w:tr>
        <w:tc>
          <w:tcPr>
            <w:tcW w:type="dxa" w:w="9360"/>
            <w:shd w:fill="F3F4F6"/>
            <w:tcBorders>
              <w:top w:val="single" w:sz="6" w:space="0" w:color="CBD5E1"/>
              <w:left w:val="single" w:sz="18" w:space="0" w:color="3B82F6"/>
              <w:bottom w:val="single" w:sz="6" w:space="0" w:color="CBD5E1"/>
              <w:right w:val="single" w:sz="6" w:space="0" w:color="CBD5E1"/>
            </w:tcBorders>
          </w:tcPr>
          <w:p>
            <w:pPr>
              <w:spacing w:before="80" w:after="80" w:line="276" w:lineRule="auto"/>
            </w:pPr>
            <w:r>
              <w:rPr>
                <w:rFonts w:ascii="Consolas" w:hAnsi="Consolas"/>
                <w:b w:val="0"/>
                <w:i w:val="0"/>
                <w:color w:val="1E293B"/>
                <w:sz w:val="18"/>
              </w:rPr>
              <w:t>CREATE TABLE dim_date (</w:t>
              <w:br/>
              <w:t xml:space="preserve">    date_key INT PRIMARY KEY, full_date DATE NOT NULL UNIQUE,</w:t>
              <w:br/>
              <w:t xml:space="preserve">    year INT NOT NULL, quarter INT NOT NULL, quarter_name VARCHAR(10) NOT NULL,</w:t>
              <w:br/>
              <w:t xml:space="preserve">    month INT NOT NULL, month_name VARCHAR(20) NOT NULL, day INT NOT NULL,</w:t>
              <w:br/>
              <w:t xml:space="preserve">    day_name VARCHAR(20) NOT NULL, day_of_week INT NOT NULL, is_weekend BOOLEAN NOT NULL</w:t>
              <w:br/>
              <w:t>);</w:t>
            </w:r>
          </w:p>
        </w:tc>
      </w:tr>
    </w:tbl>
    <w:p>
      <w:pPr>
        <w:spacing w:before="0" w:after="80"/>
      </w:pPr>
    </w:p>
    <w:p>
      <w:pPr>
        <w:keepNext/>
        <w:spacing w:before="200" w:after="80"/>
      </w:pPr>
      <w:r>
        <w:rPr>
          <w:rFonts w:ascii="Times New Roman" w:hAnsi="Times New Roman"/>
          <w:b/>
          <w:i w:val="0"/>
          <w:color w:val="284678"/>
          <w:sz w:val="24"/>
        </w:rPr>
        <w:t>2.3 Fact Table</w:t>
      </w:r>
    </w:p>
    <w:p>
      <w:pPr>
        <w:spacing w:before="0" w:after="120" w:line="360" w:lineRule="auto"/>
        <w:jc w:val="both"/>
      </w:pPr>
      <w:r>
        <w:rPr>
          <w:rFonts w:ascii="Times New Roman" w:hAnsi="Times New Roman"/>
          <w:b w:val="0"/>
          <w:i w:val="0"/>
          <w:color w:val="000000"/>
          <w:sz w:val="24"/>
        </w:rPr>
        <w:t>The central fact table, fact_appointment, holds four foreign keys referencing dimension surrogate keys, the transaction source ID, and three numeric measures with no descriptive text attributes:</w:t>
      </w:r>
    </w:p>
    <w:tbl>
      <w:tblPr>
        <w:tblW w:type="auto" w:w="0"/>
        <w:jc w:val="center"/>
        <w:tblLook w:firstColumn="1" w:firstRow="1" w:lastColumn="0" w:lastRow="0" w:noHBand="0" w:noVBand="1" w:val="04A0"/>
      </w:tblPr>
      <w:tblGrid>
        <w:gridCol w:w="9360"/>
      </w:tblGrid>
      <w:tr>
        <w:tc>
          <w:tcPr>
            <w:tcW w:type="dxa" w:w="9360"/>
            <w:shd w:fill="F3F4F6"/>
            <w:tcBorders>
              <w:top w:val="single" w:sz="6" w:space="0" w:color="CBD5E1"/>
              <w:left w:val="single" w:sz="18" w:space="0" w:color="3B82F6"/>
              <w:bottom w:val="single" w:sz="6" w:space="0" w:color="CBD5E1"/>
              <w:right w:val="single" w:sz="6" w:space="0" w:color="CBD5E1"/>
            </w:tcBorders>
          </w:tcPr>
          <w:p>
            <w:pPr>
              <w:spacing w:before="80" w:after="80" w:line="276" w:lineRule="auto"/>
            </w:pPr>
            <w:r>
              <w:rPr>
                <w:rFonts w:ascii="Consolas" w:hAnsi="Consolas"/>
                <w:b w:val="0"/>
                <w:i w:val="0"/>
                <w:color w:val="1E293B"/>
                <w:sz w:val="18"/>
              </w:rPr>
              <w:t>CREATE TABLE fact_appointment (</w:t>
              <w:br/>
              <w:t xml:space="preserve">    appointment_key SERIAL PRIMARY KEY,</w:t>
              <w:br/>
              <w:t xml:space="preserve">    patient_key INT NOT NULL REFERENCES dim_patient(patient_key),</w:t>
              <w:br/>
              <w:t xml:space="preserve">    doctor_key INT NOT NULL REFERENCES dim_doctor(doctor_key),</w:t>
              <w:br/>
              <w:t xml:space="preserve">    clinic_key INT NOT NULL REFERENCES dim_clinic(clinic_key),</w:t>
              <w:br/>
              <w:t xml:space="preserve">    date_key INT NOT NULL REFERENCES dim_date(date_key),</w:t>
              <w:br/>
              <w:t xml:space="preserve">    appointment_id VARCHAR(20) NOT NULL,</w:t>
              <w:br/>
              <w:t xml:space="preserve">    wait_minutes INT NOT NULL, consultation_minutes INT NOT NULL, fee NUMERIC(10,2) NOT NULL</w:t>
              <w:br/>
              <w:t>);</w:t>
            </w:r>
          </w:p>
        </w:tc>
      </w:tr>
    </w:tbl>
    <w:p>
      <w:pPr>
        <w:spacing w:before="0" w:after="80"/>
      </w:pPr>
    </w:p>
    <w:p>
      <w:pPr>
        <w:keepNext/>
        <w:spacing w:before="200" w:after="80"/>
      </w:pPr>
      <w:r>
        <w:rPr>
          <w:rFonts w:ascii="Times New Roman" w:hAnsi="Times New Roman"/>
          <w:b/>
          <w:i w:val="0"/>
          <w:color w:val="284678"/>
          <w:sz w:val="24"/>
        </w:rPr>
        <w:t>2.4 Entity Relationship Diagram</w:t>
      </w:r>
    </w:p>
    <w:p>
      <w:pPr>
        <w:spacing w:before="0" w:after="120" w:line="360" w:lineRule="auto"/>
        <w:jc w:val="both"/>
      </w:pPr>
      <w:r>
        <w:rPr>
          <w:rFonts w:ascii="Times New Roman" w:hAnsi="Times New Roman"/>
          <w:b w:val="0"/>
          <w:i w:val="0"/>
          <w:color w:val="000000"/>
          <w:sz w:val="24"/>
        </w:rPr>
        <w:t>Figure 1 illustrates the Star Schema ERD generated from PostgreSQL via DBeaver Community, displaying all five tables and foreign key relationships:</w:t>
      </w:r>
    </w:p>
    <w:p>
      <w:pPr>
        <w:spacing w:before="80" w:after="40"/>
        <w:jc w:val="center"/>
      </w:pPr>
      <w:r>
        <w:drawing>
          <wp:inline xmlns:a="http://schemas.openxmlformats.org/drawingml/2006/main" xmlns:pic="http://schemas.openxmlformats.org/drawingml/2006/picture">
            <wp:extent cx="5120640" cy="3399416"/>
            <wp:docPr id="1" name="Picture 1"/>
            <wp:cNvGraphicFramePr>
              <a:graphicFrameLocks noChangeAspect="1"/>
            </wp:cNvGraphicFramePr>
            <a:graphic>
              <a:graphicData uri="http://schemas.openxmlformats.org/drawingml/2006/picture">
                <pic:pic>
                  <pic:nvPicPr>
                    <pic:cNvPr id="0" name="figure1_erd.png"/>
                    <pic:cNvPicPr/>
                  </pic:nvPicPr>
                  <pic:blipFill>
                    <a:blip r:embed="rId9"/>
                    <a:stretch>
                      <a:fillRect/>
                    </a:stretch>
                  </pic:blipFill>
                  <pic:spPr>
                    <a:xfrm>
                      <a:off x="0" y="0"/>
                      <a:ext cx="5120640" cy="3399416"/>
                    </a:xfrm>
                    <a:prstGeom prst="rect"/>
                  </pic:spPr>
                </pic:pic>
              </a:graphicData>
            </a:graphic>
          </wp:inline>
        </w:drawing>
      </w:r>
    </w:p>
    <w:p>
      <w:pPr>
        <w:spacing w:before="40" w:after="200" w:line="360" w:lineRule="auto"/>
        <w:jc w:val="center"/>
      </w:pPr>
      <w:r>
        <w:rPr>
          <w:rFonts w:ascii="Times New Roman" w:hAnsi="Times New Roman"/>
          <w:b w:val="0"/>
          <w:i/>
          <w:color w:val="000000"/>
          <w:sz w:val="20"/>
        </w:rPr>
        <w:t>Figure 1: Star Schema Entity Relationship Diagram (DBeaver ERD Architecture)</w:t>
      </w:r>
    </w:p>
    <w:p>
      <w:pPr>
        <w:keepNext/>
        <w:spacing w:before="200" w:after="80"/>
      </w:pPr>
      <w:r>
        <w:rPr>
          <w:rFonts w:ascii="Times New Roman" w:hAnsi="Times New Roman"/>
          <w:b/>
          <w:i w:val="0"/>
          <w:color w:val="284678"/>
          <w:sz w:val="24"/>
        </w:rPr>
        <w:t>2.5 Star or Snowflake</w:t>
      </w:r>
    </w:p>
    <w:p>
      <w:pPr>
        <w:spacing w:before="0" w:after="120" w:line="360" w:lineRule="auto"/>
        <w:jc w:val="both"/>
      </w:pPr>
      <w:r>
        <w:rPr>
          <w:rFonts w:ascii="Times New Roman" w:hAnsi="Times New Roman"/>
          <w:b w:val="0"/>
          <w:i w:val="0"/>
          <w:color w:val="000000"/>
          <w:sz w:val="24"/>
        </w:rPr>
        <w:t>Specialty is stored directly as a column within dim_doctor rather than normalized into a separate specialty table. This design choice represents dimensional denormalization, which is the defining characteristic of a Star Schema. Denormalization eliminates relational join overhead during query execution, simplifies analytical SQL statements, and maximizes OLAP query performance.</w:t>
      </w:r>
    </w:p>
    <w:p>
      <w:pPr>
        <w:keepNext/>
        <w:spacing w:before="280" w:after="120"/>
      </w:pPr>
      <w:r>
        <w:rPr>
          <w:rFonts w:ascii="Times New Roman" w:hAnsi="Times New Roman"/>
          <w:b/>
          <w:i w:val="0"/>
          <w:color w:val="142D55"/>
          <w:sz w:val="26"/>
        </w:rPr>
        <w:t>TASK 3: ETL NOTEBOOK - PROFILE, CLEANSE AND INTEGRATE</w:t>
      </w:r>
    </w:p>
    <w:p>
      <w:pPr>
        <w:keepNext/>
        <w:spacing w:before="200" w:after="80"/>
      </w:pPr>
      <w:r>
        <w:rPr>
          <w:rFonts w:ascii="Times New Roman" w:hAnsi="Times New Roman"/>
          <w:b/>
          <w:i w:val="0"/>
          <w:color w:val="284678"/>
          <w:sz w:val="24"/>
        </w:rPr>
        <w:t>3.1 Data Profile</w:t>
      </w:r>
    </w:p>
    <w:p>
      <w:pPr>
        <w:spacing w:before="0" w:after="120" w:line="360" w:lineRule="auto"/>
        <w:jc w:val="both"/>
      </w:pPr>
      <w:r>
        <w:rPr>
          <w:rFonts w:ascii="Times New Roman" w:hAnsi="Times New Roman"/>
          <w:b w:val="0"/>
          <w:i w:val="0"/>
          <w:color w:val="000000"/>
          <w:sz w:val="24"/>
        </w:rPr>
        <w:t>Data profiling was performed in Jupyter Notebook before applying transformations. Using pandas diagnostic functions, anomalies were identified and recorded in Table 2.</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3168"/>
            <w:vAlign w:val="center"/>
            <w:tcMar>
              <w:top w:w="120" w:type="dxa"/>
              <w:left w:w="160" w:type="dxa"/>
              <w:bottom w:w="120" w:type="dxa"/>
              <w:right w:w="160" w:type="dxa"/>
            </w:tcMar>
            <w:shd w:fill="1E3A8A"/>
          </w:tcPr>
          <w:p>
            <w:pPr>
              <w:spacing w:before="40" w:after="40"/>
              <w:jc w:val="center"/>
            </w:pPr>
            <w:r>
              <w:rPr>
                <w:rFonts w:ascii="Times New Roman" w:hAnsi="Times New Roman"/>
                <w:b/>
                <w:i w:val="0"/>
                <w:color w:val="FFFFFF"/>
                <w:sz w:val="20"/>
              </w:rPr>
              <w:t>Problem</w:t>
            </w:r>
          </w:p>
        </w:tc>
        <w:tc>
          <w:tcPr>
            <w:tcW w:type="dxa" w:w="2160"/>
            <w:vAlign w:val="center"/>
            <w:tcMar>
              <w:top w:w="120" w:type="dxa"/>
              <w:left w:w="160" w:type="dxa"/>
              <w:bottom w:w="120" w:type="dxa"/>
              <w:right w:w="160" w:type="dxa"/>
            </w:tcMar>
            <w:shd w:fill="1E3A8A"/>
          </w:tcPr>
          <w:p>
            <w:pPr>
              <w:spacing w:before="40" w:after="40"/>
              <w:jc w:val="center"/>
            </w:pPr>
            <w:r>
              <w:rPr>
                <w:rFonts w:ascii="Times New Roman" w:hAnsi="Times New Roman"/>
                <w:b/>
                <w:i w:val="0"/>
                <w:color w:val="FFFFFF"/>
                <w:sz w:val="20"/>
              </w:rPr>
              <w:t>File</w:t>
            </w:r>
          </w:p>
        </w:tc>
        <w:tc>
          <w:tcPr>
            <w:tcW w:type="dxa" w:w="2592"/>
            <w:vAlign w:val="center"/>
            <w:tcMar>
              <w:top w:w="120" w:type="dxa"/>
              <w:left w:w="160" w:type="dxa"/>
              <w:bottom w:w="120" w:type="dxa"/>
              <w:right w:w="160" w:type="dxa"/>
            </w:tcMar>
            <w:shd w:fill="1E3A8A"/>
          </w:tcPr>
          <w:p>
            <w:pPr>
              <w:spacing w:before="40" w:after="40"/>
              <w:jc w:val="center"/>
            </w:pPr>
            <w:r>
              <w:rPr>
                <w:rFonts w:ascii="Times New Roman" w:hAnsi="Times New Roman"/>
                <w:b/>
                <w:i w:val="0"/>
                <w:color w:val="FFFFFF"/>
                <w:sz w:val="20"/>
              </w:rPr>
              <w:t>Column</w:t>
            </w:r>
          </w:p>
        </w:tc>
        <w:tc>
          <w:tcPr>
            <w:tcW w:type="dxa" w:w="1440"/>
            <w:vAlign w:val="center"/>
            <w:tcMar>
              <w:top w:w="120" w:type="dxa"/>
              <w:left w:w="160" w:type="dxa"/>
              <w:bottom w:w="120" w:type="dxa"/>
              <w:right w:w="160" w:type="dxa"/>
            </w:tcMar>
            <w:shd w:fill="1E3A8A"/>
          </w:tcPr>
          <w:p>
            <w:pPr>
              <w:spacing w:before="40" w:after="40"/>
              <w:jc w:val="center"/>
            </w:pPr>
            <w:r>
              <w:rPr>
                <w:rFonts w:ascii="Times New Roman" w:hAnsi="Times New Roman"/>
                <w:b/>
                <w:i w:val="0"/>
                <w:color w:val="FFFFFF"/>
                <w:sz w:val="20"/>
              </w:rPr>
              <w:t>Rows affected</w:t>
            </w:r>
          </w:p>
        </w:tc>
      </w:tr>
      <w:tr>
        <w:trPr>
          <w:cantSplit/>
        </w:trPr>
        <w:tc>
          <w:tcPr>
            <w:tcW w:type="dxa" w:w="3168"/>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Repeated bookings violating grain</w:t>
            </w:r>
          </w:p>
        </w:tc>
        <w:tc>
          <w:tcPr>
            <w:tcW w:type="dxa" w:w="216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appointments_raw.csv</w:t>
            </w:r>
          </w:p>
        </w:tc>
        <w:tc>
          <w:tcPr>
            <w:tcW w:type="dxa" w:w="2592"/>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patient_id, doctor_id, clinic_id, appointment_date</w:t>
            </w:r>
          </w:p>
        </w:tc>
        <w:tc>
          <w:tcPr>
            <w:tcW w:type="dxa" w:w="144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24</w:t>
            </w:r>
          </w:p>
        </w:tc>
      </w:tr>
      <w:tr>
        <w:trPr>
          <w:cantSplit/>
        </w:trPr>
        <w:tc>
          <w:tcPr>
            <w:tcW w:type="dxa" w:w="3168"/>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Inconsistent date format (DD-Mon-YYYY)</w:t>
            </w:r>
          </w:p>
        </w:tc>
        <w:tc>
          <w:tcPr>
            <w:tcW w:type="dxa" w:w="216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appointments_raw.csv</w:t>
            </w:r>
          </w:p>
        </w:tc>
        <w:tc>
          <w:tcPr>
            <w:tcW w:type="dxa" w:w="2592"/>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appointment_date</w:t>
            </w:r>
          </w:p>
        </w:tc>
        <w:tc>
          <w:tcPr>
            <w:tcW w:type="dxa" w:w="144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60</w:t>
            </w:r>
          </w:p>
        </w:tc>
      </w:tr>
      <w:tr>
        <w:trPr>
          <w:cantSplit/>
        </w:trPr>
        <w:tc>
          <w:tcPr>
            <w:tcW w:type="dxa" w:w="3168"/>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Missing fee values (NaN)</w:t>
            </w:r>
          </w:p>
        </w:tc>
        <w:tc>
          <w:tcPr>
            <w:tcW w:type="dxa" w:w="216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appointments_raw.csv</w:t>
            </w:r>
          </w:p>
        </w:tc>
        <w:tc>
          <w:tcPr>
            <w:tcW w:type="dxa" w:w="2592"/>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fee</w:t>
            </w:r>
          </w:p>
        </w:tc>
        <w:tc>
          <w:tcPr>
            <w:tcW w:type="dxa" w:w="144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15</w:t>
            </w:r>
          </w:p>
        </w:tc>
      </w:tr>
      <w:tr>
        <w:trPr>
          <w:cantSplit/>
        </w:trPr>
        <w:tc>
          <w:tcPr>
            <w:tcW w:type="dxa" w:w="3168"/>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Negative waiting times (&lt; 0)</w:t>
            </w:r>
          </w:p>
        </w:tc>
        <w:tc>
          <w:tcPr>
            <w:tcW w:type="dxa" w:w="216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appointments_raw.csv</w:t>
            </w:r>
          </w:p>
        </w:tc>
        <w:tc>
          <w:tcPr>
            <w:tcW w:type="dxa" w:w="2592"/>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wait_minutes</w:t>
            </w:r>
          </w:p>
        </w:tc>
        <w:tc>
          <w:tcPr>
            <w:tcW w:type="dxa" w:w="144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8</w:t>
            </w:r>
          </w:p>
        </w:tc>
      </w:tr>
      <w:tr>
        <w:trPr>
          <w:cantSplit/>
        </w:trPr>
        <w:tc>
          <w:tcPr>
            <w:tcW w:type="dxa" w:w="3168"/>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Non-standardized specialty text variations</w:t>
            </w:r>
          </w:p>
        </w:tc>
        <w:tc>
          <w:tcPr>
            <w:tcW w:type="dxa" w:w="216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doctors.csv</w:t>
            </w:r>
          </w:p>
        </w:tc>
        <w:tc>
          <w:tcPr>
            <w:tcW w:type="dxa" w:w="2592"/>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specialty</w:t>
            </w:r>
          </w:p>
        </w:tc>
        <w:tc>
          <w:tcPr>
            <w:tcW w:type="dxa" w:w="144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6</w:t>
            </w:r>
          </w:p>
        </w:tc>
      </w:tr>
      <w:tr>
        <w:trPr>
          <w:cantSplit/>
        </w:trPr>
        <w:tc>
          <w:tcPr>
            <w:tcW w:type="dxa" w:w="3168"/>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Duplicate doctor record (D07)</w:t>
            </w:r>
          </w:p>
        </w:tc>
        <w:tc>
          <w:tcPr>
            <w:tcW w:type="dxa" w:w="216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doctors.csv</w:t>
            </w:r>
          </w:p>
        </w:tc>
        <w:tc>
          <w:tcPr>
            <w:tcW w:type="dxa" w:w="2592"/>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doctor_id</w:t>
            </w:r>
          </w:p>
        </w:tc>
        <w:tc>
          <w:tcPr>
            <w:tcW w:type="dxa" w:w="144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1</w:t>
            </w:r>
          </w:p>
        </w:tc>
      </w:tr>
    </w:tbl>
    <w:p>
      <w:pPr>
        <w:spacing w:before="80" w:after="200" w:line="360" w:lineRule="auto"/>
        <w:jc w:val="center"/>
      </w:pPr>
      <w:r>
        <w:rPr>
          <w:rFonts w:ascii="Times New Roman" w:hAnsi="Times New Roman"/>
          <w:b w:val="0"/>
          <w:i/>
          <w:color w:val="000000"/>
          <w:sz w:val="20"/>
        </w:rPr>
        <w:t>Table 2: Comprehensive Raw Data Quality Profile Summary</w:t>
      </w:r>
    </w:p>
    <w:p>
      <w:pPr>
        <w:keepNext/>
        <w:spacing w:before="200" w:after="80"/>
      </w:pPr>
      <w:r>
        <w:rPr>
          <w:rFonts w:ascii="Times New Roman" w:hAnsi="Times New Roman"/>
          <w:b/>
          <w:i w:val="0"/>
          <w:color w:val="284678"/>
          <w:sz w:val="24"/>
        </w:rPr>
        <w:t>3.2 Repeated Bookings</w:t>
      </w:r>
    </w:p>
    <w:p>
      <w:pPr>
        <w:spacing w:before="0" w:after="120" w:line="360" w:lineRule="auto"/>
        <w:jc w:val="both"/>
      </w:pPr>
      <w:r>
        <w:rPr>
          <w:rFonts w:ascii="Times New Roman" w:hAnsi="Times New Roman"/>
          <w:b w:val="0"/>
          <w:i w:val="0"/>
          <w:color w:val="000000"/>
          <w:sz w:val="24"/>
        </w:rPr>
        <w:t>The raw file contained 1,524 rows. Filtering on grain columns (patient_id, doctor_id, clinic_id, appointment_date) identified 24 repeated bookings. Row count decreased from 1,524 before deduplication to 1,500 after. Calling duplicated() with no column arguments failed to detect them because duplicate bookings were assigned unique synthetic IDs (A01501 to A01524), making entire rows appear distinct.</w:t>
      </w:r>
    </w:p>
    <w:p>
      <w:pPr>
        <w:keepNext/>
        <w:spacing w:before="200" w:after="80"/>
      </w:pPr>
      <w:r>
        <w:rPr>
          <w:rFonts w:ascii="Times New Roman" w:hAnsi="Times New Roman"/>
          <w:b/>
          <w:i w:val="0"/>
          <w:color w:val="284678"/>
          <w:sz w:val="24"/>
        </w:rPr>
        <w:t>3.3 Date Formats</w:t>
      </w:r>
    </w:p>
    <w:p>
      <w:pPr>
        <w:spacing w:before="0" w:after="120" w:line="360" w:lineRule="auto"/>
        <w:jc w:val="both"/>
      </w:pPr>
      <w:r>
        <w:rPr>
          <w:rFonts w:ascii="Times New Roman" w:hAnsi="Times New Roman"/>
          <w:b w:val="0"/>
          <w:i w:val="0"/>
          <w:color w:val="000000"/>
          <w:sz w:val="24"/>
        </w:rPr>
        <w:t>Two date representations existed: 1,464 records in standard ISO YYYY-MM-DD and 60 records in DD-Mon-YYYY (e.g., '18-Oct-2025'). Converting all dates with pd.to_datetime() resulted in 0 conversion failures, successfully standardizing all 1,500 appointment dates.</w:t>
      </w:r>
    </w:p>
    <w:p>
      <w:pPr>
        <w:keepNext/>
        <w:spacing w:before="200" w:after="80"/>
      </w:pPr>
      <w:r>
        <w:rPr>
          <w:rFonts w:ascii="Times New Roman" w:hAnsi="Times New Roman"/>
          <w:b/>
          <w:i w:val="0"/>
          <w:color w:val="284678"/>
          <w:sz w:val="24"/>
        </w:rPr>
        <w:t>3.4 Specialty Text</w:t>
      </w:r>
    </w:p>
    <w:p>
      <w:pPr>
        <w:spacing w:before="0" w:after="120" w:line="360" w:lineRule="auto"/>
        <w:jc w:val="both"/>
      </w:pPr>
      <w:r>
        <w:rPr>
          <w:rFonts w:ascii="Times New Roman" w:hAnsi="Times New Roman"/>
          <w:b w:val="0"/>
          <w:i w:val="0"/>
          <w:color w:val="000000"/>
          <w:sz w:val="24"/>
        </w:rPr>
        <w:t>Before cleaning, doctors.csv contained 11 distinct specialty variations caused by erratic casing and trailing spaces (e.g., 'CARDIOLOGY', 'cardiology ', 'Neurology  '). Applying .str.strip().str.title() standardized text into exactly 6 clinical specialties: Cardiology, Dermatology, General Medicine, Neurology, Orthopaedics, and Paediatrics.</w:t>
      </w:r>
    </w:p>
    <w:p>
      <w:pPr>
        <w:keepNext/>
        <w:spacing w:before="200" w:after="80"/>
      </w:pPr>
      <w:r>
        <w:rPr>
          <w:rFonts w:ascii="Times New Roman" w:hAnsi="Times New Roman"/>
          <w:b/>
          <w:i w:val="0"/>
          <w:color w:val="284678"/>
          <w:sz w:val="24"/>
        </w:rPr>
        <w:t>3.5 Missing and Invalid Measures</w:t>
      </w:r>
    </w:p>
    <w:p>
      <w:pPr>
        <w:spacing w:before="0" w:after="120" w:line="360" w:lineRule="auto"/>
        <w:jc w:val="both"/>
      </w:pPr>
      <w:r>
        <w:rPr>
          <w:rFonts w:ascii="Times New Roman" w:hAnsi="Times New Roman"/>
          <w:b w:val="0"/>
          <w:i w:val="0"/>
          <w:color w:val="000000"/>
          <w:sz w:val="24"/>
        </w:rPr>
        <w:t>Cleansing rules applied to measures were:</w:t>
      </w:r>
    </w:p>
    <w:p>
      <w:pPr>
        <w:spacing w:before="0" w:after="120" w:line="360" w:lineRule="auto"/>
        <w:jc w:val="both"/>
      </w:pPr>
      <w:r>
        <w:rPr>
          <w:rFonts w:ascii="Times New Roman" w:hAnsi="Times New Roman"/>
          <w:b w:val="0"/>
          <w:i w:val="0"/>
          <w:color w:val="000000"/>
          <w:sz w:val="24"/>
        </w:rPr>
        <w:t>• Negative wait times (8 rows): Caused by negative sign entry errors (-7 to -30 mins). Rule: Applied absolute values abs(wait_minutes), changing 8 rows.</w:t>
      </w:r>
    </w:p>
    <w:p>
      <w:pPr>
        <w:spacing w:before="0" w:after="120" w:line="360" w:lineRule="auto"/>
        <w:jc w:val="both"/>
      </w:pPr>
      <w:r>
        <w:rPr>
          <w:rFonts w:ascii="Times New Roman" w:hAnsi="Times New Roman"/>
          <w:b w:val="0"/>
          <w:i w:val="0"/>
          <w:color w:val="000000"/>
          <w:sz w:val="24"/>
        </w:rPr>
        <w:t>• Missing fees (15 rows): Fees are fixed per doctor specialty schedule. Rule: Imputed missing fees using doctor ID lookup from complete records, changing 15 rows.</w:t>
      </w:r>
    </w:p>
    <w:p>
      <w:pPr>
        <w:spacing w:before="0" w:after="120" w:line="360" w:lineRule="auto"/>
        <w:jc w:val="both"/>
      </w:pPr>
      <w:r>
        <w:rPr>
          <w:rFonts w:ascii="Times New Roman" w:hAnsi="Times New Roman"/>
          <w:b w:val="0"/>
          <w:i w:val="0"/>
          <w:color w:val="000000"/>
          <w:sz w:val="24"/>
        </w:rPr>
        <w:t>• Consultation minutes: Validated within clinical range (8 to 35 mins), 0 invalid rows.</w:t>
      </w:r>
    </w:p>
    <w:p>
      <w:pPr>
        <w:keepNext/>
        <w:spacing w:before="200" w:after="80"/>
      </w:pPr>
      <w:r>
        <w:rPr>
          <w:rFonts w:ascii="Times New Roman" w:hAnsi="Times New Roman"/>
          <w:b/>
          <w:i w:val="0"/>
          <w:color w:val="284678"/>
          <w:sz w:val="24"/>
        </w:rPr>
        <w:t>3.6 Joining the Doctors File</w:t>
      </w:r>
    </w:p>
    <w:p>
      <w:pPr>
        <w:spacing w:before="0" w:after="120" w:line="360" w:lineRule="auto"/>
        <w:jc w:val="both"/>
      </w:pPr>
      <w:r>
        <w:rPr>
          <w:rFonts w:ascii="Times New Roman" w:hAnsi="Times New Roman"/>
          <w:b w:val="0"/>
          <w:i w:val="0"/>
          <w:color w:val="000000"/>
          <w:sz w:val="24"/>
        </w:rPr>
        <w:t>Joining 1,500 appointments to raw doctors.csv expanded output to 1,571 rows (+71 rows). Cause: Doctor D07 was listed twice in doctors.csv. Because D07 had 71 appointments, each matched both entries. Deduplicating doctors.csv on doctor_id produced 20 distinct doctors and corrected joined row count to exactly 1,500 rows.</w:t>
      </w:r>
    </w:p>
    <w:p>
      <w:pPr>
        <w:keepNext/>
        <w:spacing w:before="280" w:after="120"/>
      </w:pPr>
      <w:r>
        <w:rPr>
          <w:rFonts w:ascii="Times New Roman" w:hAnsi="Times New Roman"/>
          <w:b/>
          <w:i w:val="0"/>
          <w:color w:val="142D55"/>
          <w:sz w:val="26"/>
        </w:rPr>
        <w:t>TASK 4: SURROGATE KEYS AND LOAD</w:t>
      </w:r>
    </w:p>
    <w:p>
      <w:pPr>
        <w:keepNext/>
        <w:spacing w:before="200" w:after="80"/>
      </w:pPr>
      <w:r>
        <w:rPr>
          <w:rFonts w:ascii="Times New Roman" w:hAnsi="Times New Roman"/>
          <w:b/>
          <w:i w:val="0"/>
          <w:color w:val="284678"/>
          <w:sz w:val="24"/>
        </w:rPr>
        <w:t>4.1 Surrogate Keys</w:t>
      </w:r>
    </w:p>
    <w:p>
      <w:pPr>
        <w:spacing w:before="0" w:after="120" w:line="360" w:lineRule="auto"/>
        <w:jc w:val="both"/>
      </w:pPr>
      <w:r>
        <w:rPr>
          <w:rFonts w:ascii="Times New Roman" w:hAnsi="Times New Roman"/>
          <w:b w:val="0"/>
          <w:i w:val="0"/>
          <w:color w:val="000000"/>
          <w:sz w:val="24"/>
        </w:rPr>
        <w:t>In the ETL notebook, integer surrogate keys were generated: patient_key (1..300), doctor_key (1..20), clinic_key (1..5), and date_key (YYYYMMDD format, 20250101..20251231). Natural keys in the fact table were mapped to these surrogate keys, and five staged CSV files were exported.</w:t>
      </w:r>
    </w:p>
    <w:p>
      <w:pPr>
        <w:keepNext/>
        <w:spacing w:before="200" w:after="80"/>
      </w:pPr>
      <w:r>
        <w:rPr>
          <w:rFonts w:ascii="Times New Roman" w:hAnsi="Times New Roman"/>
          <w:b/>
          <w:i w:val="0"/>
          <w:color w:val="284678"/>
          <w:sz w:val="24"/>
        </w:rPr>
        <w:t>4.2 Loading the Warehouse</w:t>
      </w:r>
    </w:p>
    <w:p>
      <w:pPr>
        <w:spacing w:before="0" w:after="120" w:line="360" w:lineRule="auto"/>
        <w:jc w:val="both"/>
      </w:pPr>
      <w:r>
        <w:rPr>
          <w:rFonts w:ascii="Times New Roman" w:hAnsi="Times New Roman"/>
          <w:b w:val="0"/>
          <w:i w:val="0"/>
          <w:color w:val="000000"/>
          <w:sz w:val="24"/>
        </w:rPr>
        <w:t>CSVs were loaded into PostgreSQL using psql \copy commands in foreign-key dependency order:</w:t>
      </w:r>
    </w:p>
    <w:tbl>
      <w:tblPr>
        <w:tblW w:type="auto" w:w="0"/>
        <w:jc w:val="center"/>
        <w:tblLook w:firstColumn="1" w:firstRow="1" w:lastColumn="0" w:lastRow="0" w:noHBand="0" w:noVBand="1" w:val="04A0"/>
      </w:tblPr>
      <w:tblGrid>
        <w:gridCol w:w="9360"/>
      </w:tblGrid>
      <w:tr>
        <w:tc>
          <w:tcPr>
            <w:tcW w:type="dxa" w:w="9360"/>
            <w:shd w:fill="F3F4F6"/>
            <w:tcBorders>
              <w:top w:val="single" w:sz="6" w:space="0" w:color="CBD5E1"/>
              <w:left w:val="single" w:sz="18" w:space="0" w:color="3B82F6"/>
              <w:bottom w:val="single" w:sz="6" w:space="0" w:color="CBD5E1"/>
              <w:right w:val="single" w:sz="6" w:space="0" w:color="CBD5E1"/>
            </w:tcBorders>
          </w:tcPr>
          <w:p>
            <w:pPr>
              <w:spacing w:before="80" w:after="80" w:line="276" w:lineRule="auto"/>
            </w:pPr>
            <w:r>
              <w:rPr>
                <w:rFonts w:ascii="Consolas" w:hAnsi="Consolas"/>
                <w:b w:val="0"/>
                <w:i w:val="0"/>
                <w:color w:val="1E293B"/>
                <w:sz w:val="18"/>
              </w:rPr>
              <w:t>\copy dim_date FROM 'dim_date.csv' WITH (FORMAT csv, HEADER true);        -- COPY 365</w:t>
              <w:br/>
              <w:t>\copy dim_clinic FROM 'dim_clinic.csv' WITH (FORMAT csv, HEADER true);    -- COPY 5</w:t>
              <w:br/>
              <w:t>\copy dim_doctor FROM 'dim_doctor.csv' WITH (FORMAT csv, HEADER true);    -- COPY 20</w:t>
              <w:br/>
              <w:t>\copy dim_patient FROM 'dim_patient.csv' WITH (FORMAT csv, HEADER true);  -- COPY 300</w:t>
              <w:br/>
              <w:t>\copy fact_appointment(patient_key, doctor_key, clinic_key, date_key, appointment_id, wait_minutes, consultation_minutes, fee) FROM 'fact_appointment.csv' WITH (FORMAT csv, HEADER true); -- COPY 1500</w:t>
            </w:r>
          </w:p>
        </w:tc>
      </w:tr>
    </w:tbl>
    <w:p>
      <w:pPr>
        <w:spacing w:before="0" w:after="80"/>
      </w:pPr>
    </w:p>
    <w:p>
      <w:pPr>
        <w:keepNext/>
        <w:spacing w:before="200" w:after="80"/>
      </w:pPr>
      <w:r>
        <w:rPr>
          <w:rFonts w:ascii="Times New Roman" w:hAnsi="Times New Roman"/>
          <w:b/>
          <w:i w:val="0"/>
          <w:color w:val="284678"/>
          <w:sz w:val="24"/>
        </w:rPr>
        <w:t>4.3 Load Order</w:t>
      </w:r>
    </w:p>
    <w:p>
      <w:pPr>
        <w:spacing w:before="0" w:after="120" w:line="360" w:lineRule="auto"/>
        <w:jc w:val="both"/>
      </w:pPr>
      <w:r>
        <w:rPr>
          <w:rFonts w:ascii="Times New Roman" w:hAnsi="Times New Roman"/>
          <w:b w:val="0"/>
          <w:i w:val="0"/>
          <w:color w:val="000000"/>
          <w:sz w:val="24"/>
        </w:rPr>
        <w:t>Dimensions must be loaded before the fact table to satisfy relational foreign key constraints, which require parent surrogate keys to exist before referenced by child fact records. Loading facts first would cause immediate referential integrity violations and transaction failure. In addition, loading dimensions first verifies master reference entities before bulk transaction loading.</w:t>
      </w:r>
    </w:p>
    <w:p>
      <w:pPr>
        <w:keepNext/>
        <w:spacing w:before="200" w:after="80"/>
      </w:pPr>
      <w:r>
        <w:rPr>
          <w:rFonts w:ascii="Times New Roman" w:hAnsi="Times New Roman"/>
          <w:b/>
          <w:i w:val="0"/>
          <w:color w:val="284678"/>
          <w:sz w:val="24"/>
        </w:rPr>
        <w:t>4.4 Verification</w:t>
      </w:r>
    </w:p>
    <w:p>
      <w:pPr>
        <w:spacing w:before="0" w:after="120" w:line="360" w:lineRule="auto"/>
        <w:jc w:val="both"/>
      </w:pPr>
      <w:r>
        <w:rPr>
          <w:rFonts w:ascii="Times New Roman" w:hAnsi="Times New Roman"/>
          <w:b w:val="0"/>
          <w:i w:val="0"/>
          <w:color w:val="000000"/>
          <w:sz w:val="24"/>
        </w:rPr>
        <w:t>Table 3 confirms that PostgreSQL table row counts match Jupyter notebook outputs exactly. An orphan foreign key query returned 0 orphan keys across all dimensions, proving referential integrity.</w:t>
      </w:r>
    </w:p>
    <w:tbl>
      <w:tblPr>
        <w:tblW w:type="auto" w:w="0"/>
        <w:jc w:val="center"/>
        <w:tblLook w:firstColumn="1" w:firstRow="1" w:lastColumn="0" w:lastRow="0" w:noHBand="0" w:noVBand="1" w:val="04A0"/>
      </w:tblPr>
      <w:tblGrid>
        <w:gridCol w:w="3120"/>
        <w:gridCol w:w="3120"/>
        <w:gridCol w:w="3120"/>
      </w:tblGrid>
      <w:tr>
        <w:trPr>
          <w:cantSplit/>
        </w:trPr>
        <w:tc>
          <w:tcPr>
            <w:tcW w:type="dxa" w:w="3600"/>
            <w:vAlign w:val="center"/>
            <w:tcMar>
              <w:top w:w="120" w:type="dxa"/>
              <w:left w:w="160" w:type="dxa"/>
              <w:bottom w:w="120" w:type="dxa"/>
              <w:right w:w="160" w:type="dxa"/>
            </w:tcMar>
            <w:shd w:fill="1E3A8A"/>
          </w:tcPr>
          <w:p>
            <w:pPr>
              <w:spacing w:before="40" w:after="40"/>
              <w:jc w:val="center"/>
            </w:pPr>
            <w:r>
              <w:rPr>
                <w:rFonts w:ascii="Times New Roman" w:hAnsi="Times New Roman"/>
                <w:b/>
                <w:i w:val="0"/>
                <w:color w:val="FFFFFF"/>
                <w:sz w:val="20"/>
              </w:rPr>
              <w:t>Table</w:t>
            </w:r>
          </w:p>
        </w:tc>
        <w:tc>
          <w:tcPr>
            <w:tcW w:type="dxa" w:w="2880"/>
            <w:vAlign w:val="center"/>
            <w:tcMar>
              <w:top w:w="120" w:type="dxa"/>
              <w:left w:w="160" w:type="dxa"/>
              <w:bottom w:w="120" w:type="dxa"/>
              <w:right w:w="160" w:type="dxa"/>
            </w:tcMar>
            <w:shd w:fill="1E3A8A"/>
          </w:tcPr>
          <w:p>
            <w:pPr>
              <w:spacing w:before="40" w:after="40"/>
              <w:jc w:val="center"/>
            </w:pPr>
            <w:r>
              <w:rPr>
                <w:rFonts w:ascii="Times New Roman" w:hAnsi="Times New Roman"/>
                <w:b/>
                <w:i w:val="0"/>
                <w:color w:val="FFFFFF"/>
                <w:sz w:val="20"/>
              </w:rPr>
              <w:t>Rows in notebook</w:t>
            </w:r>
          </w:p>
        </w:tc>
        <w:tc>
          <w:tcPr>
            <w:tcW w:type="dxa" w:w="2880"/>
            <w:vAlign w:val="center"/>
            <w:tcMar>
              <w:top w:w="120" w:type="dxa"/>
              <w:left w:w="160" w:type="dxa"/>
              <w:bottom w:w="120" w:type="dxa"/>
              <w:right w:w="160" w:type="dxa"/>
            </w:tcMar>
            <w:shd w:fill="1E3A8A"/>
          </w:tcPr>
          <w:p>
            <w:pPr>
              <w:spacing w:before="40" w:after="40"/>
              <w:jc w:val="center"/>
            </w:pPr>
            <w:r>
              <w:rPr>
                <w:rFonts w:ascii="Times New Roman" w:hAnsi="Times New Roman"/>
                <w:b/>
                <w:i w:val="0"/>
                <w:color w:val="FFFFFF"/>
                <w:sz w:val="20"/>
              </w:rPr>
              <w:t>Rows in PostgreSQL</w:t>
            </w:r>
          </w:p>
        </w:tc>
      </w:tr>
      <w:tr>
        <w:trPr>
          <w:cantSplit/>
        </w:trPr>
        <w:tc>
          <w:tcPr>
            <w:tcW w:type="dxa" w:w="360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dim_patient</w:t>
            </w:r>
          </w:p>
        </w:tc>
        <w:tc>
          <w:tcPr>
            <w:tcW w:type="dxa" w:w="288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300</w:t>
            </w:r>
          </w:p>
        </w:tc>
        <w:tc>
          <w:tcPr>
            <w:tcW w:type="dxa" w:w="288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300</w:t>
            </w:r>
          </w:p>
        </w:tc>
      </w:tr>
      <w:tr>
        <w:trPr>
          <w:cantSplit/>
        </w:trPr>
        <w:tc>
          <w:tcPr>
            <w:tcW w:type="dxa" w:w="360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dim_doctor</w:t>
            </w:r>
          </w:p>
        </w:tc>
        <w:tc>
          <w:tcPr>
            <w:tcW w:type="dxa" w:w="288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20</w:t>
            </w:r>
          </w:p>
        </w:tc>
        <w:tc>
          <w:tcPr>
            <w:tcW w:type="dxa" w:w="288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20</w:t>
            </w:r>
          </w:p>
        </w:tc>
      </w:tr>
      <w:tr>
        <w:trPr>
          <w:cantSplit/>
        </w:trPr>
        <w:tc>
          <w:tcPr>
            <w:tcW w:type="dxa" w:w="360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dim_clinic</w:t>
            </w:r>
          </w:p>
        </w:tc>
        <w:tc>
          <w:tcPr>
            <w:tcW w:type="dxa" w:w="288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5</w:t>
            </w:r>
          </w:p>
        </w:tc>
        <w:tc>
          <w:tcPr>
            <w:tcW w:type="dxa" w:w="288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5</w:t>
            </w:r>
          </w:p>
        </w:tc>
      </w:tr>
      <w:tr>
        <w:trPr>
          <w:cantSplit/>
        </w:trPr>
        <w:tc>
          <w:tcPr>
            <w:tcW w:type="dxa" w:w="360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dim_date</w:t>
            </w:r>
          </w:p>
        </w:tc>
        <w:tc>
          <w:tcPr>
            <w:tcW w:type="dxa" w:w="288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365</w:t>
            </w:r>
          </w:p>
        </w:tc>
        <w:tc>
          <w:tcPr>
            <w:tcW w:type="dxa" w:w="288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365</w:t>
            </w:r>
          </w:p>
        </w:tc>
      </w:tr>
      <w:tr>
        <w:trPr>
          <w:cantSplit/>
        </w:trPr>
        <w:tc>
          <w:tcPr>
            <w:tcW w:type="dxa" w:w="360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fact_appointment</w:t>
            </w:r>
          </w:p>
        </w:tc>
        <w:tc>
          <w:tcPr>
            <w:tcW w:type="dxa" w:w="288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1500</w:t>
            </w:r>
          </w:p>
        </w:tc>
        <w:tc>
          <w:tcPr>
            <w:tcW w:type="dxa" w:w="288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1500</w:t>
            </w:r>
          </w:p>
        </w:tc>
      </w:tr>
    </w:tbl>
    <w:p>
      <w:pPr>
        <w:spacing w:before="80" w:after="200" w:line="360" w:lineRule="auto"/>
        <w:jc w:val="center"/>
      </w:pPr>
      <w:r>
        <w:rPr>
          <w:rFonts w:ascii="Times New Roman" w:hAnsi="Times New Roman"/>
          <w:b w:val="0"/>
          <w:i/>
          <w:color w:val="000000"/>
          <w:sz w:val="20"/>
        </w:rPr>
        <w:t>Table 3: Table Row Counts and Referential Integrity Verification</w:t>
      </w:r>
    </w:p>
    <w:tbl>
      <w:tblPr>
        <w:tblW w:type="auto" w:w="0"/>
        <w:jc w:val="center"/>
        <w:tblLook w:firstColumn="1" w:firstRow="1" w:lastColumn="0" w:lastRow="0" w:noHBand="0" w:noVBand="1" w:val="04A0"/>
      </w:tblPr>
      <w:tblGrid>
        <w:gridCol w:w="9360"/>
      </w:tblGrid>
      <w:tr>
        <w:tc>
          <w:tcPr>
            <w:tcW w:type="dxa" w:w="9360"/>
            <w:shd w:fill="F3F4F6"/>
            <w:tcBorders>
              <w:top w:val="single" w:sz="6" w:space="0" w:color="CBD5E1"/>
              <w:left w:val="single" w:sz="18" w:space="0" w:color="3B82F6"/>
              <w:bottom w:val="single" w:sz="6" w:space="0" w:color="CBD5E1"/>
              <w:right w:val="single" w:sz="6" w:space="0" w:color="CBD5E1"/>
            </w:tcBorders>
          </w:tcPr>
          <w:p>
            <w:pPr>
              <w:spacing w:before="80" w:after="80" w:line="276" w:lineRule="auto"/>
            </w:pPr>
            <w:r>
              <w:rPr>
                <w:rFonts w:ascii="Consolas" w:hAnsi="Consolas"/>
                <w:b w:val="0"/>
                <w:i w:val="0"/>
                <w:color w:val="1E293B"/>
                <w:sz w:val="18"/>
              </w:rPr>
              <w:t>-- Verification Query: Check for Orphan Foreign Keys</w:t>
              <w:br/>
              <w:t xml:space="preserve">SELECT </w:t>
              <w:br/>
              <w:t xml:space="preserve">    COUNT(CASE WHEN p.patient_key IS NULL THEN 1 END) AS orphan_patient_fk,</w:t>
              <w:br/>
              <w:t xml:space="preserve">    COUNT(CASE WHEN d.doctor_key IS NULL THEN 1 END) AS orphan_doctor_fk,</w:t>
              <w:br/>
              <w:t xml:space="preserve">    COUNT(CASE WHEN c.clinic_key IS NULL THEN 1 END) AS orphan_clinic_fk,</w:t>
              <w:br/>
              <w:t xml:space="preserve">    COUNT(CASE WHEN dt.date_key IS NULL THEN 1 END) AS orphan_date_fk</w:t>
              <w:br/>
              <w:t>FROM fact_appointment f</w:t>
              <w:br/>
              <w:t>LEFT JOIN dim_patient p ON f.patient_key = p.patient_key</w:t>
              <w:br/>
              <w:t>LEFT JOIN dim_doctor d  ON f.doctor_key = d.doctor_key</w:t>
              <w:br/>
              <w:t>LEFT JOIN dim_clinic c  ON f.clinic_key = c.clinic_key</w:t>
              <w:br/>
              <w:t>LEFT JOIN dim_date dt   ON f.date_key = dt.date_key;</w:t>
              <w:br/>
              <w:t>-- Output: 0 | 0 | 0 | 0 (Zero orphans detected)</w:t>
            </w:r>
          </w:p>
        </w:tc>
      </w:tr>
    </w:tbl>
    <w:p>
      <w:pPr>
        <w:spacing w:before="0" w:after="80"/>
      </w:pPr>
    </w:p>
    <w:p>
      <w:pPr>
        <w:keepNext/>
        <w:spacing w:before="280" w:after="120"/>
      </w:pPr>
      <w:r>
        <w:rPr>
          <w:rFonts w:ascii="Times New Roman" w:hAnsi="Times New Roman"/>
          <w:b/>
          <w:i w:val="0"/>
          <w:color w:val="142D55"/>
          <w:sz w:val="26"/>
        </w:rPr>
        <w:t>TASK 5: OLAP QUERIES</w:t>
      </w:r>
    </w:p>
    <w:p>
      <w:pPr>
        <w:keepNext/>
        <w:spacing w:before="200" w:after="80"/>
      </w:pPr>
      <w:r>
        <w:rPr>
          <w:rFonts w:ascii="Times New Roman" w:hAnsi="Times New Roman"/>
          <w:b/>
          <w:i w:val="0"/>
          <w:color w:val="284678"/>
          <w:sz w:val="24"/>
        </w:rPr>
        <w:t>5.1 Slice</w:t>
      </w:r>
    </w:p>
    <w:p>
      <w:pPr>
        <w:spacing w:before="0" w:after="120" w:line="360" w:lineRule="auto"/>
        <w:jc w:val="both"/>
      </w:pPr>
      <w:r>
        <w:rPr>
          <w:rFonts w:ascii="Times New Roman" w:hAnsi="Times New Roman"/>
          <w:b w:val="0"/>
          <w:i w:val="0"/>
          <w:color w:val="000000"/>
          <w:sz w:val="24"/>
        </w:rPr>
        <w:t>Slice fixes clinic_id = 'C01' (Lotus Care Colombo) to analyze monthly consultation volume, wait times, and fee income:</w:t>
      </w:r>
    </w:p>
    <w:tbl>
      <w:tblPr>
        <w:tblW w:type="auto" w:w="0"/>
        <w:jc w:val="center"/>
        <w:tblLook w:firstColumn="1" w:firstRow="1" w:lastColumn="0" w:lastRow="0" w:noHBand="0" w:noVBand="1" w:val="04A0"/>
      </w:tblPr>
      <w:tblGrid>
        <w:gridCol w:w="9360"/>
      </w:tblGrid>
      <w:tr>
        <w:tc>
          <w:tcPr>
            <w:tcW w:type="dxa" w:w="9360"/>
            <w:shd w:fill="F3F4F6"/>
            <w:tcBorders>
              <w:top w:val="single" w:sz="6" w:space="0" w:color="CBD5E1"/>
              <w:left w:val="single" w:sz="18" w:space="0" w:color="3B82F6"/>
              <w:bottom w:val="single" w:sz="6" w:space="0" w:color="CBD5E1"/>
              <w:right w:val="single" w:sz="6" w:space="0" w:color="CBD5E1"/>
            </w:tcBorders>
          </w:tcPr>
          <w:p>
            <w:pPr>
              <w:spacing w:before="80" w:after="80" w:line="276" w:lineRule="auto"/>
            </w:pPr>
            <w:r>
              <w:rPr>
                <w:rFonts w:ascii="Consolas" w:hAnsi="Consolas"/>
                <w:b w:val="0"/>
                <w:i w:val="0"/>
                <w:color w:val="1E293B"/>
                <w:sz w:val="18"/>
              </w:rPr>
              <w:t>SELECT c.clinic_name, dt.month, dt.month_name, COUNT(f.appointment_id) AS total_appointments,</w:t>
              <w:br/>
              <w:t xml:space="preserve">       ROUND(AVG(f.wait_minutes), 2) AS avg_wait_minutes, SUM(f.fee) AS total_revenue_lkr</w:t>
              <w:br/>
              <w:t>FROM fact_appointment f JOIN dim_clinic c ON f.clinic_key = c.clinic_key</w:t>
              <w:br/>
              <w:t>JOIN dim_date dt ON f.date_key = dt.date_key WHERE c.clinic_id = 'C01'</w:t>
              <w:br/>
              <w:t>GROUP BY c.clinic_name, dt.month, dt.month_name ORDER BY dt.month;</w:t>
            </w:r>
          </w:p>
        </w:tc>
      </w:tr>
    </w:tbl>
    <w:p>
      <w:pPr>
        <w:spacing w:before="0" w:after="80"/>
      </w:pPr>
    </w:p>
    <w:p>
      <w:pPr>
        <w:spacing w:before="0" w:after="120" w:line="360" w:lineRule="auto"/>
        <w:jc w:val="both"/>
      </w:pPr>
      <w:r>
        <w:rPr>
          <w:rFonts w:ascii="Times New Roman" w:hAnsi="Times New Roman"/>
          <w:b w:val="0"/>
          <w:i w:val="0"/>
          <w:color w:val="000000"/>
          <w:sz w:val="24"/>
        </w:rPr>
        <w:t>Finding: Lotus Care Colombo recorded 290 visits in 2025 generating LKR 1,042,500, with average wait times peaking in June at 45.39 minutes and dropping to 25.58 minutes in December.</w:t>
      </w:r>
    </w:p>
    <w:p>
      <w:pPr>
        <w:keepNext/>
        <w:spacing w:before="200" w:after="80"/>
      </w:pPr>
      <w:r>
        <w:rPr>
          <w:rFonts w:ascii="Times New Roman" w:hAnsi="Times New Roman"/>
          <w:b/>
          <w:i w:val="0"/>
          <w:color w:val="284678"/>
          <w:sz w:val="24"/>
        </w:rPr>
        <w:t>5.2 Dice</w:t>
      </w:r>
    </w:p>
    <w:p>
      <w:pPr>
        <w:spacing w:before="0" w:after="120" w:line="360" w:lineRule="auto"/>
        <w:jc w:val="both"/>
      </w:pPr>
      <w:r>
        <w:rPr>
          <w:rFonts w:ascii="Times New Roman" w:hAnsi="Times New Roman"/>
          <w:b w:val="0"/>
          <w:i w:val="0"/>
          <w:color w:val="000000"/>
          <w:sz w:val="24"/>
        </w:rPr>
        <w:t>Dice restricts multiple dimensions (specialties: Cardiology, Neurology; quarters: Q1, Q2; provinces: Western, Central):</w:t>
      </w:r>
    </w:p>
    <w:tbl>
      <w:tblPr>
        <w:tblW w:type="auto" w:w="0"/>
        <w:jc w:val="center"/>
        <w:tblLook w:firstColumn="1" w:firstRow="1" w:lastColumn="0" w:lastRow="0" w:noHBand="0" w:noVBand="1" w:val="04A0"/>
      </w:tblPr>
      <w:tblGrid>
        <w:gridCol w:w="9360"/>
      </w:tblGrid>
      <w:tr>
        <w:tc>
          <w:tcPr>
            <w:tcW w:type="dxa" w:w="9360"/>
            <w:shd w:fill="F3F4F6"/>
            <w:tcBorders>
              <w:top w:val="single" w:sz="6" w:space="0" w:color="CBD5E1"/>
              <w:left w:val="single" w:sz="18" w:space="0" w:color="3B82F6"/>
              <w:bottom w:val="single" w:sz="6" w:space="0" w:color="CBD5E1"/>
              <w:right w:val="single" w:sz="6" w:space="0" w:color="CBD5E1"/>
            </w:tcBorders>
          </w:tcPr>
          <w:p>
            <w:pPr>
              <w:spacing w:before="80" w:after="80" w:line="276" w:lineRule="auto"/>
            </w:pPr>
            <w:r>
              <w:rPr>
                <w:rFonts w:ascii="Consolas" w:hAnsi="Consolas"/>
                <w:b w:val="0"/>
                <w:i w:val="0"/>
                <w:color w:val="1E293B"/>
                <w:sz w:val="18"/>
              </w:rPr>
              <w:t>SELECT c.province, c.clinic_name, d.specialty, dt.quarter_name,</w:t>
              <w:br/>
              <w:t xml:space="preserve">       COUNT(f.appointment_id) AS appointment_count, SUM(f.fee) AS total_fee_lkr</w:t>
              <w:br/>
              <w:t>FROM fact_appointment f JOIN dim_clinic c ON f.clinic_key = c.clinic_key</w:t>
              <w:br/>
              <w:t>JOIN dim_doctor d ON f.doctor_key = d.doctor_key JOIN dim_date dt ON f.date_key = dt.date_key</w:t>
              <w:br/>
              <w:t>WHERE d.specialty IN ('Cardiology', 'Neurology') AND dt.quarter IN (1, 2) AND c.province IN ('Western', 'Central')</w:t>
              <w:br/>
              <w:t>GROUP BY c.province, c.clinic_name, d.specialty, dt.quarter_name ORDER BY c.province, c.clinic_name, d.specialty, dt.quarter_name;</w:t>
            </w:r>
          </w:p>
        </w:tc>
      </w:tr>
    </w:tbl>
    <w:p>
      <w:pPr>
        <w:spacing w:before="0" w:after="80"/>
      </w:pPr>
    </w:p>
    <w:p>
      <w:pPr>
        <w:spacing w:before="0" w:after="120" w:line="360" w:lineRule="auto"/>
        <w:jc w:val="both"/>
      </w:pPr>
      <w:r>
        <w:rPr>
          <w:rFonts w:ascii="Times New Roman" w:hAnsi="Times New Roman"/>
          <w:b w:val="0"/>
          <w:i w:val="0"/>
          <w:color w:val="000000"/>
          <w:sz w:val="24"/>
        </w:rPr>
        <w:t>Finding: Cardiology and Neurology across Western and Central branches generated 106 appointments and LKR 511,500 in revenue across Q1 and Q2.</w:t>
      </w:r>
    </w:p>
    <w:p>
      <w:pPr>
        <w:keepNext/>
        <w:spacing w:before="200" w:after="80"/>
      </w:pPr>
      <w:r>
        <w:rPr>
          <w:rFonts w:ascii="Times New Roman" w:hAnsi="Times New Roman"/>
          <w:b/>
          <w:i w:val="0"/>
          <w:color w:val="284678"/>
          <w:sz w:val="24"/>
        </w:rPr>
        <w:t>5.3 Roll Up</w:t>
      </w:r>
    </w:p>
    <w:p>
      <w:pPr>
        <w:spacing w:before="0" w:after="120" w:line="360" w:lineRule="auto"/>
        <w:jc w:val="both"/>
      </w:pPr>
      <w:r>
        <w:rPr>
          <w:rFonts w:ascii="Times New Roman" w:hAnsi="Times New Roman"/>
          <w:b w:val="0"/>
          <w:i w:val="0"/>
          <w:color w:val="000000"/>
          <w:sz w:val="24"/>
        </w:rPr>
        <w:t>Roll Up aggregates workload and revenue hierarchically from doctor to specialty to grand total using GROUP BY ROLLUP:</w:t>
      </w:r>
    </w:p>
    <w:tbl>
      <w:tblPr>
        <w:tblW w:type="auto" w:w="0"/>
        <w:jc w:val="center"/>
        <w:tblLook w:firstColumn="1" w:firstRow="1" w:lastColumn="0" w:lastRow="0" w:noHBand="0" w:noVBand="1" w:val="04A0"/>
      </w:tblPr>
      <w:tblGrid>
        <w:gridCol w:w="9360"/>
      </w:tblGrid>
      <w:tr>
        <w:tc>
          <w:tcPr>
            <w:tcW w:type="dxa" w:w="9360"/>
            <w:shd w:fill="F3F4F6"/>
            <w:tcBorders>
              <w:top w:val="single" w:sz="6" w:space="0" w:color="CBD5E1"/>
              <w:left w:val="single" w:sz="18" w:space="0" w:color="3B82F6"/>
              <w:bottom w:val="single" w:sz="6" w:space="0" w:color="CBD5E1"/>
              <w:right w:val="single" w:sz="6" w:space="0" w:color="CBD5E1"/>
            </w:tcBorders>
          </w:tcPr>
          <w:p>
            <w:pPr>
              <w:spacing w:before="80" w:after="80" w:line="276" w:lineRule="auto"/>
            </w:pPr>
            <w:r>
              <w:rPr>
                <w:rFonts w:ascii="Consolas" w:hAnsi="Consolas"/>
                <w:b w:val="0"/>
                <w:i w:val="0"/>
                <w:color w:val="1E293B"/>
                <w:sz w:val="18"/>
              </w:rPr>
              <w:t>SELECT COALESCE(d.specialty, '--&gt; GRAND TOTAL') AS specialty,</w:t>
              <w:br/>
              <w:t xml:space="preserve">       COALESCE(d.doctor_name, '-&gt; Subtotal') AS doctor_name,</w:t>
              <w:br/>
              <w:t xml:space="preserve">       COUNT(f.appointment_id) AS appointment_count, SUM(f.consultation_minutes) AS total_consult_mins,</w:t>
              <w:br/>
              <w:t xml:space="preserve">       SUM(f.fee) AS total_fee_lkr</w:t>
              <w:br/>
              <w:t>FROM fact_appointment f JOIN dim_doctor d ON f.doctor_key = d.doctor_key</w:t>
              <w:br/>
              <w:t>GROUP BY ROLLUP(d.specialty, d.doctor_name) ORDER BY d.specialty NULLS LAST, d.doctor_name NULLS LAST;</w:t>
            </w:r>
          </w:p>
        </w:tc>
      </w:tr>
    </w:tbl>
    <w:p>
      <w:pPr>
        <w:spacing w:before="0" w:after="80"/>
      </w:pPr>
    </w:p>
    <w:p>
      <w:pPr>
        <w:spacing w:before="0" w:after="120" w:line="360" w:lineRule="auto"/>
        <w:jc w:val="both"/>
      </w:pPr>
      <w:r>
        <w:rPr>
          <w:rFonts w:ascii="Times New Roman" w:hAnsi="Times New Roman"/>
          <w:b w:val="0"/>
          <w:i w:val="0"/>
          <w:color w:val="000000"/>
          <w:sz w:val="24"/>
        </w:rPr>
        <w:t>Finding: General Medicine handled the highest patient volume (310 visits, 6,880 consultation mins), while Cardiology produced the highest revenue (LKR 1,368,000) out of the LKR 5,577,000 grand total.</w:t>
      </w:r>
    </w:p>
    <w:p>
      <w:pPr>
        <w:keepNext/>
        <w:spacing w:before="200" w:after="80"/>
      </w:pPr>
      <w:r>
        <w:rPr>
          <w:rFonts w:ascii="Times New Roman" w:hAnsi="Times New Roman"/>
          <w:b/>
          <w:i w:val="0"/>
          <w:color w:val="284678"/>
          <w:sz w:val="24"/>
        </w:rPr>
        <w:t>5.4 Drill Down</w:t>
      </w:r>
    </w:p>
    <w:p>
      <w:pPr>
        <w:spacing w:before="0" w:after="120" w:line="360" w:lineRule="auto"/>
        <w:jc w:val="both"/>
      </w:pPr>
      <w:r>
        <w:rPr>
          <w:rFonts w:ascii="Times New Roman" w:hAnsi="Times New Roman"/>
          <w:b w:val="0"/>
          <w:i w:val="0"/>
          <w:color w:val="000000"/>
          <w:sz w:val="24"/>
        </w:rPr>
        <w:t>Drill Down navigates from quarterly summaries to monthly performance in Quarter 3:</w:t>
      </w:r>
    </w:p>
    <w:tbl>
      <w:tblPr>
        <w:tblW w:type="auto" w:w="0"/>
        <w:jc w:val="center"/>
        <w:tblLook w:firstColumn="1" w:firstRow="1" w:lastColumn="0" w:lastRow="0" w:noHBand="0" w:noVBand="1" w:val="04A0"/>
      </w:tblPr>
      <w:tblGrid>
        <w:gridCol w:w="9360"/>
      </w:tblGrid>
      <w:tr>
        <w:tc>
          <w:tcPr>
            <w:tcW w:type="dxa" w:w="9360"/>
            <w:shd w:fill="F3F4F6"/>
            <w:tcBorders>
              <w:top w:val="single" w:sz="6" w:space="0" w:color="CBD5E1"/>
              <w:left w:val="single" w:sz="18" w:space="0" w:color="3B82F6"/>
              <w:bottom w:val="single" w:sz="6" w:space="0" w:color="CBD5E1"/>
              <w:right w:val="single" w:sz="6" w:space="0" w:color="CBD5E1"/>
            </w:tcBorders>
          </w:tcPr>
          <w:p>
            <w:pPr>
              <w:spacing w:before="80" w:after="80" w:line="276" w:lineRule="auto"/>
            </w:pPr>
            <w:r>
              <w:rPr>
                <w:rFonts w:ascii="Consolas" w:hAnsi="Consolas"/>
                <w:b w:val="0"/>
                <w:i w:val="0"/>
                <w:color w:val="1E293B"/>
                <w:sz w:val="18"/>
              </w:rPr>
              <w:t>-- Higher-Level: Quarterly Totals</w:t>
              <w:br/>
              <w:t>SELECT dt.year, dt.quarter_name, COUNT(f.appointment_id) AS total_appointments, SUM(f.fee) AS total_fee_lkr</w:t>
              <w:br/>
              <w:t>FROM fact_appointment f JOIN dim_date dt ON f.date_key = dt.date_key</w:t>
              <w:br/>
              <w:t>GROUP BY dt.year, dt.quarter, dt.quarter_name ORDER BY dt.quarter;</w:t>
              <w:br/>
              <w:br/>
              <w:t>-- Drilled-Down: Monthly Totals inside Quarter 3</w:t>
              <w:br/>
              <w:t>SELECT dt.quarter_name, dt.month, dt.month_name, COUNT(f.appointment_id) AS total_appointments, SUM(f.fee) AS total_fee_lkr</w:t>
              <w:br/>
              <w:t>FROM fact_appointment f JOIN dim_date dt ON f.date_key = dt.date_key</w:t>
              <w:br/>
              <w:t>WHERE dt.quarter = 3 GROUP BY dt.quarter_name, dt.month, dt.month_name ORDER BY dt.month;</w:t>
            </w:r>
          </w:p>
        </w:tc>
      </w:tr>
    </w:tbl>
    <w:p>
      <w:pPr>
        <w:spacing w:before="0" w:after="80"/>
      </w:pPr>
    </w:p>
    <w:p>
      <w:pPr>
        <w:spacing w:before="0" w:after="120" w:line="360" w:lineRule="auto"/>
        <w:jc w:val="both"/>
      </w:pPr>
      <w:r>
        <w:rPr>
          <w:rFonts w:ascii="Times New Roman" w:hAnsi="Times New Roman"/>
          <w:b w:val="0"/>
          <w:i w:val="0"/>
          <w:color w:val="000000"/>
          <w:sz w:val="24"/>
        </w:rPr>
        <w:t>Finding: Drilling down into Q3 (LKR 1,467,000 across 392 visits) shows revenue peaked in July at LKR 523,000 (140 visits), declining to LKR 485,000 in August and LKR 459,000 in September.</w:t>
      </w:r>
    </w:p>
    <w:p>
      <w:pPr>
        <w:keepNext/>
        <w:spacing w:before="200" w:after="80"/>
      </w:pPr>
      <w:r>
        <w:rPr>
          <w:rFonts w:ascii="Times New Roman" w:hAnsi="Times New Roman"/>
          <w:b/>
          <w:i w:val="0"/>
          <w:color w:val="284678"/>
          <w:sz w:val="24"/>
        </w:rPr>
        <w:t>5.5 Pivot</w:t>
      </w:r>
    </w:p>
    <w:p>
      <w:pPr>
        <w:spacing w:before="0" w:after="120" w:line="360" w:lineRule="auto"/>
        <w:jc w:val="both"/>
      </w:pPr>
      <w:r>
        <w:rPr>
          <w:rFonts w:ascii="Times New Roman" w:hAnsi="Times New Roman"/>
          <w:b w:val="0"/>
          <w:i w:val="0"/>
          <w:color w:val="000000"/>
          <w:sz w:val="24"/>
        </w:rPr>
        <w:t>Pivot rotates calendar quarters into columns to cross-tabulate branch revenue:</w:t>
      </w:r>
    </w:p>
    <w:tbl>
      <w:tblPr>
        <w:tblW w:type="auto" w:w="0"/>
        <w:jc w:val="center"/>
        <w:tblLook w:firstColumn="1" w:firstRow="1" w:lastColumn="0" w:lastRow="0" w:noHBand="0" w:noVBand="1" w:val="04A0"/>
      </w:tblPr>
      <w:tblGrid>
        <w:gridCol w:w="9360"/>
      </w:tblGrid>
      <w:tr>
        <w:tc>
          <w:tcPr>
            <w:tcW w:type="dxa" w:w="9360"/>
            <w:shd w:fill="F3F4F6"/>
            <w:tcBorders>
              <w:top w:val="single" w:sz="6" w:space="0" w:color="CBD5E1"/>
              <w:left w:val="single" w:sz="18" w:space="0" w:color="3B82F6"/>
              <w:bottom w:val="single" w:sz="6" w:space="0" w:color="CBD5E1"/>
              <w:right w:val="single" w:sz="6" w:space="0" w:color="CBD5E1"/>
            </w:tcBorders>
          </w:tcPr>
          <w:p>
            <w:pPr>
              <w:spacing w:before="80" w:after="80" w:line="276" w:lineRule="auto"/>
            </w:pPr>
            <w:r>
              <w:rPr>
                <w:rFonts w:ascii="Consolas" w:hAnsi="Consolas"/>
                <w:b w:val="0"/>
                <w:i w:val="0"/>
                <w:color w:val="1E293B"/>
                <w:sz w:val="18"/>
              </w:rPr>
              <w:t>SELECT c.clinic_id, c.clinic_name, c.city,</w:t>
              <w:br/>
              <w:t xml:space="preserve">       SUM(CASE WHEN dt.quarter = 1 THEN f.fee ELSE 0 END) AS q1_revenue_lkr,</w:t>
              <w:br/>
              <w:t xml:space="preserve">       SUM(CASE WHEN dt.quarter = 2 THEN f.fee ELSE 0 END) AS q2_revenue_lkr,</w:t>
              <w:br/>
              <w:t xml:space="preserve">       SUM(CASE WHEN dt.quarter = 3 THEN f.fee ELSE 0 END) AS q3_revenue_lkr,</w:t>
              <w:br/>
              <w:t xml:space="preserve">       SUM(CASE WHEN dt.quarter = 4 THEN f.fee ELSE 0 END) AS q4_revenue_lkr,</w:t>
              <w:br/>
              <w:t xml:space="preserve">       SUM(f.fee) AS total_annual_revenue_lkr</w:t>
              <w:br/>
              <w:t>FROM fact_appointment f JOIN dim_clinic c ON f.clinic_key = c.clinic_key</w:t>
              <w:br/>
              <w:t>JOIN dim_date dt ON f.date_key = dt.date_key GROUP BY c.clinic_id, c.clinic_name, c.city ORDER BY c.clinic_id;</w:t>
            </w:r>
          </w:p>
        </w:tc>
      </w:tr>
    </w:tbl>
    <w:p>
      <w:pPr>
        <w:spacing w:before="0" w:after="80"/>
      </w:pPr>
    </w:p>
    <w:p>
      <w:pPr>
        <w:spacing w:before="0" w:after="120" w:line="360" w:lineRule="auto"/>
        <w:jc w:val="both"/>
      </w:pPr>
      <w:r>
        <w:rPr>
          <w:rFonts w:ascii="Times New Roman" w:hAnsi="Times New Roman"/>
          <w:b w:val="0"/>
          <w:i w:val="0"/>
          <w:color w:val="000000"/>
          <w:sz w:val="24"/>
        </w:rPr>
        <w:t>Finding: Lotus Care Galle led annual branch earnings with LKR 1,246,000, followed by Kandy (LKR 1,187,500), Jaffna (LKR 1,140,500), Colombo (LKR 1,042,500), and Kurunegala (LKR 960,500).</w:t>
      </w:r>
    </w:p>
    <w:p>
      <w:pPr>
        <w:keepNext/>
        <w:spacing w:before="280" w:after="120"/>
      </w:pPr>
      <w:r>
        <w:rPr>
          <w:rFonts w:ascii="Times New Roman" w:hAnsi="Times New Roman"/>
          <w:b/>
          <w:i w:val="0"/>
          <w:color w:val="142D55"/>
          <w:sz w:val="26"/>
        </w:rPr>
        <w:t>TASK 6: DASHBOARD</w:t>
      </w:r>
    </w:p>
    <w:p>
      <w:pPr>
        <w:keepNext/>
        <w:spacing w:before="200" w:after="80"/>
      </w:pPr>
      <w:r>
        <w:rPr>
          <w:rFonts w:ascii="Times New Roman" w:hAnsi="Times New Roman"/>
          <w:b/>
          <w:i w:val="0"/>
          <w:color w:val="284678"/>
          <w:sz w:val="24"/>
        </w:rPr>
        <w:t>6.1 Dashboard Visuals</w:t>
      </w:r>
    </w:p>
    <w:p>
      <w:pPr>
        <w:spacing w:before="0" w:after="120" w:line="360" w:lineRule="auto"/>
        <w:jc w:val="both"/>
      </w:pPr>
      <w:r>
        <w:rPr>
          <w:rFonts w:ascii="Times New Roman" w:hAnsi="Times New Roman"/>
          <w:b w:val="0"/>
          <w:i w:val="0"/>
          <w:color w:val="000000"/>
          <w:sz w:val="24"/>
        </w:rPr>
        <w:t>An executive dashboard was constructed in Metabase Community to address the three Task 1 questions. Figure 2 shows the unfiltered 2025 dashboard overview:</w:t>
      </w:r>
    </w:p>
    <w:p>
      <w:pPr>
        <w:spacing w:before="80" w:after="40"/>
        <w:jc w:val="center"/>
      </w:pPr>
      <w:r>
        <w:drawing>
          <wp:inline xmlns:a="http://schemas.openxmlformats.org/drawingml/2006/main" xmlns:pic="http://schemas.openxmlformats.org/drawingml/2006/picture">
            <wp:extent cx="5120640" cy="3017397"/>
            <wp:docPr id="2" name="Picture 2"/>
            <wp:cNvGraphicFramePr>
              <a:graphicFrameLocks noChangeAspect="1"/>
            </wp:cNvGraphicFramePr>
            <a:graphic>
              <a:graphicData uri="http://schemas.openxmlformats.org/drawingml/2006/picture">
                <pic:pic>
                  <pic:nvPicPr>
                    <pic:cNvPr id="0" name="figure2_dashboard_unfiltered.png"/>
                    <pic:cNvPicPr/>
                  </pic:nvPicPr>
                  <pic:blipFill>
                    <a:blip r:embed="rId10"/>
                    <a:stretch>
                      <a:fillRect/>
                    </a:stretch>
                  </pic:blipFill>
                  <pic:spPr>
                    <a:xfrm>
                      <a:off x="0" y="0"/>
                      <a:ext cx="5120640" cy="3017397"/>
                    </a:xfrm>
                    <a:prstGeom prst="rect"/>
                  </pic:spPr>
                </pic:pic>
              </a:graphicData>
            </a:graphic>
          </wp:inline>
        </w:drawing>
      </w:r>
    </w:p>
    <w:p>
      <w:pPr>
        <w:spacing w:before="40" w:after="200" w:line="360" w:lineRule="auto"/>
        <w:jc w:val="center"/>
      </w:pPr>
      <w:r>
        <w:rPr>
          <w:rFonts w:ascii="Times New Roman" w:hAnsi="Times New Roman"/>
          <w:b w:val="0"/>
          <w:i/>
          <w:color w:val="000000"/>
          <w:sz w:val="20"/>
        </w:rPr>
        <w:t>Figure 2: Metabase Operations Performance Dashboard (Unfiltered)</w:t>
      </w:r>
    </w:p>
    <w:p>
      <w:pPr>
        <w:keepNext/>
        <w:spacing w:before="200" w:after="80"/>
      </w:pPr>
      <w:r>
        <w:rPr>
          <w:rFonts w:ascii="Times New Roman" w:hAnsi="Times New Roman"/>
          <w:b/>
          <w:i w:val="0"/>
          <w:color w:val="284678"/>
          <w:sz w:val="24"/>
        </w:rPr>
        <w:t>6.2 Chart Choices</w:t>
      </w:r>
    </w:p>
    <w:p>
      <w:pPr>
        <w:spacing w:before="0" w:after="120" w:line="360" w:lineRule="auto"/>
        <w:jc w:val="both"/>
      </w:pPr>
      <w:r>
        <w:rPr>
          <w:rFonts w:ascii="Times New Roman" w:hAnsi="Times New Roman"/>
          <w:b w:val="0"/>
          <w:i w:val="0"/>
          <w:color w:val="000000"/>
          <w:sz w:val="24"/>
        </w:rPr>
        <w:t>Visual design choices were selected based on analytical clarity:</w:t>
      </w:r>
    </w:p>
    <w:p>
      <w:pPr>
        <w:spacing w:before="0" w:after="120" w:line="360" w:lineRule="auto"/>
        <w:jc w:val="both"/>
      </w:pPr>
      <w:r>
        <w:rPr>
          <w:rFonts w:ascii="Times New Roman" w:hAnsi="Times New Roman"/>
          <w:b w:val="0"/>
          <w:i w:val="0"/>
          <w:color w:val="000000"/>
          <w:sz w:val="24"/>
        </w:rPr>
        <w:t>• Visual 1 (Horizontal Bar Chart): Answers Question 1 by displaying average waiting times across clinics. Horizontal alignment provides clear branch label readability and highlights operational delays (Kurunegala averaging 34.6 mins).</w:t>
      </w:r>
    </w:p>
    <w:p>
      <w:pPr>
        <w:spacing w:before="0" w:after="120" w:line="360" w:lineRule="auto"/>
        <w:jc w:val="both"/>
      </w:pPr>
      <w:r>
        <w:rPr>
          <w:rFonts w:ascii="Times New Roman" w:hAnsi="Times New Roman"/>
          <w:b w:val="0"/>
          <w:i w:val="0"/>
          <w:color w:val="000000"/>
          <w:sz w:val="24"/>
        </w:rPr>
        <w:t>• Visual 2 (Vertical Column Chart): Answers Question 2 by charting total consultation workload hours by specialty. Column heights allow immediate comparison of physician workload (General Medicine leading with 114.7 hours).</w:t>
      </w:r>
    </w:p>
    <w:p>
      <w:pPr>
        <w:spacing w:before="0" w:after="120" w:line="360" w:lineRule="auto"/>
        <w:jc w:val="both"/>
      </w:pPr>
      <w:r>
        <w:rPr>
          <w:rFonts w:ascii="Times New Roman" w:hAnsi="Times New Roman"/>
          <w:b w:val="0"/>
          <w:i w:val="0"/>
          <w:color w:val="000000"/>
          <w:sz w:val="24"/>
        </w:rPr>
        <w:t>• Visual 3 (Line / Area Chart): Answers Question 3 by charting monthly fee revenue trends throughout 2025, effectively visualizing seasonal peaks in Q2/Q3 and the Q4 dip.</w:t>
      </w:r>
    </w:p>
    <w:p>
      <w:pPr>
        <w:keepNext/>
        <w:spacing w:before="200" w:after="80"/>
      </w:pPr>
      <w:r>
        <w:rPr>
          <w:rFonts w:ascii="Times New Roman" w:hAnsi="Times New Roman"/>
          <w:b/>
          <w:i w:val="0"/>
          <w:color w:val="284678"/>
          <w:sz w:val="24"/>
        </w:rPr>
        <w:t>6.3 Dashboard Filter</w:t>
      </w:r>
    </w:p>
    <w:p>
      <w:pPr>
        <w:spacing w:before="0" w:after="120" w:line="360" w:lineRule="auto"/>
        <w:jc w:val="both"/>
      </w:pPr>
      <w:r>
        <w:rPr>
          <w:rFonts w:ascii="Times New Roman" w:hAnsi="Times New Roman"/>
          <w:b w:val="0"/>
          <w:i w:val="0"/>
          <w:color w:val="000000"/>
          <w:sz w:val="24"/>
        </w:rPr>
        <w:t>An interactive Clinic Branch filter was added. Figure 3 shows the dashboard filtered on 'Lotus Care Colombo' (C01), with all three visuals dynamically updating to display Colombo-specific performance (avg wait: 33.7 mins; workload: 46.8 hours; revenue: LKR 1,042,500):</w:t>
      </w:r>
    </w:p>
    <w:p>
      <w:pPr>
        <w:spacing w:before="80" w:after="40"/>
        <w:jc w:val="center"/>
      </w:pPr>
      <w:r>
        <w:drawing>
          <wp:inline xmlns:a="http://schemas.openxmlformats.org/drawingml/2006/main" xmlns:pic="http://schemas.openxmlformats.org/drawingml/2006/picture">
            <wp:extent cx="5120640" cy="3017397"/>
            <wp:docPr id="3" name="Picture 3"/>
            <wp:cNvGraphicFramePr>
              <a:graphicFrameLocks noChangeAspect="1"/>
            </wp:cNvGraphicFramePr>
            <a:graphic>
              <a:graphicData uri="http://schemas.openxmlformats.org/drawingml/2006/picture">
                <pic:pic>
                  <pic:nvPicPr>
                    <pic:cNvPr id="0" name="figure3_dashboard_filtered.png"/>
                    <pic:cNvPicPr/>
                  </pic:nvPicPr>
                  <pic:blipFill>
                    <a:blip r:embed="rId11"/>
                    <a:stretch>
                      <a:fillRect/>
                    </a:stretch>
                  </pic:blipFill>
                  <pic:spPr>
                    <a:xfrm>
                      <a:off x="0" y="0"/>
                      <a:ext cx="5120640" cy="3017397"/>
                    </a:xfrm>
                    <a:prstGeom prst="rect"/>
                  </pic:spPr>
                </pic:pic>
              </a:graphicData>
            </a:graphic>
          </wp:inline>
        </w:drawing>
      </w:r>
    </w:p>
    <w:p>
      <w:pPr>
        <w:spacing w:before="40" w:after="200" w:line="360" w:lineRule="auto"/>
        <w:jc w:val="center"/>
      </w:pPr>
      <w:r>
        <w:rPr>
          <w:rFonts w:ascii="Times New Roman" w:hAnsi="Times New Roman"/>
          <w:b w:val="0"/>
          <w:i/>
          <w:color w:val="000000"/>
          <w:sz w:val="20"/>
        </w:rPr>
        <w:t>Figure 3: Metabase Operations Performance Dashboard (Filtered on Colombo Branch)</w:t>
      </w:r>
    </w:p>
    <w:p>
      <w:pPr>
        <w:keepNext/>
        <w:spacing w:before="280" w:after="120"/>
      </w:pPr>
      <w:r>
        <w:rPr>
          <w:rFonts w:ascii="Times New Roman" w:hAnsi="Times New Roman"/>
          <w:b/>
          <w:i w:val="0"/>
          <w:color w:val="142D55"/>
          <w:sz w:val="26"/>
        </w:rPr>
        <w:t>TASK 7: A PATIENT CHANGES DISTRICT</w:t>
      </w:r>
    </w:p>
    <w:p>
      <w:pPr>
        <w:keepNext/>
        <w:spacing w:before="200" w:after="80"/>
      </w:pPr>
      <w:r>
        <w:rPr>
          <w:rFonts w:ascii="Times New Roman" w:hAnsi="Times New Roman"/>
          <w:b/>
          <w:i w:val="0"/>
          <w:color w:val="284678"/>
          <w:sz w:val="24"/>
        </w:rPr>
        <w:t>7.1 Overwrite Approach</w:t>
      </w:r>
    </w:p>
    <w:p>
      <w:pPr>
        <w:spacing w:before="0" w:after="120" w:line="360" w:lineRule="auto"/>
        <w:jc w:val="both"/>
      </w:pPr>
      <w:r>
        <w:rPr>
          <w:rFonts w:ascii="Times New Roman" w:hAnsi="Times New Roman"/>
          <w:b w:val="0"/>
          <w:i w:val="0"/>
          <w:color w:val="000000"/>
          <w:sz w:val="24"/>
        </w:rPr>
        <w:t>The file patient_updates.csv lists three patients who moved in January 2026: P0022 (Jaffna to Matara, 6 appointments in 2025), P0103 (Galle to Colombo, 5 appointments), and P0233 (Jaffna to Kalutara, 5 appointments). In an SCD Type 1 (Overwrite) approach, district values are overwritten in place. Table 4 displays the resulting appointment count changes by district:</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592"/>
            <w:vAlign w:val="center"/>
            <w:tcMar>
              <w:top w:w="120" w:type="dxa"/>
              <w:left w:w="160" w:type="dxa"/>
              <w:bottom w:w="120" w:type="dxa"/>
              <w:right w:w="160" w:type="dxa"/>
            </w:tcMar>
            <w:shd w:fill="1E3A8A"/>
          </w:tcPr>
          <w:p>
            <w:pPr>
              <w:spacing w:before="40" w:after="40"/>
              <w:jc w:val="center"/>
            </w:pPr>
            <w:r>
              <w:rPr>
                <w:rFonts w:ascii="Times New Roman" w:hAnsi="Times New Roman"/>
                <w:b/>
                <w:i w:val="0"/>
                <w:color w:val="FFFFFF"/>
                <w:sz w:val="20"/>
              </w:rPr>
              <w:t>District</w:t>
            </w:r>
          </w:p>
        </w:tc>
        <w:tc>
          <w:tcPr>
            <w:tcW w:type="dxa" w:w="2304"/>
            <w:vAlign w:val="center"/>
            <w:tcMar>
              <w:top w:w="120" w:type="dxa"/>
              <w:left w:w="160" w:type="dxa"/>
              <w:bottom w:w="120" w:type="dxa"/>
              <w:right w:w="160" w:type="dxa"/>
            </w:tcMar>
            <w:shd w:fill="1E3A8A"/>
          </w:tcPr>
          <w:p>
            <w:pPr>
              <w:spacing w:before="40" w:after="40"/>
              <w:jc w:val="center"/>
            </w:pPr>
            <w:r>
              <w:rPr>
                <w:rFonts w:ascii="Times New Roman" w:hAnsi="Times New Roman"/>
                <w:b/>
                <w:i w:val="0"/>
                <w:color w:val="FFFFFF"/>
                <w:sz w:val="20"/>
              </w:rPr>
              <w:t>Appointments Before</w:t>
            </w:r>
          </w:p>
        </w:tc>
        <w:tc>
          <w:tcPr>
            <w:tcW w:type="dxa" w:w="2304"/>
            <w:vAlign w:val="center"/>
            <w:tcMar>
              <w:top w:w="120" w:type="dxa"/>
              <w:left w:w="160" w:type="dxa"/>
              <w:bottom w:w="120" w:type="dxa"/>
              <w:right w:w="160" w:type="dxa"/>
            </w:tcMar>
            <w:shd w:fill="1E3A8A"/>
          </w:tcPr>
          <w:p>
            <w:pPr>
              <w:spacing w:before="40" w:after="40"/>
              <w:jc w:val="center"/>
            </w:pPr>
            <w:r>
              <w:rPr>
                <w:rFonts w:ascii="Times New Roman" w:hAnsi="Times New Roman"/>
                <w:b/>
                <w:i w:val="0"/>
                <w:color w:val="FFFFFF"/>
                <w:sz w:val="20"/>
              </w:rPr>
              <w:t>Appointments After</w:t>
            </w:r>
          </w:p>
        </w:tc>
        <w:tc>
          <w:tcPr>
            <w:tcW w:type="dxa" w:w="2160"/>
            <w:vAlign w:val="center"/>
            <w:tcMar>
              <w:top w:w="120" w:type="dxa"/>
              <w:left w:w="160" w:type="dxa"/>
              <w:bottom w:w="120" w:type="dxa"/>
              <w:right w:w="160" w:type="dxa"/>
            </w:tcMar>
            <w:shd w:fill="1E3A8A"/>
          </w:tcPr>
          <w:p>
            <w:pPr>
              <w:spacing w:before="40" w:after="40"/>
              <w:jc w:val="center"/>
            </w:pPr>
            <w:r>
              <w:rPr>
                <w:rFonts w:ascii="Times New Roman" w:hAnsi="Times New Roman"/>
                <w:b/>
                <w:i w:val="0"/>
                <w:color w:val="FFFFFF"/>
                <w:sz w:val="20"/>
              </w:rPr>
              <w:t>Net Change</w:t>
            </w:r>
          </w:p>
        </w:tc>
      </w:tr>
      <w:tr>
        <w:trPr>
          <w:cantSplit/>
        </w:trPr>
        <w:tc>
          <w:tcPr>
            <w:tcW w:type="dxa" w:w="2592"/>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Colombo</w:t>
            </w:r>
          </w:p>
        </w:tc>
        <w:tc>
          <w:tcPr>
            <w:tcW w:type="dxa" w:w="2304"/>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198</w:t>
            </w:r>
          </w:p>
        </w:tc>
        <w:tc>
          <w:tcPr>
            <w:tcW w:type="dxa" w:w="2304"/>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203</w:t>
            </w:r>
          </w:p>
        </w:tc>
        <w:tc>
          <w:tcPr>
            <w:tcW w:type="dxa" w:w="216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+5</w:t>
            </w:r>
          </w:p>
        </w:tc>
      </w:tr>
      <w:tr>
        <w:trPr>
          <w:cantSplit/>
        </w:trPr>
        <w:tc>
          <w:tcPr>
            <w:tcW w:type="dxa" w:w="2592"/>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Galle</w:t>
            </w:r>
          </w:p>
        </w:tc>
        <w:tc>
          <w:tcPr>
            <w:tcW w:type="dxa" w:w="2304"/>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157</w:t>
            </w:r>
          </w:p>
        </w:tc>
        <w:tc>
          <w:tcPr>
            <w:tcW w:type="dxa" w:w="2304"/>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152</w:t>
            </w:r>
          </w:p>
        </w:tc>
        <w:tc>
          <w:tcPr>
            <w:tcW w:type="dxa" w:w="216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-5</w:t>
            </w:r>
          </w:p>
        </w:tc>
      </w:tr>
      <w:tr>
        <w:trPr>
          <w:cantSplit/>
        </w:trPr>
        <w:tc>
          <w:tcPr>
            <w:tcW w:type="dxa" w:w="2592"/>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Gampaha</w:t>
            </w:r>
          </w:p>
        </w:tc>
        <w:tc>
          <w:tcPr>
            <w:tcW w:type="dxa" w:w="2304"/>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242</w:t>
            </w:r>
          </w:p>
        </w:tc>
        <w:tc>
          <w:tcPr>
            <w:tcW w:type="dxa" w:w="2304"/>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242</w:t>
            </w:r>
          </w:p>
        </w:tc>
        <w:tc>
          <w:tcPr>
            <w:tcW w:type="dxa" w:w="216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0</w:t>
            </w:r>
          </w:p>
        </w:tc>
      </w:tr>
      <w:tr>
        <w:trPr>
          <w:cantSplit/>
        </w:trPr>
        <w:tc>
          <w:tcPr>
            <w:tcW w:type="dxa" w:w="2592"/>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Jaffna</w:t>
            </w:r>
          </w:p>
        </w:tc>
        <w:tc>
          <w:tcPr>
            <w:tcW w:type="dxa" w:w="2304"/>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210</w:t>
            </w:r>
          </w:p>
        </w:tc>
        <w:tc>
          <w:tcPr>
            <w:tcW w:type="dxa" w:w="2304"/>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199</w:t>
            </w:r>
          </w:p>
        </w:tc>
        <w:tc>
          <w:tcPr>
            <w:tcW w:type="dxa" w:w="216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-11</w:t>
            </w:r>
          </w:p>
        </w:tc>
      </w:tr>
      <w:tr>
        <w:trPr>
          <w:cantSplit/>
        </w:trPr>
        <w:tc>
          <w:tcPr>
            <w:tcW w:type="dxa" w:w="2592"/>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Kalutara</w:t>
            </w:r>
          </w:p>
        </w:tc>
        <w:tc>
          <w:tcPr>
            <w:tcW w:type="dxa" w:w="2304"/>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175</w:t>
            </w:r>
          </w:p>
        </w:tc>
        <w:tc>
          <w:tcPr>
            <w:tcW w:type="dxa" w:w="2304"/>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180</w:t>
            </w:r>
          </w:p>
        </w:tc>
        <w:tc>
          <w:tcPr>
            <w:tcW w:type="dxa" w:w="216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+5</w:t>
            </w:r>
          </w:p>
        </w:tc>
      </w:tr>
      <w:tr>
        <w:trPr>
          <w:cantSplit/>
        </w:trPr>
        <w:tc>
          <w:tcPr>
            <w:tcW w:type="dxa" w:w="2592"/>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Kandy</w:t>
            </w:r>
          </w:p>
        </w:tc>
        <w:tc>
          <w:tcPr>
            <w:tcW w:type="dxa" w:w="2304"/>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191</w:t>
            </w:r>
          </w:p>
        </w:tc>
        <w:tc>
          <w:tcPr>
            <w:tcW w:type="dxa" w:w="2304"/>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191</w:t>
            </w:r>
          </w:p>
        </w:tc>
        <w:tc>
          <w:tcPr>
            <w:tcW w:type="dxa" w:w="216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0</w:t>
            </w:r>
          </w:p>
        </w:tc>
      </w:tr>
      <w:tr>
        <w:trPr>
          <w:cantSplit/>
        </w:trPr>
        <w:tc>
          <w:tcPr>
            <w:tcW w:type="dxa" w:w="2592"/>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Kurunegala</w:t>
            </w:r>
          </w:p>
        </w:tc>
        <w:tc>
          <w:tcPr>
            <w:tcW w:type="dxa" w:w="2304"/>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127</w:t>
            </w:r>
          </w:p>
        </w:tc>
        <w:tc>
          <w:tcPr>
            <w:tcW w:type="dxa" w:w="2304"/>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127</w:t>
            </w:r>
          </w:p>
        </w:tc>
        <w:tc>
          <w:tcPr>
            <w:tcW w:type="dxa" w:w="2160"/>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0</w:t>
            </w:r>
          </w:p>
        </w:tc>
      </w:tr>
      <w:tr>
        <w:trPr>
          <w:cantSplit/>
        </w:trPr>
        <w:tc>
          <w:tcPr>
            <w:tcW w:type="dxa" w:w="2592"/>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Matara</w:t>
            </w:r>
          </w:p>
        </w:tc>
        <w:tc>
          <w:tcPr>
            <w:tcW w:type="dxa" w:w="2304"/>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200</w:t>
            </w:r>
          </w:p>
        </w:tc>
        <w:tc>
          <w:tcPr>
            <w:tcW w:type="dxa" w:w="2304"/>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206</w:t>
            </w:r>
          </w:p>
        </w:tc>
        <w:tc>
          <w:tcPr>
            <w:tcW w:type="dxa" w:w="2160"/>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+6</w:t>
            </w:r>
          </w:p>
        </w:tc>
      </w:tr>
    </w:tbl>
    <w:p>
      <w:pPr>
        <w:spacing w:before="80" w:after="200" w:line="360" w:lineRule="auto"/>
        <w:jc w:val="center"/>
      </w:pPr>
      <w:r>
        <w:rPr>
          <w:rFonts w:ascii="Times New Roman" w:hAnsi="Times New Roman"/>
          <w:b w:val="0"/>
          <w:i/>
          <w:color w:val="000000"/>
          <w:sz w:val="20"/>
        </w:rPr>
        <w:t>Table 4: SCD Type 1 Overwrite District Appointment Distribution Impact</w:t>
      </w:r>
    </w:p>
    <w:p>
      <w:pPr>
        <w:spacing w:before="0" w:after="120" w:line="360" w:lineRule="auto"/>
        <w:jc w:val="both"/>
      </w:pPr>
      <w:r>
        <w:rPr>
          <w:rFonts w:ascii="Times New Roman" w:hAnsi="Times New Roman"/>
          <w:b w:val="0"/>
          <w:i w:val="0"/>
          <w:color w:val="000000"/>
          <w:sz w:val="24"/>
        </w:rPr>
        <w:t>Overwriting districts retroactively distorts 2025 history by falsely reallocating 11 past consultations from Jaffna to Matara and Kalutara, and 5 from Galle to Colombo, compromising demographic analysis.</w:t>
      </w:r>
    </w:p>
    <w:p>
      <w:pPr>
        <w:keepNext/>
        <w:spacing w:before="200" w:after="80"/>
      </w:pPr>
      <w:r>
        <w:rPr>
          <w:rFonts w:ascii="Times New Roman" w:hAnsi="Times New Roman"/>
          <w:b/>
          <w:i w:val="0"/>
          <w:color w:val="284678"/>
          <w:sz w:val="24"/>
        </w:rPr>
        <w:t>7.2 Keep-History Approach</w:t>
      </w:r>
    </w:p>
    <w:p>
      <w:pPr>
        <w:spacing w:before="0" w:after="120" w:line="360" w:lineRule="auto"/>
        <w:jc w:val="both"/>
      </w:pPr>
      <w:r>
        <w:rPr>
          <w:rFonts w:ascii="Times New Roman" w:hAnsi="Times New Roman"/>
          <w:b w:val="0"/>
          <w:i w:val="0"/>
          <w:color w:val="000000"/>
          <w:sz w:val="24"/>
        </w:rPr>
        <w:t>In an SCD Type 2 (Keep-History) approach, dim_patient is extended with versioning attributes: is_current (BOOLEAN), valid_from (DATE), and valid_to (DATE). When a patient relocates, their prior record is closed (is_current = FALSE, valid_to = '2026-01-15') and a new dimension row is inserted with a new surrogate key (is_current = TRUE, valid_from = '2026-01-15'). A clinic group chooses this approach because it preserves historical truth, prevents retroactive distortion of past operational reports, and satisfies healthcare audit compliance.</w:t>
      </w:r>
    </w:p>
    <w:p>
      <w:pPr>
        <w:keepNext/>
        <w:spacing w:before="280" w:after="120"/>
      </w:pPr>
      <w:r>
        <w:rPr>
          <w:rFonts w:ascii="Times New Roman" w:hAnsi="Times New Roman"/>
          <w:b/>
          <w:i w:val="0"/>
          <w:color w:val="142D55"/>
          <w:sz w:val="26"/>
        </w:rPr>
        <w:t>REFERENCES</w:t>
      </w:r>
    </w:p>
    <w:p>
      <w:pPr>
        <w:spacing w:before="0" w:after="120" w:line="360" w:lineRule="auto"/>
        <w:ind w:left="720" w:hanging="720"/>
        <w:jc w:val="both"/>
      </w:pPr>
      <w:r>
        <w:rPr>
          <w:rFonts w:ascii="Times New Roman" w:hAnsi="Times New Roman"/>
          <w:b w:val="0"/>
          <w:i w:val="0"/>
          <w:color w:val="000000"/>
          <w:sz w:val="24"/>
        </w:rPr>
        <w:t>Golfarelli, M., &amp; Rizzi, S. (2009). Data warehouse design: Modern principles and methodologies. McGraw-Hill.</w:t>
      </w:r>
    </w:p>
    <w:p>
      <w:pPr>
        <w:spacing w:before="0" w:after="120" w:line="360" w:lineRule="auto"/>
        <w:ind w:left="720" w:hanging="720"/>
        <w:jc w:val="both"/>
      </w:pPr>
      <w:r>
        <w:rPr>
          <w:rFonts w:ascii="Times New Roman" w:hAnsi="Times New Roman"/>
          <w:b w:val="0"/>
          <w:i w:val="0"/>
          <w:color w:val="000000"/>
          <w:sz w:val="24"/>
        </w:rPr>
        <w:t>Inmon, W. H. (2005). Building the data warehouse (4th ed.). John Wiley &amp; Sons.</w:t>
      </w:r>
    </w:p>
    <w:p>
      <w:pPr>
        <w:spacing w:before="0" w:after="120" w:line="360" w:lineRule="auto"/>
        <w:ind w:left="720" w:hanging="720"/>
        <w:jc w:val="both"/>
      </w:pPr>
      <w:r>
        <w:rPr>
          <w:rFonts w:ascii="Times New Roman" w:hAnsi="Times New Roman"/>
          <w:b w:val="0"/>
          <w:i w:val="0"/>
          <w:color w:val="000000"/>
          <w:sz w:val="24"/>
        </w:rPr>
        <w:t>Kimball, R., &amp; Ross, M. (2013). The data warehouse toolkit: The definitive guide to dimensional modeling (3rd ed.). John Wiley &amp; Sons.</w:t>
      </w:r>
    </w:p>
    <w:p>
      <w:pPr>
        <w:spacing w:before="0" w:after="120" w:line="360" w:lineRule="auto"/>
        <w:ind w:left="720" w:hanging="720"/>
        <w:jc w:val="both"/>
      </w:pPr>
      <w:r>
        <w:rPr>
          <w:rFonts w:ascii="Times New Roman" w:hAnsi="Times New Roman"/>
          <w:b w:val="0"/>
          <w:i w:val="0"/>
          <w:color w:val="000000"/>
          <w:sz w:val="24"/>
        </w:rPr>
        <w:t>McKinney, W. (2022). Python for data analysis: Data wrangling with pandas, NumPy, and Jupyter (3rd ed.). O'Reilly Media.</w:t>
      </w:r>
    </w:p>
    <w:p>
      <w:pPr>
        <w:spacing w:before="0" w:after="120" w:line="360" w:lineRule="auto"/>
        <w:ind w:left="720" w:hanging="720"/>
        <w:jc w:val="both"/>
      </w:pPr>
      <w:r>
        <w:rPr>
          <w:rFonts w:ascii="Times New Roman" w:hAnsi="Times New Roman"/>
          <w:b w:val="0"/>
          <w:i w:val="0"/>
          <w:color w:val="000000"/>
          <w:sz w:val="24"/>
        </w:rPr>
        <w:t>PostgreSQL Global Development Group. (2026). PostgreSQL 18.0 documentation: SQL copy command and analytical window functions. PostgreSQL Documentation. https://www.postgresql.org/docs/18/</w:t>
      </w:r>
    </w:p>
    <w:p>
      <w:pPr>
        <w:keepNext/>
        <w:spacing w:before="280" w:after="120"/>
      </w:pPr>
      <w:r>
        <w:rPr>
          <w:rFonts w:ascii="Times New Roman" w:hAnsi="Times New Roman"/>
          <w:b/>
          <w:i w:val="0"/>
          <w:color w:val="142D55"/>
          <w:sz w:val="26"/>
        </w:rPr>
        <w:t>APPENDICES</w:t>
      </w:r>
    </w:p>
    <w:p>
      <w:pPr>
        <w:keepNext/>
        <w:spacing w:before="200" w:after="80"/>
      </w:pPr>
      <w:r>
        <w:rPr>
          <w:rFonts w:ascii="Times New Roman" w:hAnsi="Times New Roman"/>
          <w:b/>
          <w:i w:val="0"/>
          <w:color w:val="284678"/>
          <w:sz w:val="24"/>
        </w:rPr>
        <w:t>Appendix A: GitHub Repository</w:t>
      </w:r>
    </w:p>
    <w:p>
      <w:pPr>
        <w:spacing w:before="0" w:after="120" w:line="360" w:lineRule="auto"/>
        <w:jc w:val="both"/>
      </w:pPr>
      <w:r>
        <w:rPr>
          <w:rFonts w:ascii="Times New Roman" w:hAnsi="Times New Roman"/>
          <w:b w:val="0"/>
          <w:i w:val="0"/>
          <w:color w:val="000000"/>
          <w:sz w:val="24"/>
        </w:rPr>
        <w:t>The source code, Jupyter notebook, SQL scripts, and datasets are maintained in the private repository:</w:t>
      </w:r>
    </w:p>
    <w:p>
      <w:pPr>
        <w:spacing w:before="0" w:after="120" w:line="360" w:lineRule="auto"/>
        <w:jc w:val="both"/>
      </w:pPr>
      <w:r>
        <w:rPr>
          <w:rFonts w:ascii="Times New Roman" w:hAnsi="Times New Roman"/>
          <w:b/>
          <w:i w:val="0"/>
          <w:color w:val="000000"/>
          <w:sz w:val="24"/>
        </w:rPr>
        <w:t xml:space="preserve">Link to the cw-c folder: </w:t>
      </w:r>
      <w:r>
        <w:rPr>
          <w:rFonts w:ascii="Times New Roman" w:hAnsi="Times New Roman"/>
          <w:b/>
          <w:i w:val="0"/>
          <w:color w:val="2563EB"/>
          <w:sz w:val="24"/>
        </w:rPr>
        <w:t>https://github.com/RS-WEERAWICKRAMA/DWBI-CW-252F/tree/main/cw-c</w:t>
      </w:r>
    </w:p>
    <w:p>
      <w:pPr>
        <w:spacing w:before="0" w:after="200" w:line="360" w:lineRule="auto"/>
        <w:jc w:val="both"/>
      </w:pPr>
      <w:r>
        <w:rPr>
          <w:rFonts w:ascii="Times New Roman" w:hAnsi="Times New Roman"/>
          <w:b w:val="0"/>
          <w:i w:val="0"/>
          <w:color w:val="000000"/>
          <w:sz w:val="24"/>
        </w:rPr>
        <w:t>Last commit before submission: 3aa5f82</w:t>
      </w:r>
    </w:p>
    <w:tbl>
      <w:tblPr>
        <w:tblW w:type="auto" w:w="0"/>
        <w:jc w:val="center"/>
        <w:tblLook w:firstColumn="1" w:firstRow="1" w:lastColumn="0" w:lastRow="0" w:noHBand="0" w:noVBand="1" w:val="04A0"/>
      </w:tblPr>
      <w:tblGrid>
        <w:gridCol w:w="4680"/>
        <w:gridCol w:w="4680"/>
      </w:tblGrid>
      <w:tr>
        <w:trPr>
          <w:cantSplit/>
        </w:trPr>
        <w:tc>
          <w:tcPr>
            <w:tcW w:type="dxa" w:w="3168"/>
            <w:vAlign w:val="center"/>
            <w:tcMar>
              <w:top w:w="120" w:type="dxa"/>
              <w:left w:w="160" w:type="dxa"/>
              <w:bottom w:w="120" w:type="dxa"/>
              <w:right w:w="160" w:type="dxa"/>
            </w:tcMar>
            <w:shd w:fill="1E3A8A"/>
          </w:tcPr>
          <w:p>
            <w:pPr>
              <w:spacing w:before="40" w:after="40"/>
              <w:jc w:val="center"/>
            </w:pPr>
            <w:r>
              <w:rPr>
                <w:rFonts w:ascii="Times New Roman" w:hAnsi="Times New Roman"/>
                <w:b/>
                <w:i w:val="0"/>
                <w:color w:val="FFFFFF"/>
                <w:sz w:val="20"/>
              </w:rPr>
              <w:t>File in cw-c</w:t>
            </w:r>
          </w:p>
        </w:tc>
        <w:tc>
          <w:tcPr>
            <w:tcW w:type="dxa" w:w="6192"/>
            <w:vAlign w:val="center"/>
            <w:tcMar>
              <w:top w:w="120" w:type="dxa"/>
              <w:left w:w="160" w:type="dxa"/>
              <w:bottom w:w="120" w:type="dxa"/>
              <w:right w:w="160" w:type="dxa"/>
            </w:tcMar>
            <w:shd w:fill="1E3A8A"/>
          </w:tcPr>
          <w:p>
            <w:pPr>
              <w:spacing w:before="40" w:after="40"/>
              <w:jc w:val="center"/>
            </w:pPr>
            <w:r>
              <w:rPr>
                <w:rFonts w:ascii="Times New Roman" w:hAnsi="Times New Roman"/>
                <w:b/>
                <w:i w:val="0"/>
                <w:color w:val="FFFFFF"/>
                <w:sz w:val="20"/>
              </w:rPr>
              <w:t>What it holds</w:t>
            </w:r>
          </w:p>
        </w:tc>
      </w:tr>
      <w:tr>
        <w:trPr>
          <w:cantSplit/>
        </w:trPr>
        <w:tc>
          <w:tcPr>
            <w:tcW w:type="dxa" w:w="3168"/>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etl_pipeline.ipynb</w:t>
            </w:r>
          </w:p>
        </w:tc>
        <w:tc>
          <w:tcPr>
            <w:tcW w:type="dxa" w:w="6192"/>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Complete documented ETL notebook implementing Tasks 3 and 4 with cell-by-cell Markdown explanations</w:t>
            </w:r>
          </w:p>
        </w:tc>
      </w:tr>
      <w:tr>
        <w:trPr>
          <w:cantSplit/>
        </w:trPr>
        <w:tc>
          <w:tcPr>
            <w:tcW w:type="dxa" w:w="3168"/>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schema_ddl.sql</w:t>
            </w:r>
          </w:p>
        </w:tc>
        <w:tc>
          <w:tcPr>
            <w:tcW w:type="dxa" w:w="6192"/>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PostgreSQL DDL script creating star schema tables, foreign keys, and indexes (Task 2)</w:t>
            </w:r>
          </w:p>
        </w:tc>
      </w:tr>
      <w:tr>
        <w:trPr>
          <w:cantSplit/>
        </w:trPr>
        <w:tc>
          <w:tcPr>
            <w:tcW w:type="dxa" w:w="3168"/>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load_warehouse.sql</w:t>
            </w:r>
          </w:p>
        </w:tc>
        <w:tc>
          <w:tcPr>
            <w:tcW w:type="dxa" w:w="6192"/>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psql \copy script loading the 5 CSV files in dependency order and running verification queries (Task 4)</w:t>
            </w:r>
          </w:p>
        </w:tc>
      </w:tr>
      <w:tr>
        <w:trPr>
          <w:cantSplit/>
        </w:trPr>
        <w:tc>
          <w:tcPr>
            <w:tcW w:type="dxa" w:w="3168"/>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olap_queries.sql</w:t>
            </w:r>
          </w:p>
        </w:tc>
        <w:tc>
          <w:tcPr>
            <w:tcW w:type="dxa" w:w="6192"/>
            <w:vAlign w:val="center"/>
            <w:tcMar>
              <w:top w:w="120" w:type="dxa"/>
              <w:left w:w="160" w:type="dxa"/>
              <w:bottom w:w="120" w:type="dxa"/>
              <w:right w:w="160" w:type="dxa"/>
            </w:tcMar>
          </w:tcPr>
          <w:p>
            <w:pPr>
              <w:spacing w:before="40" w:after="40"/>
            </w:pPr>
            <w:r>
              <w:rPr>
                <w:rFonts w:ascii="Times New Roman" w:hAnsi="Times New Roman"/>
                <w:b w:val="0"/>
                <w:i w:val="0"/>
                <w:color w:val="1E293B"/>
                <w:sz w:val="19"/>
              </w:rPr>
              <w:t>The five analytical OLAP SQL queries (Slice, Dice, Roll Up, Drill Down, Pivot) (Task 5)</w:t>
            </w:r>
          </w:p>
        </w:tc>
      </w:tr>
      <w:tr>
        <w:trPr>
          <w:cantSplit/>
        </w:trPr>
        <w:tc>
          <w:tcPr>
            <w:tcW w:type="dxa" w:w="3168"/>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data/</w:t>
            </w:r>
          </w:p>
        </w:tc>
        <w:tc>
          <w:tcPr>
            <w:tcW w:type="dxa" w:w="6192"/>
            <w:vAlign w:val="center"/>
            <w:tcMar>
              <w:top w:w="120" w:type="dxa"/>
              <w:left w:w="160" w:type="dxa"/>
              <w:bottom w:w="120" w:type="dxa"/>
              <w:right w:w="160" w:type="dxa"/>
            </w:tcMar>
            <w:shd w:fill="F8FAFC"/>
          </w:tcPr>
          <w:p>
            <w:pPr>
              <w:spacing w:before="40" w:after="40"/>
            </w:pPr>
            <w:r>
              <w:rPr>
                <w:rFonts w:ascii="Times New Roman" w:hAnsi="Times New Roman"/>
                <w:b w:val="0"/>
                <w:i w:val="0"/>
                <w:color w:val="1E293B"/>
                <w:sz w:val="19"/>
              </w:rPr>
              <w:t>Directory holding the five raw CSV files matching official SHA-256 fingerprints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