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UPI Fraud Guard Project Progress Report</w:t>
      </w:r>
    </w:p>
    <w:p>
      <w:pPr>
        <w:spacing w:after="40"/>
      </w:pPr>
      <w:r>
        <w:rPr>
          <w:b/>
          <w:color w:val="007F86"/>
          <w:sz w:val="24"/>
        </w:rPr>
        <w:t>AI-Driven Pre-Transaction Fraud Risk Warning System for UPI and Digital Payments</w:t>
      </w:r>
    </w:p>
    <w:p>
      <w:pPr>
        <w:spacing w:after="60"/>
      </w:pPr>
      <w:r>
        <w:t>Semester VII review | Academic Year 2026–27 | 8 October 2026</w:t>
      </w:r>
    </w:p>
    <w:p>
      <w:pPr>
        <w:spacing w:after="180"/>
      </w:pPr>
      <w:r>
        <w:t>Project team: Aman Singh, Nikhil Gotame, Raveena Sharma  |  Project guide: Dr. Rudresh Shirwaikar</w:t>
      </w:r>
    </w:p>
    <w:p>
      <w:pPr>
        <w:pStyle w:val="Heading1"/>
      </w:pPr>
      <w:r>
        <w:t>Executive summary</w:t>
      </w:r>
    </w:p>
    <w:p>
      <w:r>
        <w:t>The project has progressed from the proposed design to an integrated prototype: a FastAPI risk service, three specialised analysis modules, a common risk-fusion layer, a web dashboard, and an Android client. It can check messages, links and decoded QR payloads, plus manually supplied transaction details, and return a Safe, Suspicious or High Risk result with reasons. The backend also produces model-attribution data and stores a short-lived local history.</w:t>
      </w:r>
    </w:p>
    <w:p>
      <w:r>
        <w:t>The main project gap—bringing several payment-fraud signals into one pre-payment warning flow—has been addressed at prototype level. The work is not yet a production-ready payment safeguard: the app does not intercept or stop a payment, transaction context is manually entered rather than obtained from a bank, regional-language evidence is uneven, model results need representative validation, and a secure deployment plus a verified Android device demonstration remain outstanding.</w:t>
      </w:r>
    </w:p>
    <w:p>
      <w:pPr>
        <w:pStyle w:val="Heading1"/>
      </w:pPr>
      <w:r>
        <w:t>Project objective and scope</w:t>
      </w:r>
    </w:p>
    <w:p>
      <w:r>
        <w:t>The attached draft report proposes a unified, explainable system that evaluates payment-related messages, URLs, QR codes and transaction context before a user proceeds. This progress report maps those stated objectives to the current repository evidence and identifies the remaining work. Statements below describe implemented code or saved evaluation artifacts; they do not imply that an end-to-end live payment integration or field trial has taken place.</w:t>
      </w:r>
    </w:p>
    <w:p>
      <w:pPr>
        <w:pStyle w:val="Heading1"/>
      </w:pPr>
      <w:r>
        <w:t>Objective-by-objective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Draft objective</w:t>
            </w:r>
          </w:p>
        </w:tc>
        <w:tc>
          <w:tcPr>
            <w:tcW w:type="dxa" w:w="1728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688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Repository evidence and qualification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1. Multimodal checks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Addressed in prototype</w:t>
            </w:r>
          </w:p>
        </w:tc>
        <w:tc>
          <w:tcPr>
            <w:tcW w:type="dxa" w:w="56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API accepts message, URL/QR and transaction inputs; specialised modules feed one fusion layer. The Android app offers manual message/link and QR flows.</w:t>
            </w:r>
          </w:p>
        </w:tc>
      </w:tr>
      <w:tr>
        <w:tc>
          <w:tcPr>
            <w:tcW w:type="dxa" w:w="295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2. NLP for phishing and social engineering</w:t>
            </w:r>
          </w:p>
        </w:tc>
        <w:tc>
          <w:tcPr>
            <w:tcW w:type="dxa" w:w="1728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Partly addressed</w:t>
            </w:r>
          </w:p>
        </w:tc>
        <w:tc>
          <w:tcPr>
            <w:tcW w:type="dxa" w:w="5688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Word-and-character TF-IDF + Logistic Regression, curated UPI examples, multilingual phrase rules and notification screening are present. Broader scam-category and regional-language coverage needs validation.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3. URL and QR analysis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Addressed in prototype</w:t>
            </w:r>
          </w:p>
        </w:tc>
        <w:tc>
          <w:tcPr>
            <w:tcW w:type="dxa" w:w="56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URL Random Forest and structural rules; QR camera/image decoding; UPI QR payload checks. Payee confirmation and deep-link safety checks are still limited.</w:t>
            </w:r>
          </w:p>
        </w:tc>
      </w:tr>
      <w:tr>
        <w:tc>
          <w:tcPr>
            <w:tcW w:type="dxa" w:w="295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4. Transaction behaviour analysis</w:t>
            </w:r>
          </w:p>
        </w:tc>
        <w:tc>
          <w:tcPr>
            <w:tcW w:type="dxa" w:w="1728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Partly addressed</w:t>
            </w:r>
          </w:p>
        </w:tc>
        <w:tc>
          <w:tcPr>
            <w:tcW w:type="dxa" w:w="5688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Random Forest uses amount, time, new-recipient flag and recent payment count, but these are entered in the demo. It is not connected to real account history or recipient graphs.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5. Unified score and verdict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Addressed in prototype</w:t>
            </w:r>
          </w:p>
        </w:tc>
        <w:tc>
          <w:tcPr>
            <w:tcW w:type="dxa" w:w="56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Risk fusion combines available module scores and maps results to Safe, Suspicious or High Risk.</w:t>
            </w:r>
          </w:p>
        </w:tc>
      </w:tr>
      <w:tr>
        <w:tc>
          <w:tcPr>
            <w:tcW w:type="dxa" w:w="295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6. Explainable warnings</w:t>
            </w:r>
          </w:p>
        </w:tc>
        <w:tc>
          <w:tcPr>
            <w:tcW w:type="dxa" w:w="1728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Partly addressed</w:t>
            </w:r>
          </w:p>
        </w:tc>
        <w:tc>
          <w:tcPr>
            <w:tcW w:type="dxa" w:w="5688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The app shows a verdict, risk score and plain-language reasons. Backend feature attribution is produced, but Android does not yet display that attribution.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7. Imbalance and evolving fraud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Partly addressed</w:t>
            </w:r>
          </w:p>
        </w:tc>
        <w:tc>
          <w:tcPr>
            <w:tcW w:type="dxa" w:w="56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Class weighting / language-balanced message training and a balanced transaction classifier address imbalance in training. No automated concept-drift monitoring, update pipeline or rollback process is implemented.</w:t>
            </w:r>
          </w:p>
        </w:tc>
      </w:tr>
      <w:tr>
        <w:tc>
          <w:tcPr>
            <w:tcW w:type="dxa" w:w="295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8. Evaluation with fraud metrics and time</w:t>
            </w:r>
          </w:p>
        </w:tc>
        <w:tc>
          <w:tcPr>
            <w:tcW w:type="dxa" w:w="1728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Partly addressed</w:t>
            </w:r>
          </w:p>
        </w:tc>
        <w:tc>
          <w:tcPr>
            <w:tcW w:type="dxa" w:w="5688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Precision, recall, F1 and ROC-AUC artifacts exist for selected module datasets. PR-AUC, end-to-end fusion evaluation, detection latency and robust field evaluation are not yet evidenced.</w:t>
            </w:r>
          </w:p>
        </w:tc>
      </w:tr>
    </w:tbl>
    <w:p>
      <w:pPr>
        <w:spacing w:after="0"/>
      </w:pPr>
    </w:p>
    <w:p>
      <w:pPr>
        <w:pStyle w:val="Heading1"/>
      </w:pPr>
      <w:r>
        <w:t>Research gaps and how the prototype addresses them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Gap from draft report</w:t>
            </w:r>
          </w:p>
        </w:tc>
        <w:tc>
          <w:tcPr>
            <w:tcW w:type="dxa" w:w="7416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response and remaining gap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Separate fraud detectors</w:t>
            </w:r>
          </w:p>
        </w:tc>
        <w:tc>
          <w:tcPr>
            <w:tcW w:type="dxa" w:w="74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Connected message, URL/QR and transaction modules with shared risk fusion and one user-facing verdict.</w:t>
            </w:r>
          </w:p>
        </w:tc>
      </w:tr>
      <w:tr>
        <w:tc>
          <w:tcPr>
            <w:tcW w:type="dxa" w:w="295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Warnings arrive after a payment</w:t>
            </w:r>
          </w:p>
        </w:tc>
        <w:tc>
          <w:tcPr>
            <w:tcW w:type="dxa" w:w="7416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Manual checks are available before payment; opt-in notification checks add an earlier warning path. Neither path is embedded in or blocks a UPI payment.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Social-engineering context is missed</w:t>
            </w:r>
          </w:p>
        </w:tc>
        <w:tc>
          <w:tcPr>
            <w:tcW w:type="dxa" w:w="74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Message classification and multilingual phrase rules score urgency, impersonation and credential/payment lures; notification candidates are selected using lightweight cues.</w:t>
            </w:r>
          </w:p>
        </w:tc>
      </w:tr>
      <w:tr>
        <w:tc>
          <w:tcPr>
            <w:tcW w:type="dxa" w:w="295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Changing scam patterns</w:t>
            </w:r>
          </w:p>
        </w:tc>
        <w:tc>
          <w:tcPr>
            <w:tcW w:type="dxa" w:w="7416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Curated additions, external holdout evaluation and a regression smoke set improve coverage checks. Continuous drift detection and scheduled retraining remain open.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Imbalanced labels / false alarms</w:t>
            </w:r>
          </w:p>
        </w:tc>
        <w:tc>
          <w:tcPr>
            <w:tcW w:type="dxa" w:w="74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Message training gives English, Hindi, Marathi/Marathlish and Hinglish equal loss share while preserving observed label proportions; transaction model uses balanced class weighting. Threshold tuning on representative data remains needed.</w:t>
            </w:r>
          </w:p>
        </w:tc>
      </w:tr>
      <w:tr>
        <w:tc>
          <w:tcPr>
            <w:tcW w:type="dxa" w:w="295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Warnings are difficult to understand</w:t>
            </w:r>
          </w:p>
        </w:tc>
        <w:tc>
          <w:tcPr>
            <w:tcW w:type="dxa" w:w="7416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Verdict, score and text reasons are shown; backend per-prediction attribution is available for later display. Explanations should be validated for clarity and correctness.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Sensitive data and deployment risks</w:t>
            </w:r>
          </w:p>
        </w:tc>
        <w:tc>
          <w:tcPr>
            <w:tcW w:type="dxa" w:w="74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Notification checks require user-granted access; QR images are decoded locally; SQLite retention is 30 days; API rejects oversized QR images and limits input lengths. HTTPS, authentication, access controls and a formal consent/privacy review remain outstanding.</w:t>
            </w:r>
          </w:p>
        </w:tc>
      </w:tr>
    </w:tbl>
    <w:p>
      <w:pPr>
        <w:spacing w:after="0"/>
      </w:pPr>
    </w:p>
    <w:p>
      <w:pPr>
        <w:pStyle w:val="Heading1"/>
      </w:pPr>
      <w:r>
        <w:t>Work completed so far</w:t>
      </w:r>
    </w:p>
    <w:p>
      <w:pPr>
        <w:pStyle w:val="ListBullet"/>
        <w:spacing w:after="40"/>
      </w:pPr>
      <w:r>
        <w:t>Backend integration: FastAPI exposes check, QR scan, status, history, analytics and model-metric endpoints; empty checks are rejected and inputs are bounded.</w:t>
      </w:r>
    </w:p>
    <w:p>
      <w:pPr>
        <w:pStyle w:val="ListBullet"/>
        <w:spacing w:after="40"/>
      </w:pPr>
      <w:r>
        <w:t>Message module: one shared word/character classifier with curated examples and multilingual phrase rules. Saved original-SMS test metrics: precision 0.970, recall 0.879, F1 0.923 and ROC-AUC 0.993 (1,115 examples).</w:t>
      </w:r>
    </w:p>
    <w:p>
      <w:pPr>
        <w:pStyle w:val="ListBullet"/>
        <w:spacing w:after="40"/>
      </w:pPr>
      <w:r>
        <w:t>URL and QR module: URL Random Forest plus structure-based reasons; camera and uploaded QR paths decode payloads and assess the decoded content. Saved URL test metrics: precision 0.984, recall 0.880, F1 0.929 and ROC-AUC 0.959 (1,737 examples).</w:t>
      </w:r>
    </w:p>
    <w:p>
      <w:pPr>
        <w:pStyle w:val="ListBullet"/>
        <w:spacing w:after="40"/>
      </w:pPr>
      <w:r>
        <w:t>Transaction module: model plus interpretable reason rules. Saved held-out metrics: precision 0.186, recall 0.618, F1 0.286 and ROC-AUC 0.841 (53,643 examples); precision is a material weakness requiring threshold and data review.</w:t>
      </w:r>
    </w:p>
    <w:p>
      <w:pPr>
        <w:pStyle w:val="ListBullet"/>
        <w:spacing w:after="40"/>
      </w:pPr>
      <w:r>
        <w:t>Multilingual work: training includes 63,958 English/Hindi/Hinglish examples and 190 Marathi/Marathlish examples. External holdout at threshold 0.30 reports English recall 97.6% and safe false-alert rate 5.0%; Hindi risky support is only 11 and Hinglish safe support only 12. These small supports make those language estimates unstable. Marathi additions are largely synthetic and not native-speaker reviewed.</w:t>
      </w:r>
    </w:p>
    <w:p>
      <w:pPr>
        <w:pStyle w:val="ListBullet"/>
        <w:spacing w:after="40"/>
      </w:pPr>
      <w:r>
        <w:t>Android client: profile gate, configurable backend connection, manual checks, QR camera/image scan, verdict/result, history and opt-in notification checks are implemented in source.</w:t>
      </w:r>
    </w:p>
    <w:p>
      <w:pPr>
        <w:pStyle w:val="ListBullet"/>
        <w:spacing w:after="40"/>
      </w:pPr>
      <w:r>
        <w:t>Prototype safeguards: local history retention is set to 30 days in the current API; QR uploads are limited to 5 MB; alerts are advisory and do not approve or block transfers.</w:t>
      </w:r>
    </w:p>
    <w:p>
      <w:pPr>
        <w:pStyle w:val="Heading1"/>
      </w:pPr>
      <w:r>
        <w:t>What remains and recommended completion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7992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 left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1. Prove the end-to-end demo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Build and run the Android app with JDK 17 on emulator and a physical phone; connect to the running API; record safe/risky message, URL, QR and transaction scenarios, expected/actual verdicts, screenshots and failures.</w:t>
            </w:r>
          </w:p>
        </w:tc>
      </w:tr>
      <w:tr>
        <w:tc>
          <w:tcPr>
            <w:tcW w:type="dxa" w:w="2376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2. Improve evaluation quality</w:t>
            </w:r>
          </w:p>
        </w:tc>
        <w:tc>
          <w:tcPr>
            <w:tcW w:type="dxa" w:w="799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Use independent, consented and anonymised examples. Report confusion matrices, precision, recall, F1, false-positive rate, PR-AUC and latency for each module and for fused end-to-end checks. Keep language and scam-type sample counts beside each metric.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3. Fix transaction-model weakness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Review low precision (0.186), class distribution, feature realism and threshold selection; test on data closer to UPI transfers. Do not describe the current model as validated for real users.</w:t>
            </w:r>
          </w:p>
        </w:tc>
      </w:tr>
      <w:tr>
        <w:tc>
          <w:tcPr>
            <w:tcW w:type="dxa" w:w="2376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4. Strengthen language coverage</w:t>
            </w:r>
          </w:p>
        </w:tc>
        <w:tc>
          <w:tcPr>
            <w:tcW w:type="dxa" w:w="799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Collect native-speaker-labelled Hindi, Hinglish, Marathi and other target-language examples with consent; create separate held-out sets and measure per-language false alarms and misses. Keep synthetic data clearly separated.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5. Finish explanation and user controls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Display backend feature attribution on Android; add pause/allowlist controls and a clear-history action; make notification storage and retention visible to the user.</w:t>
            </w:r>
          </w:p>
        </w:tc>
      </w:tr>
      <w:tr>
        <w:tc>
          <w:tcPr>
            <w:tcW w:type="dxa" w:w="2376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6. Improve QR payment safety</w:t>
            </w:r>
          </w:p>
        </w:tc>
        <w:tc>
          <w:tcPr>
            <w:tcW w:type="dxa" w:w="799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Parse UPI intent fields and show payee ID/name/amount with a verification prompt before leaving the app. Never initiate a payment.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7. Prepare deployment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For any non-demo deployment, add HTTPS, authenticated API access, throttling, protected storage, access controls, monitoring and a privacy/consent review. Add drift monitoring, model versioning and rollback before claiming adaptive operation.</w:t>
            </w:r>
          </w:p>
        </w:tc>
      </w:tr>
      <w:tr>
        <w:tc>
          <w:tcPr>
            <w:tcW w:type="dxa" w:w="2376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8. Reconcile project documents</w:t>
            </w:r>
          </w:p>
        </w:tc>
        <w:tc>
          <w:tcPr>
            <w:tcW w:type="dxa" w:w="7992"/>
            <w:vAlign w:val="center"/>
            <w:shd w:fill="F0F5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5"/>
              </w:rPr>
              <w:t>Use one consistent description of retention and current features across the draft/report/README. Current API code sets 30 days; an older roadmap note says 90 days.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notes and conclusion</w:t>
      </w:r>
    </w:p>
    <w:p>
      <w:r>
        <w:t>Metric values above are copied from the project’s saved JSON evaluation files and are dataset results, not field-performance guarantees. In particular, the 48-example multilingual smoke set is a regression check rather than an independent benchmark. The IEEE-CIS cross-domain transaction check also documents domain mismatch; it should not be presented as proof of UPI-transfer performance. The attached draft describes intended outcomes and objectives, while repository code and artifacts establish only the implementation status stated here.</w:t>
      </w:r>
    </w:p>
    <w:p>
      <w:r>
        <w:t>The project has a credible integrated prototype that demonstrates the proposed multimodal warning concept. To complete the academic claim, the team should next capture a reproducible Android-to-backend demonstration, strengthen transaction and multilingual evaluation, and document the known limits. Real-user deployment requires the security, privacy and operational controls listed above.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UPI Fraud Guard | Semester VII Progress Report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4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F8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Fraud Guard Project Progress Report</dc:title>
  <dc:subject>Objectives, research gaps, completed implementation and remaining work</dc:subject>
  <dc:creator>UPI Fraud Guard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