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Plan</w:t>
      </w:r>
    </w:p>
    <w:p>
      <w:pPr>
        <w:pStyle w:val="Heading1"/>
      </w:pPr>
      <w:r>
        <w:t>Executive Summary</w:t>
      </w:r>
    </w:p>
    <w:p>
      <w:r>
        <w:t>Our company is projected to achieve $2.5 million in revenue in the first year, with a 25% profit margin.</w:t>
      </w:r>
    </w:p>
    <w:p>
      <w:r>
        <w:t>We plan to capture 5% of the local market within 18 months.</w:t>
      </w:r>
    </w:p>
    <w:p>
      <w:pPr>
        <w:pStyle w:val="Heading1"/>
      </w:pPr>
      <w:r>
        <w:t>Market Analysis</w:t>
      </w:r>
    </w:p>
    <w:p>
      <w:r>
        <w:t>The target market shows strong growth potential with a 15% annual growth rate.</w:t>
      </w:r>
    </w:p>
    <w:p>
      <w:r>
        <w:t>Our competitive advantage lies in our proprietary technology and experienced team.</w:t>
      </w:r>
    </w:p>
    <w:p>
      <w:pPr>
        <w:pStyle w:val="Heading1"/>
      </w:pPr>
      <w:r>
        <w:t>Financial Projections</w:t>
      </w:r>
    </w:p>
    <w:p>
      <w:r>
        <w:t>Year 1 Revenue: $2.5 million</w:t>
      </w:r>
    </w:p>
    <w:p>
      <w:r>
        <w:t>Year 2 Revenue: $5.0 million</w:t>
      </w:r>
    </w:p>
    <w:p>
      <w:r>
        <w:t>Year 3 Revenue: $10.0 million</w:t>
      </w:r>
    </w:p>
    <w:p>
      <w:pPr>
        <w:pStyle w:val="Heading1"/>
      </w:pPr>
      <w:r>
        <w:t>Growth Strategy</w:t>
      </w:r>
    </w:p>
    <w:p>
      <w:r>
        <w:t>Our growth strategy focuses on expanding to three new markets within the first two years.</w:t>
      </w:r>
    </w:p>
    <w:p>
      <w:r>
        <w:t>We will invest 20% of revenue in research and development to maintain our technology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