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CFB5" w14:textId="77777777" w:rsidR="008A62D9" w:rsidRDefault="0035371A">
      <w:pPr>
        <w:pStyle w:val="Heading1"/>
      </w:pPr>
      <w:bookmarkStart w:id="0" w:name="TOC"/>
      <w:r>
        <w:t>Contents</w:t>
      </w:r>
      <w:bookmarkEnd w:id="0"/>
    </w:p>
    <w:p w14:paraId="746654C0" w14:textId="77777777" w:rsidR="008A62D9" w:rsidRDefault="0035371A">
      <w:hyperlink w:anchor="sec001">
        <w:r>
          <w:rPr>
            <w:rStyle w:val="Hyperlink"/>
          </w:rPr>
          <w:t>1. Installation — What's Different</w:t>
        </w:r>
      </w:hyperlink>
    </w:p>
    <w:p w14:paraId="14CE4FA6" w14:textId="77777777" w:rsidR="008A62D9" w:rsidRDefault="0035371A">
      <w:r>
        <w:t xml:space="preserve">  </w:t>
      </w:r>
      <w:hyperlink w:anchor="sec002">
        <w:r>
          <w:rPr>
            <w:rStyle w:val="Hyperlink"/>
          </w:rPr>
          <w:t>a. Version tag &amp; build identification</w:t>
        </w:r>
      </w:hyperlink>
    </w:p>
    <w:p w14:paraId="49D25D8F" w14:textId="77777777" w:rsidR="008A62D9" w:rsidRDefault="0035371A">
      <w:r>
        <w:t xml:space="preserve">  </w:t>
      </w:r>
      <w:hyperlink w:anchor="sec003">
        <w:r>
          <w:rPr>
            <w:rStyle w:val="Hyperlink"/>
          </w:rPr>
          <w:t>b. Per-device backup/export folder naming</w:t>
        </w:r>
      </w:hyperlink>
    </w:p>
    <w:p w14:paraId="265C1104" w14:textId="77777777" w:rsidR="008A62D9" w:rsidRDefault="0035371A">
      <w:hyperlink w:anchor="sec004">
        <w:r>
          <w:rPr>
            <w:rStyle w:val="Hyperlink"/>
          </w:rPr>
          <w:t>2. Requirements for “Automation States”</w:t>
        </w:r>
      </w:hyperlink>
    </w:p>
    <w:p w14:paraId="350586AB" w14:textId="77777777" w:rsidR="008A62D9" w:rsidRDefault="0035371A">
      <w:r>
        <w:t xml:space="preserve">  </w:t>
      </w:r>
      <w:hyperlink w:anchor="sec005">
        <w:r>
          <w:rPr>
            <w:rStyle w:val="Hyperlink"/>
          </w:rPr>
          <w:t>a. It has a master on/off switch, and things silently do nothing when it's off</w:t>
        </w:r>
      </w:hyperlink>
    </w:p>
    <w:p w14:paraId="300C1B26" w14:textId="77777777" w:rsidR="008A62D9" w:rsidRDefault="0035371A">
      <w:r>
        <w:t xml:space="preserve">  </w:t>
      </w:r>
      <w:hyperlink w:anchor="sec006">
        <w:r>
          <w:rPr>
            <w:rStyle w:val="Hyperlink"/>
          </w:rPr>
          <w:t>b. State values must be pre-declared before code can set them</w:t>
        </w:r>
      </w:hyperlink>
    </w:p>
    <w:p w14:paraId="5B7A5027" w14:textId="77777777" w:rsidR="008A62D9" w:rsidRDefault="0035371A">
      <w:r>
        <w:t xml:space="preserve">  </w:t>
      </w:r>
      <w:hyperlink w:anchor="sec007">
        <w:r>
          <w:rPr>
            <w:rStyle w:val="Hyperlink"/>
          </w:rPr>
          <w:t>c. Fixed 2026-08-19: this is now self-healing for the coded automations' own states</w:t>
        </w:r>
      </w:hyperlink>
    </w:p>
    <w:p w14:paraId="7E61CFB7" w14:textId="77777777" w:rsidR="008A62D9" w:rsidRDefault="0035371A">
      <w:r>
        <w:t xml:space="preserve">  </w:t>
      </w:r>
      <w:hyperlink w:anchor="sec008">
        <w:r>
          <w:rPr>
            <w:rStyle w:val="Hyperlink"/>
          </w:rPr>
          <w:t>d. A second, related gap: declaring the value list still isn't the same as the state having a value</w:t>
        </w:r>
      </w:hyperlink>
    </w:p>
    <w:p w14:paraId="096AA0BC" w14:textId="77777777" w:rsidR="008A62D9" w:rsidRDefault="0035371A">
      <w:hyperlink w:anchor="sec009">
        <w:r>
          <w:rPr>
            <w:rStyle w:val="Hyperlink"/>
          </w:rPr>
          <w:t>3. Settings Import Features — Especially With States</w:t>
        </w:r>
      </w:hyperlink>
    </w:p>
    <w:p w14:paraId="5AA50C82" w14:textId="77777777" w:rsidR="008A62D9" w:rsidRDefault="0035371A">
      <w:r>
        <w:t xml:space="preserve">  </w:t>
      </w:r>
      <w:hyperlink w:anchor="sec010">
        <w:r>
          <w:rPr>
            <w:rStyle w:val="Hyperlink"/>
          </w:rPr>
          <w:t>a. Automation States are force-disabled after every import — by design, not a bug</w:t>
        </w:r>
      </w:hyperlink>
    </w:p>
    <w:p w14:paraId="08DDCA9F" w14:textId="77777777" w:rsidR="008A62D9" w:rsidRDefault="0035371A">
      <w:r>
        <w:t xml:space="preserve">  </w:t>
      </w:r>
      <w:hyperlink w:anchor="sec011">
        <w:r>
          <w:rPr>
            <w:rStyle w:val="Hyperlink"/>
          </w:rPr>
          <w:t>b. Import restores states wholesale — where “states I never made myself” can come from</w:t>
        </w:r>
      </w:hyperlink>
    </w:p>
    <w:p w14:paraId="3FB2DEBF" w14:textId="77777777" w:rsidR="008A62D9" w:rsidRDefault="0035371A">
      <w:r>
        <w:t xml:space="preserve">  </w:t>
      </w:r>
      <w:hyperlink w:anchor="sec012">
        <w:r>
          <w:rPr>
            <w:rStyle w:val="Hyperlink"/>
          </w:rPr>
          <w:t>c. Four “Keep current…” checkboxes not present in stock AAPS</w:t>
        </w:r>
      </w:hyperlink>
    </w:p>
    <w:p w14:paraId="4C182CF0" w14:textId="77777777" w:rsidR="008A62D9" w:rsidRDefault="0035371A">
      <w:hyperlink w:anchor="sec013">
        <w:r>
          <w:rPr>
            <w:rStyle w:val="Hyperlink"/>
          </w:rPr>
          <w:t>4. Settings That Materially Affect Day-to-Day Function</w:t>
        </w:r>
      </w:hyperlink>
    </w:p>
    <w:p w14:paraId="5680CE13" w14:textId="77777777" w:rsidR="008A62D9" w:rsidRDefault="0035371A">
      <w:r>
        <w:t xml:space="preserve">  </w:t>
      </w:r>
      <w:hyperlink w:anchor="sec014">
        <w:r>
          <w:rPr>
            <w:rStyle w:val="Hyperlink"/>
          </w:rPr>
          <w:t>a. The SMB delivery brake</w:t>
        </w:r>
      </w:hyperlink>
    </w:p>
    <w:p w14:paraId="266E9568" w14:textId="77777777" w:rsidR="008A62D9" w:rsidRDefault="0035371A">
      <w:r>
        <w:t xml:space="preserve">  </w:t>
      </w:r>
      <w:hyperlink w:anchor="sec015">
        <w:r>
          <w:rPr>
            <w:rStyle w:val="Hyperlink"/>
          </w:rPr>
          <w:t>b. The weight system's Resting/Boosted pairs</w:t>
        </w:r>
      </w:hyperlink>
    </w:p>
    <w:p w14:paraId="7B667CD6" w14:textId="77777777" w:rsidR="008A62D9" w:rsidRDefault="0035371A">
      <w:r>
        <w:t xml:space="preserve">  </w:t>
      </w:r>
      <w:hyperlink w:anchor="sec016">
        <w:r>
          <w:rPr>
            <w:rStyle w:val="Hyperlink"/>
          </w:rPr>
          <w:t>c. TDD factor / sensitivity toggles</w:t>
        </w:r>
      </w:hyperlink>
    </w:p>
    <w:p w14:paraId="25D01794" w14:textId="77777777" w:rsidR="008A62D9" w:rsidRDefault="0035371A">
      <w:r>
        <w:t xml:space="preserve">  </w:t>
      </w:r>
      <w:hyperlink w:anchor="sec017">
        <w:r>
          <w:rPr>
            <w:rStyle w:val="Hyperlink"/>
          </w:rPr>
          <w:t>d. The overnight safety-guard architecture</w:t>
        </w:r>
      </w:hyperlink>
    </w:p>
    <w:p w14:paraId="3B2549BB" w14:textId="77777777" w:rsidR="008A62D9" w:rsidRDefault="0035371A">
      <w:hyperlink w:anchor="sec018">
        <w:r>
          <w:rPr>
            <w:rStyle w:val="Hyperlink"/>
          </w:rPr>
          <w:t>5. Setting: If Steroids Are Needed</w:t>
        </w:r>
      </w:hyperlink>
    </w:p>
    <w:p w14:paraId="208A50EB" w14:textId="77777777" w:rsidR="008A62D9" w:rsidRDefault="0035371A">
      <w:r>
        <w:t xml:space="preserve">  </w:t>
      </w:r>
      <w:hyperlink w:anchor="sec019">
        <w:r>
          <w:rPr>
            <w:rStyle w:val="Hyperlink"/>
          </w:rPr>
          <w:t>a. Turning it on</w:t>
        </w:r>
      </w:hyperlink>
    </w:p>
    <w:p w14:paraId="754F13DF" w14:textId="77777777" w:rsidR="008A62D9" w:rsidRDefault="0035371A">
      <w:r>
        <w:t xml:space="preserve">  </w:t>
      </w:r>
      <w:hyperlink w:anchor="sec020">
        <w:r>
          <w:rPr>
            <w:rStyle w:val="Hyperlink"/>
          </w:rPr>
          <w:t>b. The escalation ladder</w:t>
        </w:r>
      </w:hyperlink>
    </w:p>
    <w:p w14:paraId="75BA3D4E" w14:textId="77777777" w:rsidR="008A62D9" w:rsidRDefault="0035371A">
      <w:hyperlink w:anchor="sec021">
        <w:r>
          <w:rPr>
            <w:rStyle w:val="Hyperlink"/>
          </w:rPr>
          <w:t>6. Setting: If a Mounjaro / GLP-1 Effect Is Needed (or Needs Reversing)</w:t>
        </w:r>
      </w:hyperlink>
    </w:p>
    <w:p w14:paraId="04CEDDBD" w14:textId="77777777" w:rsidR="008A62D9" w:rsidRDefault="0035371A">
      <w:r>
        <w:t xml:space="preserve">  </w:t>
      </w:r>
      <w:hyperlink w:anchor="sec022">
        <w:r>
          <w:rPr>
            <w:rStyle w:val="Hyperlink"/>
          </w:rPr>
          <w:t>a. What exists today that could be used manually</w:t>
        </w:r>
      </w:hyperlink>
    </w:p>
    <w:p w14:paraId="0F1D4DA4" w14:textId="77777777" w:rsidR="008A62D9" w:rsidRDefault="0035371A">
      <w:hyperlink w:anchor="sec023">
        <w:r>
          <w:rPr>
            <w:rStyle w:val="Hyperlink"/>
          </w:rPr>
          <w:t>7. Mechanism For Ignoring Or Invoking Native Automations</w:t>
        </w:r>
      </w:hyperlink>
    </w:p>
    <w:p w14:paraId="723845F8" w14:textId="77777777" w:rsidR="008A62D9" w:rsidRDefault="0035371A">
      <w:r>
        <w:t xml:space="preserve">  </w:t>
      </w:r>
      <w:hyperlink w:anchor="sec024">
        <w:r>
          <w:rPr>
            <w:rStyle w:val="Hyperlink"/>
          </w:rPr>
          <w:t>a. The reconciliation mechanism</w:t>
        </w:r>
      </w:hyperlink>
    </w:p>
    <w:p w14:paraId="73E1408A" w14:textId="77777777" w:rsidR="008A62D9" w:rsidRDefault="0035371A">
      <w:r>
        <w:t xml:space="preserve">  </w:t>
      </w:r>
      <w:hyperlink w:anchor="sec025">
        <w:r>
          <w:rPr>
            <w:rStyle w:val="Hyperlink"/>
          </w:rPr>
          <w:t xml:space="preserve">b. The suppression only applies while </w:t>
        </w:r>
        <w:proofErr w:type="spellStart"/>
        <w:r>
          <w:rPr>
            <w:rStyle w:val="Hyperlink"/>
          </w:rPr>
          <w:t>AutoISF</w:t>
        </w:r>
        <w:proofErr w:type="spellEnd"/>
        <w:r>
          <w:rPr>
            <w:rStyle w:val="Hyperlink"/>
          </w:rPr>
          <w:t xml:space="preserve"> is actually the active algorithm</w:t>
        </w:r>
      </w:hyperlink>
    </w:p>
    <w:p w14:paraId="2375DB4E" w14:textId="77777777" w:rsidR="008A62D9" w:rsidRDefault="0035371A">
      <w:hyperlink w:anchor="sec026">
        <w:r>
          <w:rPr>
            <w:rStyle w:val="Hyperlink"/>
          </w:rPr>
          <w:t>8. Other Idiosyncrasies Worth Knowing</w:t>
        </w:r>
      </w:hyperlink>
    </w:p>
    <w:p w14:paraId="7B6B0BD6" w14:textId="77777777" w:rsidR="008A62D9" w:rsidRDefault="0035371A">
      <w:r>
        <w:t xml:space="preserve">  </w:t>
      </w:r>
      <w:hyperlink w:anchor="sec027">
        <w:r>
          <w:rPr>
            <w:rStyle w:val="Hyperlink"/>
          </w:rPr>
          <w:t>a. CarePortal note codes as a compact diagnostic language</w:t>
        </w:r>
      </w:hyperlink>
    </w:p>
    <w:p w14:paraId="54B1FC0A" w14:textId="77777777" w:rsidR="008A62D9" w:rsidRDefault="0035371A">
      <w:r>
        <w:t xml:space="preserve">  </w:t>
      </w:r>
      <w:hyperlink w:anchor="sec028">
        <w:r>
          <w:rPr>
            <w:rStyle w:val="Hyperlink"/>
          </w:rPr>
          <w:t>b. MJ as the fork's other major state machine</w:t>
        </w:r>
      </w:hyperlink>
    </w:p>
    <w:p w14:paraId="4B1EE9AB" w14:textId="77777777" w:rsidR="008A62D9" w:rsidRDefault="0035371A">
      <w:r>
        <w:t xml:space="preserve">  </w:t>
      </w:r>
      <w:hyperlink w:anchor="sec029">
        <w:r>
          <w:rPr>
            <w:rStyle w:val="Hyperlink"/>
          </w:rPr>
          <w:t>c. The AIV/</w:t>
        </w:r>
        <w:proofErr w:type="spellStart"/>
        <w:r>
          <w:rPr>
            <w:rStyle w:val="Hyperlink"/>
          </w:rPr>
          <w:t>UKFcheck</w:t>
        </w:r>
        <w:proofErr w:type="spellEnd"/>
        <w:r>
          <w:rPr>
            <w:rStyle w:val="Hyperlink"/>
          </w:rPr>
          <w:t xml:space="preserve"> export pipeline has more moving parts than it looks</w:t>
        </w:r>
      </w:hyperlink>
    </w:p>
    <w:p w14:paraId="7BF71D62" w14:textId="77777777" w:rsidR="008A62D9" w:rsidRDefault="0035371A">
      <w:r>
        <w:t xml:space="preserve">  </w:t>
      </w:r>
      <w:hyperlink w:anchor="sec030">
        <w:r>
          <w:rPr>
            <w:rStyle w:val="Hyperlink"/>
          </w:rPr>
          <w:t>d. A concrete regression pattern worth remembering</w:t>
        </w:r>
      </w:hyperlink>
    </w:p>
    <w:p w14:paraId="522F37C1" w14:textId="77777777" w:rsidR="008A62D9" w:rsidRDefault="008A62D9"/>
    <w:p w14:paraId="787ACA64" w14:textId="77777777" w:rsidR="008A62D9" w:rsidRDefault="0035371A">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19B35205" w14:textId="77777777" w:rsidR="008A62D9" w:rsidRDefault="008A62D9"/>
    <w:p w14:paraId="0F5E4EAE" w14:textId="77777777" w:rsidR="00F16DB1" w:rsidRDefault="001E64C6">
      <w:pPr>
        <w:pStyle w:val="Title"/>
        <w:spacing w:after="100"/>
      </w:pPr>
      <w:bookmarkStart w:id="1" w:name="Top"/>
      <w:proofErr w:type="spellStart"/>
      <w:r>
        <w:t>AutoISF</w:t>
      </w:r>
      <w:proofErr w:type="spellEnd"/>
      <w:r>
        <w:t xml:space="preserve"> Fork — Idiosyncrasies &amp; Operations Manual</w:t>
      </w:r>
      <w:bookmarkEnd w:id="1"/>
    </w:p>
    <w:p w14:paraId="2FFD19EA" w14:textId="77777777" w:rsidR="00F16DB1" w:rsidRDefault="001E64C6">
      <w:pPr>
        <w:spacing w:after="160"/>
      </w:pPr>
      <w:r>
        <w:rPr>
          <w:i/>
          <w:iCs/>
        </w:rPr>
        <w:t>UKF3426 (live/production branch). Companion to “</w:t>
      </w:r>
      <w:proofErr w:type="spellStart"/>
      <w:r>
        <w:rPr>
          <w:i/>
          <w:iCs/>
        </w:rPr>
        <w:t>AutoISF</w:t>
      </w:r>
      <w:proofErr w:type="spellEnd"/>
      <w:r>
        <w:rPr>
          <w:i/>
          <w:iCs/>
        </w:rPr>
        <w:t xml:space="preserve"> Settings Reference” — this document covers </w:t>
      </w:r>
      <w:proofErr w:type="spellStart"/>
      <w:r>
        <w:rPr>
          <w:i/>
          <w:iCs/>
        </w:rPr>
        <w:t>behavior</w:t>
      </w:r>
      <w:proofErr w:type="spellEnd"/>
      <w:r>
        <w:rPr>
          <w:i/>
          <w:iCs/>
        </w:rPr>
        <w:t xml:space="preserve">, mechanisms, and gotchas that aren't obvious from the settings screens alone: what's different from stock </w:t>
      </w:r>
      <w:proofErr w:type="spellStart"/>
      <w:r>
        <w:rPr>
          <w:i/>
          <w:iCs/>
        </w:rPr>
        <w:t>AndroidAPS</w:t>
      </w:r>
      <w:proofErr w:type="spellEnd"/>
      <w:r>
        <w:rPr>
          <w:i/>
          <w:iCs/>
        </w:rPr>
        <w:t>,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1BD80266" w14:textId="77777777" w:rsidR="00F16DB1" w:rsidRDefault="001E64C6">
      <w:pPr>
        <w:pStyle w:val="Heading1"/>
        <w:spacing w:before="400" w:after="200"/>
      </w:pPr>
      <w:bookmarkStart w:id="2" w:name="sec001"/>
      <w:r>
        <w:t>1. Installation — What's Different</w:t>
      </w:r>
      <w:bookmarkEnd w:id="2"/>
      <w:r>
        <w:t xml:space="preserve"> </w:t>
      </w:r>
      <w:hyperlink w:anchor="TOC">
        <w:r>
          <w:rPr>
            <w:rStyle w:val="Hyperlink"/>
          </w:rPr>
          <w:t>Back to TOC</w:t>
        </w:r>
      </w:hyperlink>
    </w:p>
    <w:p w14:paraId="48E0B51B" w14:textId="77777777" w:rsidR="00F16DB1" w:rsidRDefault="001E64C6">
      <w:pPr>
        <w:spacing w:after="160"/>
      </w:pPr>
      <w:r>
        <w:t xml:space="preserve">This fork builds as four separate Android apps (“product </w:t>
      </w:r>
      <w:proofErr w:type="spellStart"/>
      <w:r>
        <w:t>flavors</w:t>
      </w:r>
      <w:proofErr w:type="spellEnd"/>
      <w:r>
        <w:t xml:space="preserve">”), each with its own application ID, its own icon, and its own independent </w:t>
      </w:r>
      <w:proofErr w:type="spellStart"/>
      <w:r>
        <w:t>SharedPreferences</w:t>
      </w:r>
      <w:proofErr w:type="spellEnd"/>
      <w:r>
        <w:t xml:space="preserve"> store. They install side by side on the same device without conflicting — a real device commonly runs two or three of these at once (e.g. the main pump-driving app plus one or two Client mirrors on other phones/tablets).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70D6AD78" w14:textId="77777777">
        <w:trPr>
          <w:tblHeader/>
        </w:trPr>
        <w:tc>
          <w:tcPr>
            <w:tcW w:w="2000" w:type="dxa"/>
            <w:shd w:val="clear" w:color="auto" w:fill="2F5496"/>
            <w:tcMar>
              <w:top w:w="80" w:type="dxa"/>
              <w:left w:w="100" w:type="dxa"/>
              <w:bottom w:w="80" w:type="dxa"/>
              <w:right w:w="100" w:type="dxa"/>
            </w:tcMar>
          </w:tcPr>
          <w:p w14:paraId="6F90B388" w14:textId="77777777" w:rsidR="00F16DB1" w:rsidRDefault="001E64C6">
            <w:proofErr w:type="spellStart"/>
            <w:r>
              <w:rPr>
                <w:b/>
                <w:bCs/>
                <w:color w:val="FFFFFF"/>
                <w:sz w:val="18"/>
                <w:szCs w:val="18"/>
              </w:rPr>
              <w:t>Flavor</w:t>
            </w:r>
            <w:proofErr w:type="spellEnd"/>
          </w:p>
        </w:tc>
        <w:tc>
          <w:tcPr>
            <w:tcW w:w="3200" w:type="dxa"/>
            <w:shd w:val="clear" w:color="auto" w:fill="2F5496"/>
            <w:tcMar>
              <w:top w:w="80" w:type="dxa"/>
              <w:left w:w="100" w:type="dxa"/>
              <w:bottom w:w="80" w:type="dxa"/>
              <w:right w:w="100" w:type="dxa"/>
            </w:tcMar>
          </w:tcPr>
          <w:p w14:paraId="1D4469B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6499188D"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604FCF75" w14:textId="77777777" w:rsidR="00F16DB1" w:rsidRDefault="001E64C6">
            <w:r>
              <w:rPr>
                <w:b/>
                <w:bCs/>
                <w:color w:val="FFFFFF"/>
                <w:sz w:val="18"/>
                <w:szCs w:val="18"/>
              </w:rPr>
              <w:t>Role</w:t>
            </w:r>
          </w:p>
        </w:tc>
      </w:tr>
      <w:tr w:rsidR="00F16DB1" w14:paraId="4267693D" w14:textId="77777777">
        <w:tc>
          <w:tcPr>
            <w:tcW w:w="2000" w:type="dxa"/>
            <w:tcMar>
              <w:top w:w="80" w:type="dxa"/>
              <w:left w:w="100" w:type="dxa"/>
              <w:bottom w:w="80" w:type="dxa"/>
              <w:right w:w="100" w:type="dxa"/>
            </w:tcMar>
          </w:tcPr>
          <w:p w14:paraId="76C9B8FF" w14:textId="77777777" w:rsidR="00F16DB1" w:rsidRDefault="001E64C6">
            <w:r>
              <w:rPr>
                <w:sz w:val="18"/>
                <w:szCs w:val="18"/>
              </w:rPr>
              <w:t>full</w:t>
            </w:r>
          </w:p>
        </w:tc>
        <w:tc>
          <w:tcPr>
            <w:tcW w:w="3200" w:type="dxa"/>
            <w:tcMar>
              <w:top w:w="80" w:type="dxa"/>
              <w:left w:w="100" w:type="dxa"/>
              <w:bottom w:w="80" w:type="dxa"/>
              <w:right w:w="100" w:type="dxa"/>
            </w:tcMar>
          </w:tcPr>
          <w:p w14:paraId="33CAF7C3" w14:textId="77777777" w:rsidR="00F16DB1" w:rsidRDefault="001E64C6">
            <w:proofErr w:type="spellStart"/>
            <w:proofErr w:type="gramStart"/>
            <w:r>
              <w:rPr>
                <w:sz w:val="18"/>
                <w:szCs w:val="18"/>
              </w:rPr>
              <w:t>info.nightscout</w:t>
            </w:r>
            <w:proofErr w:type="gramEnd"/>
            <w:r>
              <w:rPr>
                <w:sz w:val="18"/>
                <w:szCs w:val="18"/>
              </w:rPr>
              <w:t>.androidaps</w:t>
            </w:r>
            <w:proofErr w:type="spellEnd"/>
          </w:p>
        </w:tc>
        <w:tc>
          <w:tcPr>
            <w:tcW w:w="1600" w:type="dxa"/>
            <w:tcMar>
              <w:top w:w="80" w:type="dxa"/>
              <w:left w:w="100" w:type="dxa"/>
              <w:bottom w:w="80" w:type="dxa"/>
              <w:right w:w="100" w:type="dxa"/>
            </w:tcMar>
          </w:tcPr>
          <w:p w14:paraId="0C8FC7B0" w14:textId="77777777" w:rsidR="00F16DB1" w:rsidRDefault="001E64C6">
            <w:r>
              <w:rPr>
                <w:sz w:val="18"/>
                <w:szCs w:val="18"/>
              </w:rPr>
              <w:t>standard AAPS</w:t>
            </w:r>
          </w:p>
        </w:tc>
        <w:tc>
          <w:tcPr>
            <w:tcW w:w="3280" w:type="dxa"/>
            <w:tcMar>
              <w:top w:w="80" w:type="dxa"/>
              <w:left w:w="100" w:type="dxa"/>
              <w:bottom w:w="80" w:type="dxa"/>
              <w:right w:w="100" w:type="dxa"/>
            </w:tcMar>
          </w:tcPr>
          <w:p w14:paraId="02EC683C" w14:textId="77777777" w:rsidR="00F16DB1" w:rsidRDefault="001E64C6">
            <w:r>
              <w:rPr>
                <w:sz w:val="18"/>
                <w:szCs w:val="18"/>
              </w:rPr>
              <w:t>The real, pump-driving install. This is what “Regan” / the primary phone runs.</w:t>
            </w:r>
          </w:p>
        </w:tc>
      </w:tr>
      <w:tr w:rsidR="00F16DB1" w14:paraId="76D2E314" w14:textId="77777777">
        <w:tc>
          <w:tcPr>
            <w:tcW w:w="2000" w:type="dxa"/>
            <w:tcMar>
              <w:top w:w="80" w:type="dxa"/>
              <w:left w:w="100" w:type="dxa"/>
              <w:bottom w:w="80" w:type="dxa"/>
              <w:right w:w="100" w:type="dxa"/>
            </w:tcMar>
          </w:tcPr>
          <w:p w14:paraId="143D1FC8" w14:textId="77777777" w:rsidR="00F16DB1" w:rsidRDefault="001E64C6">
            <w:proofErr w:type="spellStart"/>
            <w:r>
              <w:rPr>
                <w:sz w:val="18"/>
                <w:szCs w:val="18"/>
              </w:rPr>
              <w:lastRenderedPageBreak/>
              <w:t>pumpcontrol</w:t>
            </w:r>
            <w:proofErr w:type="spellEnd"/>
          </w:p>
        </w:tc>
        <w:tc>
          <w:tcPr>
            <w:tcW w:w="3200" w:type="dxa"/>
            <w:tcMar>
              <w:top w:w="80" w:type="dxa"/>
              <w:left w:w="100" w:type="dxa"/>
              <w:bottom w:w="80" w:type="dxa"/>
              <w:right w:w="100" w:type="dxa"/>
            </w:tcMar>
          </w:tcPr>
          <w:p w14:paraId="07F9053D" w14:textId="77777777" w:rsidR="00F16DB1" w:rsidRDefault="001E64C6">
            <w:proofErr w:type="spellStart"/>
            <w:proofErr w:type="gramStart"/>
            <w:r>
              <w:rPr>
                <w:sz w:val="18"/>
                <w:szCs w:val="18"/>
              </w:rPr>
              <w:t>info.nightscout</w:t>
            </w:r>
            <w:proofErr w:type="gramEnd"/>
            <w:r>
              <w:rPr>
                <w:sz w:val="18"/>
                <w:szCs w:val="18"/>
              </w:rPr>
              <w:t>.aapspumpcontrol</w:t>
            </w:r>
            <w:proofErr w:type="spellEnd"/>
          </w:p>
        </w:tc>
        <w:tc>
          <w:tcPr>
            <w:tcW w:w="1600" w:type="dxa"/>
            <w:tcMar>
              <w:top w:w="80" w:type="dxa"/>
              <w:left w:w="100" w:type="dxa"/>
              <w:bottom w:w="80" w:type="dxa"/>
              <w:right w:w="100" w:type="dxa"/>
            </w:tcMar>
          </w:tcPr>
          <w:p w14:paraId="774AB6DF" w14:textId="77777777" w:rsidR="00F16DB1" w:rsidRDefault="001E64C6">
            <w:proofErr w:type="spellStart"/>
            <w:r>
              <w:rPr>
                <w:sz w:val="18"/>
                <w:szCs w:val="18"/>
              </w:rPr>
              <w:t>pumpcontrol</w:t>
            </w:r>
            <w:proofErr w:type="spellEnd"/>
            <w:r>
              <w:rPr>
                <w:sz w:val="18"/>
                <w:szCs w:val="18"/>
              </w:rPr>
              <w:t xml:space="preserve"> icon</w:t>
            </w:r>
          </w:p>
        </w:tc>
        <w:tc>
          <w:tcPr>
            <w:tcW w:w="3280" w:type="dxa"/>
            <w:tcMar>
              <w:top w:w="80" w:type="dxa"/>
              <w:left w:w="100" w:type="dxa"/>
              <w:bottom w:w="80" w:type="dxa"/>
              <w:right w:w="100" w:type="dxa"/>
            </w:tcMar>
          </w:tcPr>
          <w:p w14:paraId="08566E52"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55D54792" w14:textId="77777777">
        <w:tc>
          <w:tcPr>
            <w:tcW w:w="2000" w:type="dxa"/>
            <w:tcMar>
              <w:top w:w="80" w:type="dxa"/>
              <w:left w:w="100" w:type="dxa"/>
              <w:bottom w:w="80" w:type="dxa"/>
              <w:right w:w="100" w:type="dxa"/>
            </w:tcMar>
          </w:tcPr>
          <w:p w14:paraId="135E6550" w14:textId="77777777" w:rsidR="00F16DB1" w:rsidRDefault="001E64C6">
            <w:proofErr w:type="spellStart"/>
            <w:r>
              <w:rPr>
                <w:sz w:val="18"/>
                <w:szCs w:val="18"/>
              </w:rPr>
              <w:t>aapsclient</w:t>
            </w:r>
            <w:proofErr w:type="spellEnd"/>
          </w:p>
        </w:tc>
        <w:tc>
          <w:tcPr>
            <w:tcW w:w="3200" w:type="dxa"/>
            <w:tcMar>
              <w:top w:w="80" w:type="dxa"/>
              <w:left w:w="100" w:type="dxa"/>
              <w:bottom w:w="80" w:type="dxa"/>
              <w:right w:w="100" w:type="dxa"/>
            </w:tcMar>
          </w:tcPr>
          <w:p w14:paraId="27616908" w14:textId="77777777" w:rsidR="00F16DB1" w:rsidRDefault="001E64C6">
            <w:proofErr w:type="spellStart"/>
            <w:proofErr w:type="gramStart"/>
            <w:r>
              <w:rPr>
                <w:sz w:val="18"/>
                <w:szCs w:val="18"/>
              </w:rPr>
              <w:t>info.nightscout</w:t>
            </w:r>
            <w:proofErr w:type="gramEnd"/>
            <w:r>
              <w:rPr>
                <w:sz w:val="18"/>
                <w:szCs w:val="18"/>
              </w:rPr>
              <w:t>.aapsclient</w:t>
            </w:r>
            <w:proofErr w:type="spellEnd"/>
          </w:p>
        </w:tc>
        <w:tc>
          <w:tcPr>
            <w:tcW w:w="1600" w:type="dxa"/>
            <w:tcMar>
              <w:top w:w="80" w:type="dxa"/>
              <w:left w:w="100" w:type="dxa"/>
              <w:bottom w:w="80" w:type="dxa"/>
              <w:right w:w="100" w:type="dxa"/>
            </w:tcMar>
          </w:tcPr>
          <w:p w14:paraId="5F072FDF" w14:textId="77777777" w:rsidR="00F16DB1" w:rsidRDefault="001E64C6">
            <w:r>
              <w:rPr>
                <w:sz w:val="18"/>
                <w:szCs w:val="18"/>
              </w:rPr>
              <w:t>yellow owl</w:t>
            </w:r>
          </w:p>
        </w:tc>
        <w:tc>
          <w:tcPr>
            <w:tcW w:w="3280" w:type="dxa"/>
            <w:tcMar>
              <w:top w:w="80" w:type="dxa"/>
              <w:left w:w="100" w:type="dxa"/>
              <w:bottom w:w="80" w:type="dxa"/>
              <w:right w:w="100" w:type="dxa"/>
            </w:tcMar>
          </w:tcPr>
          <w:p w14:paraId="31C4614B" w14:textId="77777777" w:rsidR="00F16DB1" w:rsidRDefault="001E64C6">
            <w:r>
              <w:rPr>
                <w:sz w:val="18"/>
                <w:szCs w:val="18"/>
              </w:rPr>
              <w:t xml:space="preserve">“Client”-style mirror. Runs its own full loop calculation every cycle (same as full) but with </w:t>
            </w:r>
            <w:proofErr w:type="spellStart"/>
            <w:r>
              <w:rPr>
                <w:sz w:val="18"/>
                <w:szCs w:val="18"/>
              </w:rPr>
              <w:t>VirtualPump</w:t>
            </w:r>
            <w:proofErr w:type="spellEnd"/>
            <w:r>
              <w:rPr>
                <w:sz w:val="18"/>
                <w:szCs w:val="18"/>
              </w:rPr>
              <w:t xml:space="preserve"> as its selected pump, so nothing it computes is ever actually delivered — it's a live shadow-loop, not just a passive NS viewer.</w:t>
            </w:r>
          </w:p>
        </w:tc>
      </w:tr>
      <w:tr w:rsidR="00F16DB1" w14:paraId="5C6903A6" w14:textId="77777777">
        <w:tc>
          <w:tcPr>
            <w:tcW w:w="2000" w:type="dxa"/>
            <w:tcMar>
              <w:top w:w="80" w:type="dxa"/>
              <w:left w:w="100" w:type="dxa"/>
              <w:bottom w:w="80" w:type="dxa"/>
              <w:right w:w="100" w:type="dxa"/>
            </w:tcMar>
          </w:tcPr>
          <w:p w14:paraId="72279742" w14:textId="77777777" w:rsidR="00F16DB1" w:rsidRDefault="001E64C6">
            <w:r>
              <w:rPr>
                <w:sz w:val="18"/>
                <w:szCs w:val="18"/>
              </w:rPr>
              <w:t>aapsclient2</w:t>
            </w:r>
          </w:p>
        </w:tc>
        <w:tc>
          <w:tcPr>
            <w:tcW w:w="3200" w:type="dxa"/>
            <w:tcMar>
              <w:top w:w="80" w:type="dxa"/>
              <w:left w:w="100" w:type="dxa"/>
              <w:bottom w:w="80" w:type="dxa"/>
              <w:right w:w="100" w:type="dxa"/>
            </w:tcMar>
          </w:tcPr>
          <w:p w14:paraId="73E2BC67"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5C62BE51" w14:textId="77777777" w:rsidR="00F16DB1" w:rsidRDefault="001E64C6">
            <w:r>
              <w:rPr>
                <w:sz w:val="18"/>
                <w:szCs w:val="18"/>
              </w:rPr>
              <w:t>blue owl</w:t>
            </w:r>
          </w:p>
        </w:tc>
        <w:tc>
          <w:tcPr>
            <w:tcW w:w="3280" w:type="dxa"/>
            <w:tcMar>
              <w:top w:w="80" w:type="dxa"/>
              <w:left w:w="100" w:type="dxa"/>
              <w:bottom w:w="80" w:type="dxa"/>
              <w:right w:w="100" w:type="dxa"/>
            </w:tcMar>
          </w:tcPr>
          <w:p w14:paraId="532C0FDA" w14:textId="77777777" w:rsidR="00F16DB1" w:rsidRDefault="001E64C6">
            <w:r>
              <w:rPr>
                <w:sz w:val="18"/>
                <w:szCs w:val="18"/>
              </w:rPr>
              <w:t xml:space="preserve">A second, independent Client mirror — same mechanism as </w:t>
            </w:r>
            <w:proofErr w:type="spellStart"/>
            <w:r>
              <w:rPr>
                <w:sz w:val="18"/>
                <w:szCs w:val="18"/>
              </w:rPr>
              <w:t>aapsclient</w:t>
            </w:r>
            <w:proofErr w:type="spellEnd"/>
            <w:r>
              <w:rPr>
                <w:sz w:val="18"/>
                <w:szCs w:val="18"/>
              </w:rPr>
              <w:t>, distinct app/</w:t>
            </w:r>
            <w:proofErr w:type="spellStart"/>
            <w:r>
              <w:rPr>
                <w:sz w:val="18"/>
                <w:szCs w:val="18"/>
              </w:rPr>
              <w:t>prefs</w:t>
            </w:r>
            <w:proofErr w:type="spellEnd"/>
            <w:r>
              <w:rPr>
                <w:sz w:val="18"/>
                <w:szCs w:val="18"/>
              </w:rPr>
              <w:t>, lets one phone run two separate mirror instances.</w:t>
            </w:r>
          </w:p>
        </w:tc>
      </w:tr>
    </w:tbl>
    <w:p w14:paraId="43BDCEE5" w14:textId="77777777" w:rsidR="00F16DB1" w:rsidRDefault="001E64C6">
      <w:pPr>
        <w:spacing w:after="160"/>
      </w:pPr>
      <w:r>
        <w:t xml:space="preserve">Because each </w:t>
      </w:r>
      <w:proofErr w:type="spellStart"/>
      <w:r>
        <w:t>flavor</w:t>
      </w:r>
      <w:proofErr w:type="spellEnd"/>
      <w:r>
        <w:t xml:space="preserve"> is a genuinely separate app, a settings export/import done inside one </w:t>
      </w:r>
      <w:proofErr w:type="spellStart"/>
      <w:r>
        <w:t>flavor</w:t>
      </w:r>
      <w:proofErr w:type="spellEnd"/>
      <w:r>
        <w:t xml:space="preserve"> never touches another </w:t>
      </w:r>
      <w:proofErr w:type="spellStart"/>
      <w:r>
        <w:t>flavor's</w:t>
      </w:r>
      <w:proofErr w:type="spellEnd"/>
      <w:r>
        <w:t xml:space="preserve"> preferences, even on the same physical device — “import into AAPS” and “import into </w:t>
      </w:r>
      <w:proofErr w:type="spellStart"/>
      <w:r>
        <w:t>AAPSClient</w:t>
      </w:r>
      <w:proofErr w:type="spellEnd"/>
      <w:r>
        <w:t>” are two unrelated operations.</w:t>
      </w:r>
    </w:p>
    <w:p w14:paraId="63B70DFE" w14:textId="77777777" w:rsidR="00F16DB1" w:rsidRDefault="001E64C6">
      <w:pPr>
        <w:pStyle w:val="Heading2"/>
        <w:spacing w:before="280" w:after="120"/>
      </w:pPr>
      <w:bookmarkStart w:id="3" w:name="sec002"/>
      <w:r>
        <w:t>a. Version tag &amp; build identification</w:t>
      </w:r>
      <w:bookmarkEnd w:id="3"/>
      <w:r>
        <w:t xml:space="preserve"> </w:t>
      </w:r>
      <w:hyperlink w:anchor="TOC">
        <w:r>
          <w:rPr>
            <w:rStyle w:val="Hyperlink"/>
          </w:rPr>
          <w:t>Back to TOC</w:t>
        </w:r>
      </w:hyperlink>
    </w:p>
    <w:p w14:paraId="00A0AB35" w14:textId="77777777" w:rsidR="00F16DB1" w:rsidRDefault="001E64C6">
      <w:pPr>
        <w:spacing w:after="160"/>
      </w:pPr>
      <w:r>
        <w:t xml:space="preserve">Every console/history line and the on-device log stamp the running build as the last 13 characters of </w:t>
      </w:r>
      <w:proofErr w:type="spellStart"/>
      <w:r>
        <w:t>Config.VERSION_NAME</w:t>
      </w:r>
      <w:proofErr w:type="spellEnd"/>
      <w:r>
        <w:t xml:space="preserve"> (e.g. “aisf321UK_654”), derived automatically from the actual APK version rather than a hand-maintained literal. Known caveat: on the </w:t>
      </w:r>
      <w:proofErr w:type="spellStart"/>
      <w:r>
        <w:t>aapsclient</w:t>
      </w:r>
      <w:proofErr w:type="spellEnd"/>
      <w:r>
        <w:t xml:space="preserve">/aapsclient2 </w:t>
      </w:r>
      <w:proofErr w:type="spellStart"/>
      <w:r>
        <w:t>flavors</w:t>
      </w:r>
      <w:proofErr w:type="spellEnd"/>
      <w:r>
        <w:t>, VERSION_NAME gets an extra “-</w:t>
      </w:r>
      <w:proofErr w:type="spellStart"/>
      <w:r>
        <w:t>aapsclient</w:t>
      </w:r>
      <w:proofErr w:type="spellEnd"/>
      <w:r>
        <w:t>”</w:t>
      </w:r>
      <w:proofErr w:type="gramStart"/>
      <w:r>
        <w:t>/“</w:t>
      </w:r>
      <w:proofErr w:type="gramEnd"/>
      <w:r>
        <w:t>-aapsclient2” suffix appended, which shifts the fixed 13-character window — the printed tag can look slightly off on Client builds specifically. Not yet fixed as of this writing.</w:t>
      </w:r>
    </w:p>
    <w:p w14:paraId="2ED4D33E" w14:textId="77777777" w:rsidR="00F16DB1" w:rsidRDefault="001E64C6">
      <w:pPr>
        <w:pStyle w:val="Heading2"/>
        <w:spacing w:before="280" w:after="120"/>
      </w:pPr>
      <w:bookmarkStart w:id="4" w:name="sec003"/>
      <w:r>
        <w:t>b. Per-device backup/export folder naming</w:t>
      </w:r>
      <w:bookmarkEnd w:id="4"/>
      <w:r>
        <w:t xml:space="preserve"> </w:t>
      </w:r>
      <w:hyperlink w:anchor="TOC">
        <w:r>
          <w:rPr>
            <w:rStyle w:val="Hyperlink"/>
          </w:rPr>
          <w:t>Back to TOC</w:t>
        </w:r>
      </w:hyperlink>
    </w:p>
    <w:p w14:paraId="35B8B3D6" w14:textId="77777777" w:rsidR="00F16DB1" w:rsidRDefault="001E64C6">
      <w:pPr>
        <w:spacing w:after="160"/>
      </w:pPr>
      <w:r>
        <w:t>The optional “</w:t>
      </w:r>
      <w:proofErr w:type="spellStart"/>
      <w:r>
        <w:t>GeneralPatientName</w:t>
      </w:r>
      <w:proofErr w:type="spellEnd"/>
      <w:r>
        <w:t>” setting scopes where this device's AIV/log exports land — both on-device folder structure (Documents/AAPS/</w:t>
      </w:r>
      <w:proofErr w:type="spellStart"/>
      <w:r>
        <w:t>aapsLogs</w:t>
      </w:r>
      <w:proofErr w:type="spellEnd"/>
      <w:r>
        <w:t>/&lt;Name&gt;/) and the PC-side backup tree pulled off the phone (</w:t>
      </w:r>
      <w:proofErr w:type="spellStart"/>
      <w:r>
        <w:t>aiv</w:t>
      </w:r>
      <w:proofErr w:type="spellEnd"/>
      <w:r>
        <w:t xml:space="preserve">_&lt;Name&gt;, logs_&lt;Name&gt;, </w:t>
      </w:r>
      <w:proofErr w:type="spellStart"/>
      <w:r>
        <w:t>aapsLogs</w:t>
      </w:r>
      <w:proofErr w:type="spellEnd"/>
      <w:r>
        <w:t xml:space="preserve">\&lt;Name&gt;\output\). Leaving it blank falls back to a single shared, </w:t>
      </w:r>
      <w:proofErr w:type="spellStart"/>
      <w:r>
        <w:t>unscoped</w:t>
      </w:r>
      <w:proofErr w:type="spellEnd"/>
      <w:r>
        <w:t xml:space="preserve"> folder — fine for one device, ambiguous the moment a second device is added. Set a distinct name per physical/virtual device before its exports start accumulating, since retroactively renaming only affects future exports, not the ones already written under the old name.</w:t>
      </w:r>
    </w:p>
    <w:p w14:paraId="09D7F492" w14:textId="77777777" w:rsidR="00F16DB1" w:rsidRDefault="001E64C6">
      <w:pPr>
        <w:pStyle w:val="Heading1"/>
        <w:spacing w:before="400" w:after="200"/>
      </w:pPr>
      <w:bookmarkStart w:id="5" w:name="sec004"/>
      <w:r>
        <w:t>2. Requirements for “Automation States”</w:t>
      </w:r>
      <w:bookmarkEnd w:id="5"/>
      <w:r>
        <w:t xml:space="preserve"> </w:t>
      </w:r>
      <w:hyperlink w:anchor="TOC">
        <w:r>
          <w:rPr>
            <w:rStyle w:val="Hyperlink"/>
          </w:rPr>
          <w:t>Back to TOC</w:t>
        </w:r>
      </w:hyperlink>
    </w:p>
    <w:p w14:paraId="3CCE3C56"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4EED8B07" w14:textId="77777777" w:rsidR="00F16DB1" w:rsidRDefault="001E64C6">
      <w:pPr>
        <w:pStyle w:val="Heading2"/>
        <w:spacing w:before="280" w:after="120"/>
      </w:pPr>
      <w:bookmarkStart w:id="6" w:name="sec005"/>
      <w:r>
        <w:t>a. It has a master on/off switch, and things silently do nothing when it's off</w:t>
      </w:r>
      <w:bookmarkEnd w:id="6"/>
      <w:r>
        <w:t xml:space="preserve"> </w:t>
      </w:r>
      <w:hyperlink w:anchor="TOC">
        <w:r>
          <w:rPr>
            <w:rStyle w:val="Hyperlink"/>
          </w:rPr>
          <w:t>Back to TOC</w:t>
        </w:r>
      </w:hyperlink>
    </w:p>
    <w:p w14:paraId="09FB78F1" w14:textId="77777777" w:rsidR="00F16DB1" w:rsidRDefault="001E64C6">
      <w:pPr>
        <w:spacing w:after="160"/>
      </w:pPr>
      <w:proofErr w:type="spellStart"/>
      <w:r>
        <w:t>BooleanKey.AutomationStatesEnabled</w:t>
      </w:r>
      <w:proofErr w:type="spellEnd"/>
      <w:r>
        <w:t xml:space="preserve">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0F5B7086" w14:textId="77777777" w:rsidR="00F16DB1" w:rsidRDefault="001E64C6">
      <w:pPr>
        <w:pStyle w:val="Heading2"/>
        <w:spacing w:before="280" w:after="120"/>
      </w:pPr>
      <w:bookmarkStart w:id="7" w:name="sec006"/>
      <w:r>
        <w:t>b. State values must be pre-declared before code can set them</w:t>
      </w:r>
      <w:bookmarkEnd w:id="7"/>
      <w:r>
        <w:t xml:space="preserve"> </w:t>
      </w:r>
      <w:hyperlink w:anchor="TOC">
        <w:r>
          <w:rPr>
            <w:rStyle w:val="Hyperlink"/>
          </w:rPr>
          <w:t>Back to TOC</w:t>
        </w:r>
      </w:hyperlink>
    </w:p>
    <w:p w14:paraId="41F87648" w14:textId="77777777" w:rsidR="00F16DB1" w:rsidRDefault="001E64C6">
      <w:pPr>
        <w:spacing w:after="160"/>
      </w:pPr>
      <w:r>
        <w:t>A state (e.g. “Steroids”, “MJ”) has a name and a fixed list of allowed value-strings (e.g. “Steroids Off” / “</w:t>
      </w:r>
      <w:proofErr w:type="spellStart"/>
      <w:r>
        <w:t>SteroidsON</w:t>
      </w:r>
      <w:proofErr w:type="spellEnd"/>
      <w:r>
        <w:t xml:space="preserve">”). </w:t>
      </w:r>
      <w:proofErr w:type="spellStart"/>
      <w:r>
        <w:t>AutomationStateService.setState</w:t>
      </w:r>
      <w:proofErr w:type="spellEnd"/>
      <w:r>
        <w:t xml:space="preserve">() enforces this at runtime with a hard </w:t>
      </w:r>
      <w:proofErr w:type="gramStart"/>
      <w:r>
        <w:t>require(</w:t>
      </w:r>
      <w:proofErr w:type="gramEnd"/>
      <w:r>
        <w:t xml:space="preserve">) — calling </w:t>
      </w:r>
      <w:proofErr w:type="spellStart"/>
      <w:proofErr w:type="gramStart"/>
      <w:r>
        <w:t>setAutomationState</w:t>
      </w:r>
      <w:proofErr w:type="spellEnd"/>
      <w:r>
        <w:t>(</w:t>
      </w:r>
      <w:proofErr w:type="gramEnd"/>
      <w:r>
        <w:t xml:space="preserve">) from code with a state name or value that hasn't been declared first throws an </w:t>
      </w:r>
      <w:proofErr w:type="spellStart"/>
      <w:r>
        <w:t>IllegalStateException</w:t>
      </w:r>
      <w:proofErr w:type="spellEnd"/>
      <w:r>
        <w:t xml:space="preserve"> rather than silently creating it. Historically the only way to declare one was manually, on the in-app “States” tab (</w:t>
      </w:r>
      <w:proofErr w:type="spellStart"/>
      <w:r>
        <w:t>AutomationStateFragment</w:t>
      </w:r>
      <w:proofErr w:type="spellEnd"/>
      <w:r>
        <w:t>, “+” to add a state).</w:t>
      </w:r>
    </w:p>
    <w:p w14:paraId="73DE8B6F" w14:textId="77777777" w:rsidR="00F16DB1" w:rsidRDefault="001E64C6">
      <w:pPr>
        <w:pStyle w:val="Heading2"/>
        <w:spacing w:before="280" w:after="120"/>
      </w:pPr>
      <w:bookmarkStart w:id="8" w:name="sec007"/>
      <w:r>
        <w:lastRenderedPageBreak/>
        <w:t>c. Fixed 2026-08-19: this is now self-healing for the coded automations' own states</w:t>
      </w:r>
      <w:bookmarkEnd w:id="8"/>
      <w:r>
        <w:t xml:space="preserve"> </w:t>
      </w:r>
      <w:hyperlink w:anchor="TOC">
        <w:r>
          <w:rPr>
            <w:rStyle w:val="Hyperlink"/>
          </w:rPr>
          <w:t>Back to TOC</w:t>
        </w:r>
      </w:hyperlink>
    </w:p>
    <w:p w14:paraId="3B981504" w14:textId="77777777" w:rsidR="00F16DB1" w:rsidRDefault="001E64C6">
      <w:pPr>
        <w:spacing w:after="160"/>
      </w:pPr>
      <w:r>
        <w:t xml:space="preserve">A real, already-live crash risk existed because of the rule above: one coded automation called </w:t>
      </w:r>
      <w:proofErr w:type="spellStart"/>
      <w:proofErr w:type="gramStart"/>
      <w:r>
        <w:t>setState</w:t>
      </w:r>
      <w:proofErr w:type="spellEnd"/>
      <w:r>
        <w:t>(</w:t>
      </w:r>
      <w:proofErr w:type="gramEnd"/>
      <w:r>
        <w:t xml:space="preserve">) unconditionally with no pre-check at all, so on any device that had never had that specific state typed into the States tab, it would throw. </w:t>
      </w:r>
      <w:proofErr w:type="spellStart"/>
      <w:r>
        <w:t>OpenAPSAutoISFPlugin.onStart</w:t>
      </w:r>
      <w:proofErr w:type="spellEnd"/>
      <w:r>
        <w:t xml:space="preserve">() now calls </w:t>
      </w:r>
      <w:proofErr w:type="spellStart"/>
      <w:proofErr w:type="gramStart"/>
      <w:r>
        <w:t>ensureRequiredAutomationStatesDeclared</w:t>
      </w:r>
      <w:proofErr w:type="spellEnd"/>
      <w:r>
        <w:t>(</w:t>
      </w:r>
      <w:proofErr w:type="gramEnd"/>
      <w:r>
        <w:t xml:space="preserve">) once at every app start, which pre-declares the value-list for every state this fork's coded automations are known to read or write — currently MJ, </w:t>
      </w:r>
      <w:proofErr w:type="spellStart"/>
      <w:r>
        <w:t>MJstate</w:t>
      </w:r>
      <w:proofErr w:type="spellEnd"/>
      <w:r>
        <w:t xml:space="preserve">, Steroids, </w:t>
      </w:r>
      <w:proofErr w:type="spellStart"/>
      <w:r>
        <w:t>LowBG</w:t>
      </w:r>
      <w:proofErr w:type="spellEnd"/>
      <w:r>
        <w:t xml:space="preserve">, Steps, </w:t>
      </w:r>
      <w:proofErr w:type="spellStart"/>
      <w:r>
        <w:t>BGLstate</w:t>
      </w:r>
      <w:proofErr w:type="spellEnd"/>
      <w:r>
        <w:t xml:space="preserve">, Profile, Sleeping, and </w:t>
      </w:r>
      <w:proofErr w:type="spellStart"/>
      <w:r>
        <w:t>query_got_up</w:t>
      </w:r>
      <w:proofErr w:type="spellEnd"/>
      <w:r>
        <w:t xml:space="preserve"> — but only when </w:t>
      </w:r>
      <w:proofErr w:type="spellStart"/>
      <w:proofErr w:type="gramStart"/>
      <w:r>
        <w:t>hasStateValues</w:t>
      </w:r>
      <w:proofErr w:type="spellEnd"/>
      <w:r>
        <w:t>(</w:t>
      </w:r>
      <w:proofErr w:type="gramEnd"/>
      <w:r>
        <w:t>) says that state isn't already declared, so it can never overwrite/clobber a list you've customized on the States tab yourself.</w:t>
      </w:r>
    </w:p>
    <w:p w14:paraId="546AFF50" w14:textId="77777777" w:rsidR="00F16DB1" w:rsidRDefault="001E64C6">
      <w:pPr>
        <w:spacing w:after="16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27D17722" w14:textId="77777777" w:rsidR="00F16DB1" w:rsidRDefault="001E64C6">
      <w:pPr>
        <w:pStyle w:val="Heading2"/>
        <w:spacing w:before="280" w:after="120"/>
      </w:pPr>
      <w:bookmarkStart w:id="9" w:name="sec008"/>
      <w:r>
        <w:t>d. A second, related gap: declaring the value list still isn't the same as the state having a value</w:t>
      </w:r>
      <w:bookmarkEnd w:id="9"/>
      <w:r>
        <w:t xml:space="preserve"> </w:t>
      </w:r>
      <w:hyperlink w:anchor="TOC">
        <w:r>
          <w:rPr>
            <w:rStyle w:val="Hyperlink"/>
          </w:rPr>
          <w:t>Back to TOC</w:t>
        </w:r>
      </w:hyperlink>
    </w:p>
    <w:p w14:paraId="29D40960" w14:textId="77777777" w:rsidR="00F16DB1" w:rsidRDefault="001E64C6">
      <w:pPr>
        <w:spacing w:after="160"/>
      </w:pPr>
      <w:r>
        <w:t xml:space="preserve">Even with the fix above, a brand-new state's value LIST existing doesn't mean it has a CURRENT value — </w:t>
      </w:r>
      <w:proofErr w:type="spellStart"/>
      <w:r>
        <w:t>AutomationStateService</w:t>
      </w:r>
      <w:proofErr w:type="spellEnd"/>
      <w:r>
        <w:t xml:space="preserve"> only assigns one the first time something calls </w:t>
      </w:r>
      <w:proofErr w:type="spellStart"/>
      <w:proofErr w:type="gramStart"/>
      <w:r>
        <w:t>setState</w:t>
      </w:r>
      <w:proofErr w:type="spellEnd"/>
      <w:r>
        <w:t>(</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spellStart"/>
      <w:proofErr w:type="gramStart"/>
      <w:r>
        <w:t>checkAutomationState</w:t>
      </w:r>
      <w:proofErr w:type="spellEnd"/>
      <w:r>
        <w:t>(</w:t>
      </w:r>
      <w:proofErr w:type="gramEnd"/>
      <w:r>
        <w:t xml:space="preserve">name, </w:t>
      </w:r>
      <w:proofErr w:type="spellStart"/>
      <w:r>
        <w:t>someValue</w:t>
      </w:r>
      <w:proofErr w:type="spellEnd"/>
      <w:r>
        <w:t xml:space="preserve">)) just silently reads false — no crash, but no default either, </w:t>
      </w:r>
      <w:proofErr w:type="gramStart"/>
      <w:r>
        <w:t>and</w:t>
      </w:r>
      <w:proofErr w:type="gramEnd"/>
      <w:r>
        <w:t xml:space="preserve"> nothing on screen tells you this is why an automation isn't firing.</w:t>
      </w:r>
    </w:p>
    <w:p w14:paraId="4678804A" w14:textId="77777777" w:rsidR="00F16DB1" w:rsidRDefault="001E64C6">
      <w:pPr>
        <w:spacing w:after="160"/>
      </w:pPr>
      <w:r>
        <w:t xml:space="preserve">Also fixed 2026-08-19, same day: the bootstrap now also assigns a safe default CURRENT value, but only for the 5 states where there's real evidence of what “neutral/off” means (never guessed): MJ → </w:t>
      </w:r>
      <w:proofErr w:type="spellStart"/>
      <w:r>
        <w:t>NOMJremains</w:t>
      </w:r>
      <w:proofErr w:type="spellEnd"/>
      <w:r>
        <w:t xml:space="preserve">, </w:t>
      </w:r>
      <w:proofErr w:type="spellStart"/>
      <w:r>
        <w:t>MJstate</w:t>
      </w:r>
      <w:proofErr w:type="spellEnd"/>
      <w:r>
        <w:t xml:space="preserve"> → </w:t>
      </w:r>
      <w:proofErr w:type="spellStart"/>
      <w:r>
        <w:t>MJoff</w:t>
      </w:r>
      <w:proofErr w:type="spellEnd"/>
      <w:r>
        <w:t xml:space="preserve">, Steroids → Steroids Off, </w:t>
      </w:r>
      <w:proofErr w:type="spellStart"/>
      <w:r>
        <w:t>LowBG</w:t>
      </w:r>
      <w:proofErr w:type="spellEnd"/>
      <w:r>
        <w:t xml:space="preserve"> → NO50rec, Profile → </w:t>
      </w:r>
      <w:proofErr w:type="spellStart"/>
      <w:r>
        <w:t>AllOK</w:t>
      </w:r>
      <w:proofErr w:type="spellEnd"/>
      <w:r>
        <w:t xml:space="preserve">. It deliberately leaves Steps, Sleeping, </w:t>
      </w:r>
      <w:proofErr w:type="spellStart"/>
      <w:r>
        <w:t>BGLstate</w:t>
      </w:r>
      <w:proofErr w:type="spellEnd"/>
      <w:r>
        <w:t xml:space="preserve">, and </w:t>
      </w:r>
      <w:proofErr w:type="spellStart"/>
      <w:r>
        <w:t>query_got_up</w:t>
      </w:r>
      <w:proofErr w:type="spellEnd"/>
      <w:r>
        <w:t xml:space="preserve"> declare-only — no coded automation in this file was ever seen writing the first two (something else owns them), </w:t>
      </w:r>
      <w:proofErr w:type="spellStart"/>
      <w:r>
        <w:t>BGLstate</w:t>
      </w:r>
      <w:proofErr w:type="spellEnd"/>
      <w:r>
        <w:t xml:space="preserve"> has only one enumerated value with no observed “off” counterpart (defaulting to it would wrongly assert a low just happened on every fresh device), and </w:t>
      </w:r>
      <w:proofErr w:type="spellStart"/>
      <w:r>
        <w:t>query_got_up</w:t>
      </w:r>
      <w:proofErr w:type="spellEnd"/>
      <w:r>
        <w:t xml:space="preserve"> is a one-shot signal, not a toggle. The default is only applied when the state currently has no value at all — it can never overwrite something you (or the import) already set.</w:t>
      </w:r>
    </w:p>
    <w:p w14:paraId="17DE7D9D" w14:textId="77777777" w:rsidR="00F16DB1" w:rsidRDefault="001E64C6">
      <w:pPr>
        <w:pStyle w:val="Heading1"/>
        <w:spacing w:before="400" w:after="200"/>
      </w:pPr>
      <w:bookmarkStart w:id="10" w:name="sec009"/>
      <w:r>
        <w:t xml:space="preserve">3. Settings Import Features — Especially </w:t>
      </w:r>
      <w:proofErr w:type="gramStart"/>
      <w:r>
        <w:t>With</w:t>
      </w:r>
      <w:proofErr w:type="gramEnd"/>
      <w:r>
        <w:t xml:space="preserve"> States</w:t>
      </w:r>
      <w:bookmarkEnd w:id="10"/>
      <w:r>
        <w:t xml:space="preserve"> </w:t>
      </w:r>
      <w:hyperlink w:anchor="TOC">
        <w:r>
          <w:rPr>
            <w:rStyle w:val="Hyperlink"/>
          </w:rPr>
          <w:t>Back to TOC</w:t>
        </w:r>
      </w:hyperlink>
    </w:p>
    <w:p w14:paraId="4D85A4A2" w14:textId="77777777" w:rsidR="00F16DB1" w:rsidRDefault="001E64C6">
      <w:pPr>
        <w:spacing w:after="160"/>
      </w:pPr>
      <w:r>
        <w:t xml:space="preserve">Settings import in this fork is substantially more elaborate than stock </w:t>
      </w:r>
      <w:proofErr w:type="spellStart"/>
      <w:r>
        <w:t>AndroidAPS</w:t>
      </w:r>
      <w:proofErr w:type="spellEnd"/>
      <w:r>
        <w:t xml:space="preserve">. The underlying mechanism is still “clear every </w:t>
      </w:r>
      <w:proofErr w:type="spellStart"/>
      <w:r>
        <w:t>SharedPreferences</w:t>
      </w:r>
      <w:proofErr w:type="spellEnd"/>
      <w:r>
        <w:t xml:space="preserve"> key, then write the file's contents back in” (</w:t>
      </w:r>
      <w:proofErr w:type="spellStart"/>
      <w:r>
        <w:t>ImportExportPrefsImpl.doImportSharedPreferences</w:t>
      </w:r>
      <w:proofErr w:type="spellEnd"/>
      <w:r>
        <w:t>()) — but several fork-specific safeguards sit around that blunt operation.</w:t>
      </w:r>
    </w:p>
    <w:p w14:paraId="1B09C853" w14:textId="77777777" w:rsidR="00F16DB1" w:rsidRDefault="001E64C6">
      <w:pPr>
        <w:pStyle w:val="Heading2"/>
        <w:spacing w:before="280" w:after="120"/>
      </w:pPr>
      <w:bookmarkStart w:id="11" w:name="sec010"/>
      <w:r>
        <w:t>a. Automation States are force-disabled after every import — by design, not a bug</w:t>
      </w:r>
      <w:bookmarkEnd w:id="11"/>
      <w:r>
        <w:t xml:space="preserve"> </w:t>
      </w:r>
      <w:hyperlink w:anchor="TOC">
        <w:r>
          <w:rPr>
            <w:rStyle w:val="Hyperlink"/>
          </w:rPr>
          <w:t>Back to TOC</w:t>
        </w:r>
      </w:hyperlink>
    </w:p>
    <w:p w14:paraId="6156DA16" w14:textId="77777777" w:rsidR="00F16DB1" w:rsidRDefault="001E64C6">
      <w:pPr>
        <w:spacing w:after="160"/>
      </w:pPr>
      <w:r>
        <w:t xml:space="preserve">Immediately after any import (cloud or local), </w:t>
      </w:r>
      <w:proofErr w:type="spellStart"/>
      <w:r>
        <w:t>AutomationStatesEnabled</w:t>
      </w:r>
      <w:proofErr w:type="spellEnd"/>
      <w:r>
        <w:t xml:space="preserve"> is unconditionally written back to false, regardless of what the imported file contained or what this device's setting was beforehand. If the imported file's data does include state definitions/values (detected by checking for the </w:t>
      </w:r>
      <w:proofErr w:type="spellStart"/>
      <w:r>
        <w:t>automation_state_service</w:t>
      </w:r>
      <w:proofErr w:type="spellEnd"/>
      <w:r>
        <w:t>/</w:t>
      </w:r>
      <w:proofErr w:type="spellStart"/>
      <w:r>
        <w:t>automation_state_values</w:t>
      </w:r>
      <w:proofErr w:type="spellEnd"/>
      <w:r>
        <w:t xml:space="preserve"> keys), a dialog then appears with a checkbox — “Enable Automation States now?” — defaulting to UNCHECKED. If you import a backup that relies on states (steroid automations,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5BF97833" w14:textId="77777777" w:rsidR="00F16DB1" w:rsidRDefault="001E64C6">
      <w:pPr>
        <w:spacing w:after="16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spellStart"/>
      <w:proofErr w:type="gramStart"/>
      <w:r>
        <w:t>sp.clear</w:t>
      </w:r>
      <w:proofErr w:type="spellEnd"/>
      <w:proofErr w:type="gramEnd"/>
      <w:r>
        <w:t xml:space="preserve">() still wipes </w:t>
      </w:r>
      <w:proofErr w:type="spellStart"/>
      <w:r>
        <w:t>automation_state_service</w:t>
      </w:r>
      <w:proofErr w:type="spellEnd"/>
      <w:r>
        <w:t>/</w:t>
      </w:r>
      <w:proofErr w:type="spellStart"/>
      <w:r>
        <w:t>automation_state_values</w:t>
      </w:r>
      <w:proofErr w:type="spellEnd"/>
      <w:r>
        <w:t xml:space="preserve">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0C85202F" w14:textId="77777777" w:rsidR="00F16DB1" w:rsidRDefault="001E64C6">
      <w:pPr>
        <w:pStyle w:val="Heading2"/>
        <w:spacing w:before="280" w:after="120"/>
      </w:pPr>
      <w:bookmarkStart w:id="12" w:name="sec011"/>
      <w:r>
        <w:lastRenderedPageBreak/>
        <w:t>b. Import restores states wholesale — where “states I never made myself” can come from</w:t>
      </w:r>
      <w:bookmarkEnd w:id="12"/>
      <w:r>
        <w:t xml:space="preserve"> </w:t>
      </w:r>
      <w:hyperlink w:anchor="TOC">
        <w:r>
          <w:rPr>
            <w:rStyle w:val="Hyperlink"/>
          </w:rPr>
          <w:t>Back to TOC</w:t>
        </w:r>
      </w:hyperlink>
    </w:p>
    <w:p w14:paraId="6A3074E0" w14:textId="77777777" w:rsidR="00F16DB1" w:rsidRDefault="001E64C6">
      <w:pPr>
        <w:spacing w:after="160"/>
      </w:pPr>
      <w:r>
        <w:t xml:space="preserve">Both halves of the States system — </w:t>
      </w:r>
      <w:proofErr w:type="spellStart"/>
      <w:r>
        <w:t>automation_state_service</w:t>
      </w:r>
      <w:proofErr w:type="spellEnd"/>
      <w:r>
        <w:t xml:space="preserve"> (which value each state is currently set to) and </w:t>
      </w:r>
      <w:proofErr w:type="spellStart"/>
      <w:r>
        <w:t>automation_state_values</w:t>
      </w:r>
      <w:proofErr w:type="spellEnd"/>
      <w:r>
        <w:t xml:space="preserve"> (each state's declared allowed-value list) — are ordinary exportable </w:t>
      </w:r>
      <w:proofErr w:type="spellStart"/>
      <w:r>
        <w:t>SharedPreferences</w:t>
      </w:r>
      <w:proofErr w:type="spellEnd"/>
      <w:r>
        <w:t xml:space="preserve"> keys, stored as single JSON blobs. An import wipes and replaces both wholesale from whatever the imported file contains, with no per-state merging. </w:t>
      </w:r>
      <w:proofErr w:type="gramStart"/>
      <w:r>
        <w:t>So</w:t>
      </w:r>
      <w:proofErr w:type="gramEnd"/>
      <w:r>
        <w:t xml:space="preserve">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§2 — an import can still restore a CURRENT VALUE the §2 bootstrap wouldn't have picked (any state/value combination that was ever manually set on any device, not just the 5 states §2 now defaults), and a value restored by import always reflects whatever was really happening on the exporting device at export time, which the bootstrap's fixed, generic defaults cannot know.</w:t>
      </w:r>
    </w:p>
    <w:p w14:paraId="6000B25B" w14:textId="77777777" w:rsidR="00F16DB1" w:rsidRDefault="001E64C6">
      <w:pPr>
        <w:pStyle w:val="Heading2"/>
        <w:spacing w:before="280" w:after="120"/>
      </w:pPr>
      <w:bookmarkStart w:id="13" w:name="sec012"/>
      <w:r>
        <w:t>c. Four “Keep current…” checkboxes not present in stock AAPS</w:t>
      </w:r>
      <w:bookmarkEnd w:id="13"/>
      <w:r>
        <w:t xml:space="preserve"> </w:t>
      </w:r>
      <w:hyperlink w:anchor="TOC">
        <w:r>
          <w:rPr>
            <w:rStyle w:val="Hyperlink"/>
          </w:rPr>
          <w:t>Back to TOC</w:t>
        </w:r>
      </w:hyperlink>
    </w:p>
    <w:p w14:paraId="15C72600" w14:textId="77777777" w:rsidR="00F16DB1" w:rsidRDefault="001E64C6">
      <w:pPr>
        <w:spacing w:after="16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38D4BD0F" w14:textId="77777777">
        <w:trPr>
          <w:tblHeader/>
        </w:trPr>
        <w:tc>
          <w:tcPr>
            <w:tcW w:w="1900" w:type="dxa"/>
            <w:shd w:val="clear" w:color="auto" w:fill="2F5496"/>
            <w:tcMar>
              <w:top w:w="80" w:type="dxa"/>
              <w:left w:w="100" w:type="dxa"/>
              <w:bottom w:w="80" w:type="dxa"/>
              <w:right w:w="100" w:type="dxa"/>
            </w:tcMar>
          </w:tcPr>
          <w:p w14:paraId="140998C8"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4F36EEC5"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0972EBAA"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18C7820C" w14:textId="77777777" w:rsidR="00F16DB1" w:rsidRDefault="001E64C6">
            <w:r>
              <w:rPr>
                <w:b/>
                <w:bCs/>
                <w:color w:val="FFFFFF"/>
                <w:sz w:val="18"/>
                <w:szCs w:val="18"/>
              </w:rPr>
              <w:t>What it preserves</w:t>
            </w:r>
          </w:p>
        </w:tc>
      </w:tr>
      <w:tr w:rsidR="00F16DB1" w14:paraId="0166651A" w14:textId="77777777">
        <w:tc>
          <w:tcPr>
            <w:tcW w:w="1900" w:type="dxa"/>
            <w:tcMar>
              <w:top w:w="80" w:type="dxa"/>
              <w:left w:w="100" w:type="dxa"/>
              <w:bottom w:w="80" w:type="dxa"/>
              <w:right w:w="100" w:type="dxa"/>
            </w:tcMar>
          </w:tcPr>
          <w:p w14:paraId="5465B2DA"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5C8B3D32" w14:textId="77777777" w:rsidR="00F16DB1" w:rsidRDefault="001E64C6">
            <w:r>
              <w:rPr>
                <w:sz w:val="18"/>
                <w:szCs w:val="18"/>
              </w:rPr>
              <w:t xml:space="preserve">the import would change anything in the “pump domain” (driver selection, driver settings, or live session state like an active </w:t>
            </w:r>
            <w:proofErr w:type="spellStart"/>
            <w:r>
              <w:rPr>
                <w:sz w:val="18"/>
                <w:szCs w:val="18"/>
              </w:rPr>
              <w:t>Omnipod</w:t>
            </w:r>
            <w:proofErr w:type="spellEnd"/>
            <w:r>
              <w:rPr>
                <w:sz w:val="18"/>
                <w:szCs w:val="18"/>
              </w:rPr>
              <w:t xml:space="preserve"> pod) on this device</w:t>
            </w:r>
          </w:p>
        </w:tc>
        <w:tc>
          <w:tcPr>
            <w:tcW w:w="1500" w:type="dxa"/>
            <w:tcMar>
              <w:top w:w="80" w:type="dxa"/>
              <w:left w:w="100" w:type="dxa"/>
              <w:bottom w:w="80" w:type="dxa"/>
              <w:right w:w="100" w:type="dxa"/>
            </w:tcMar>
          </w:tcPr>
          <w:p w14:paraId="64B7857F"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6F894D46" w14:textId="77777777" w:rsidR="00F16DB1" w:rsidRDefault="001E64C6">
            <w:r>
              <w:rPr>
                <w:sz w:val="18"/>
                <w:szCs w:val="18"/>
              </w:rPr>
              <w:t xml:space="preserve">Pump driver </w:t>
            </w:r>
            <w:proofErr w:type="spellStart"/>
            <w:r>
              <w:rPr>
                <w:sz w:val="18"/>
                <w:szCs w:val="18"/>
              </w:rPr>
              <w:t>ConfigBuilder</w:t>
            </w:r>
            <w:proofErr w:type="spellEnd"/>
            <w:r>
              <w:rPr>
                <w:sz w:val="18"/>
                <w:szCs w:val="18"/>
              </w:rPr>
              <w:t xml:space="preserve"> selection + that driver's own settings + device session state (</w:t>
            </w:r>
            <w:proofErr w:type="spellStart"/>
            <w:r>
              <w:rPr>
                <w:sz w:val="18"/>
                <w:szCs w:val="18"/>
              </w:rPr>
              <w:t>pod_state</w:t>
            </w:r>
            <w:proofErr w:type="spellEnd"/>
            <w:r>
              <w:rPr>
                <w:sz w:val="18"/>
                <w:szCs w:val="18"/>
              </w:rPr>
              <w:t xml:space="preserve">, </w:t>
            </w:r>
            <w:proofErr w:type="spellStart"/>
            <w:r>
              <w:rPr>
                <w:sz w:val="18"/>
                <w:szCs w:val="18"/>
              </w:rPr>
              <w:t>current_bolus</w:t>
            </w:r>
            <w:proofErr w:type="spellEnd"/>
            <w:r>
              <w:rPr>
                <w:sz w:val="18"/>
                <w:szCs w:val="18"/>
              </w:rPr>
              <w:t>, etc.) — everything else in the file (Safety max basal/bolus, insulin type) still comes from the file</w:t>
            </w:r>
          </w:p>
        </w:tc>
      </w:tr>
      <w:tr w:rsidR="00F16DB1" w14:paraId="6DAFB983" w14:textId="77777777">
        <w:tc>
          <w:tcPr>
            <w:tcW w:w="1900" w:type="dxa"/>
            <w:tcMar>
              <w:top w:w="80" w:type="dxa"/>
              <w:left w:w="100" w:type="dxa"/>
              <w:bottom w:w="80" w:type="dxa"/>
              <w:right w:w="100" w:type="dxa"/>
            </w:tcMar>
          </w:tcPr>
          <w:p w14:paraId="504154DC"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75616186"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33E742AC" w14:textId="77777777" w:rsidR="00F16DB1" w:rsidRDefault="001E64C6">
            <w:r>
              <w:rPr>
                <w:sz w:val="18"/>
                <w:szCs w:val="18"/>
              </w:rPr>
              <w:t>Unchecked</w:t>
            </w:r>
          </w:p>
        </w:tc>
        <w:tc>
          <w:tcPr>
            <w:tcW w:w="3680" w:type="dxa"/>
            <w:tcMar>
              <w:top w:w="80" w:type="dxa"/>
              <w:left w:w="100" w:type="dxa"/>
              <w:bottom w:w="80" w:type="dxa"/>
              <w:right w:w="100" w:type="dxa"/>
            </w:tcMar>
          </w:tcPr>
          <w:p w14:paraId="49F59707" w14:textId="77777777" w:rsidR="00F16DB1" w:rsidRDefault="001E64C6">
            <w:proofErr w:type="spellStart"/>
            <w:r>
              <w:rPr>
                <w:sz w:val="18"/>
                <w:szCs w:val="18"/>
              </w:rPr>
              <w:t>StringKey.GeneralPatientName</w:t>
            </w:r>
            <w:proofErr w:type="spellEnd"/>
            <w:r>
              <w:rPr>
                <w:sz w:val="18"/>
                <w:szCs w:val="18"/>
              </w:rPr>
              <w:t xml:space="preserve"> only</w:t>
            </w:r>
          </w:p>
        </w:tc>
      </w:tr>
      <w:tr w:rsidR="00F16DB1" w14:paraId="1F0CD3D6" w14:textId="77777777">
        <w:tc>
          <w:tcPr>
            <w:tcW w:w="1900" w:type="dxa"/>
            <w:tcMar>
              <w:top w:w="80" w:type="dxa"/>
              <w:left w:w="100" w:type="dxa"/>
              <w:bottom w:w="80" w:type="dxa"/>
              <w:right w:w="100" w:type="dxa"/>
            </w:tcMar>
          </w:tcPr>
          <w:p w14:paraId="096CCBDB"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2DD54E60" w14:textId="77777777" w:rsidR="00F16DB1" w:rsidRDefault="001E64C6">
            <w:r>
              <w:rPr>
                <w:sz w:val="18"/>
                <w:szCs w:val="18"/>
              </w:rPr>
              <w:t>Virtual Pump is active</w:t>
            </w:r>
          </w:p>
        </w:tc>
        <w:tc>
          <w:tcPr>
            <w:tcW w:w="1500" w:type="dxa"/>
            <w:tcMar>
              <w:top w:w="80" w:type="dxa"/>
              <w:left w:w="100" w:type="dxa"/>
              <w:bottom w:w="80" w:type="dxa"/>
              <w:right w:w="100" w:type="dxa"/>
            </w:tcMar>
          </w:tcPr>
          <w:p w14:paraId="6B2C8D18" w14:textId="77777777" w:rsidR="00F16DB1" w:rsidRDefault="001E64C6">
            <w:r>
              <w:rPr>
                <w:sz w:val="18"/>
                <w:szCs w:val="18"/>
              </w:rPr>
              <w:t>Unchecked</w:t>
            </w:r>
          </w:p>
        </w:tc>
        <w:tc>
          <w:tcPr>
            <w:tcW w:w="3680" w:type="dxa"/>
            <w:tcMar>
              <w:top w:w="80" w:type="dxa"/>
              <w:left w:w="100" w:type="dxa"/>
              <w:bottom w:w="80" w:type="dxa"/>
              <w:right w:w="100" w:type="dxa"/>
            </w:tcMar>
          </w:tcPr>
          <w:p w14:paraId="272DB1DB" w14:textId="77777777" w:rsidR="00F16DB1" w:rsidRDefault="001E64C6">
            <w:r>
              <w:rPr>
                <w:sz w:val="18"/>
                <w:szCs w:val="18"/>
              </w:rPr>
              <w:t xml:space="preserve">The BGSOURCE-domain plugin selection plus every core </w:t>
            </w:r>
            <w:proofErr w:type="spellStart"/>
            <w:r>
              <w:rPr>
                <w:sz w:val="18"/>
                <w:szCs w:val="18"/>
              </w:rPr>
              <w:t>BgSource</w:t>
            </w:r>
            <w:proofErr w:type="spellEnd"/>
            <w:r>
              <w:rPr>
                <w:sz w:val="18"/>
                <w:szCs w:val="18"/>
              </w:rPr>
              <w:t>* key</w:t>
            </w:r>
          </w:p>
        </w:tc>
      </w:tr>
      <w:tr w:rsidR="00F16DB1" w14:paraId="5B2D4917" w14:textId="77777777">
        <w:tc>
          <w:tcPr>
            <w:tcW w:w="1900" w:type="dxa"/>
            <w:tcMar>
              <w:top w:w="80" w:type="dxa"/>
              <w:left w:w="100" w:type="dxa"/>
              <w:bottom w:w="80" w:type="dxa"/>
              <w:right w:w="100" w:type="dxa"/>
            </w:tcMar>
          </w:tcPr>
          <w:p w14:paraId="4A2771D6"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66470850" w14:textId="77777777" w:rsidR="00F16DB1" w:rsidRDefault="001E64C6">
            <w:r>
              <w:rPr>
                <w:sz w:val="18"/>
                <w:szCs w:val="18"/>
              </w:rPr>
              <w:t>Virtual Pump is active</w:t>
            </w:r>
          </w:p>
        </w:tc>
        <w:tc>
          <w:tcPr>
            <w:tcW w:w="1500" w:type="dxa"/>
            <w:tcMar>
              <w:top w:w="80" w:type="dxa"/>
              <w:left w:w="100" w:type="dxa"/>
              <w:bottom w:w="80" w:type="dxa"/>
              <w:right w:w="100" w:type="dxa"/>
            </w:tcMar>
          </w:tcPr>
          <w:p w14:paraId="4E16E2A4" w14:textId="77777777" w:rsidR="00F16DB1" w:rsidRDefault="001E64C6">
            <w:r>
              <w:rPr>
                <w:sz w:val="18"/>
                <w:szCs w:val="18"/>
              </w:rPr>
              <w:t>Unchecked</w:t>
            </w:r>
          </w:p>
        </w:tc>
        <w:tc>
          <w:tcPr>
            <w:tcW w:w="3680" w:type="dxa"/>
            <w:tcMar>
              <w:top w:w="80" w:type="dxa"/>
              <w:left w:w="100" w:type="dxa"/>
              <w:bottom w:w="80" w:type="dxa"/>
              <w:right w:w="100" w:type="dxa"/>
            </w:tcMar>
          </w:tcPr>
          <w:p w14:paraId="5F0197E6" w14:textId="77777777" w:rsidR="00F16DB1" w:rsidRDefault="001E64C6">
            <w:r>
              <w:rPr>
                <w:sz w:val="18"/>
                <w:szCs w:val="18"/>
              </w:rPr>
              <w:t xml:space="preserve">The SYNC-domain plugin selection plus every core </w:t>
            </w:r>
            <w:proofErr w:type="spellStart"/>
            <w:r>
              <w:rPr>
                <w:sz w:val="18"/>
                <w:szCs w:val="18"/>
              </w:rPr>
              <w:t>NsClient</w:t>
            </w:r>
            <w:proofErr w:type="spellEnd"/>
            <w:r>
              <w:rPr>
                <w:sz w:val="18"/>
                <w:szCs w:val="18"/>
              </w:rPr>
              <w:t>*/Tidepool*/</w:t>
            </w:r>
            <w:proofErr w:type="spellStart"/>
            <w:r>
              <w:rPr>
                <w:sz w:val="18"/>
                <w:szCs w:val="18"/>
              </w:rPr>
              <w:t>OpenHumans</w:t>
            </w:r>
            <w:proofErr w:type="spellEnd"/>
            <w:r>
              <w:rPr>
                <w:sz w:val="18"/>
                <w:szCs w:val="18"/>
              </w:rPr>
              <w:t>*/</w:t>
            </w:r>
            <w:proofErr w:type="spellStart"/>
            <w:r>
              <w:rPr>
                <w:sz w:val="18"/>
                <w:szCs w:val="18"/>
              </w:rPr>
              <w:t>Xdrip</w:t>
            </w:r>
            <w:proofErr w:type="spellEnd"/>
            <w:r>
              <w:rPr>
                <w:sz w:val="18"/>
                <w:szCs w:val="18"/>
              </w:rPr>
              <w:t>* key (NS URL, password/token, sync toggles)</w:t>
            </w:r>
          </w:p>
        </w:tc>
      </w:tr>
    </w:tbl>
    <w:p w14:paraId="7359DED4" w14:textId="77777777" w:rsidR="00F16DB1" w:rsidRDefault="001E64C6">
      <w:pPr>
        <w:spacing w:after="16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59C6654C" w14:textId="77777777" w:rsidR="00F16DB1" w:rsidRDefault="001E64C6">
      <w:pPr>
        <w:spacing w:after="160"/>
      </w:pPr>
      <w:r>
        <w:rPr>
          <w:i/>
          <w:iCs/>
        </w:rPr>
        <w:t xml:space="preserve">A separate, older precedent for the same “keep one thing across the </w:t>
      </w:r>
      <w:proofErr w:type="gramStart"/>
      <w:r>
        <w:rPr>
          <w:i/>
          <w:iCs/>
        </w:rPr>
        <w:t>clear(</w:t>
      </w:r>
      <w:proofErr w:type="gramEnd"/>
      <w:r>
        <w:rPr>
          <w:i/>
          <w:iCs/>
        </w:rPr>
        <w:t xml:space="preserve">)” pattern: </w:t>
      </w:r>
      <w:proofErr w:type="spellStart"/>
      <w:r>
        <w:rPr>
          <w:i/>
          <w:iCs/>
        </w:rPr>
        <w:t>StringKey.AapsDirectoryUri</w:t>
      </w:r>
      <w:proofErr w:type="spellEnd"/>
      <w:r>
        <w:rPr>
          <w:i/>
          <w:iCs/>
        </w:rPr>
        <w:t xml:space="preserve"> (the AAPS working-folder URI) is always snapshotted and restored automatically, with no checkbox — it's considered device plumbing, never something a backup file should be allowed to move.</w:t>
      </w:r>
    </w:p>
    <w:p w14:paraId="2B28FF3C" w14:textId="77777777" w:rsidR="00F16DB1" w:rsidRDefault="001E64C6">
      <w:pPr>
        <w:pStyle w:val="Heading1"/>
        <w:spacing w:before="400" w:after="200"/>
      </w:pPr>
      <w:bookmarkStart w:id="14" w:name="sec013"/>
      <w:r>
        <w:t>4. Settings That Materially Affect Day-to-Day Function</w:t>
      </w:r>
      <w:bookmarkEnd w:id="14"/>
      <w:r>
        <w:t xml:space="preserve"> </w:t>
      </w:r>
      <w:hyperlink w:anchor="TOC">
        <w:r>
          <w:rPr>
            <w:rStyle w:val="Hyperlink"/>
          </w:rPr>
          <w:t>Back to TOC</w:t>
        </w:r>
      </w:hyperlink>
    </w:p>
    <w:p w14:paraId="5ED4667B" w14:textId="77777777" w:rsidR="00F16DB1" w:rsidRDefault="001E64C6">
      <w:pPr>
        <w:spacing w:after="160"/>
      </w:pPr>
      <w:r>
        <w:t>The full settings tree (~65 entries) is documented setting-by-setting in the companion “</w:t>
      </w:r>
      <w:proofErr w:type="spellStart"/>
      <w:r>
        <w:t>AutoISF</w:t>
      </w:r>
      <w:proofErr w:type="spellEnd"/>
      <w:r>
        <w:t xml:space="preserve"> Settings Reference”. This section instead highlights the handful whose day-to-day real-world effect is outsized relative to how easy they are to change by accident, or how non-obvious their interaction with something else is.</w:t>
      </w:r>
    </w:p>
    <w:p w14:paraId="156C53AE" w14:textId="77777777" w:rsidR="00F16DB1" w:rsidRDefault="001E64C6">
      <w:pPr>
        <w:pStyle w:val="Heading2"/>
        <w:spacing w:before="280" w:after="120"/>
      </w:pPr>
      <w:bookmarkStart w:id="15" w:name="sec014"/>
      <w:r>
        <w:t>a. The SMB delivery brake</w:t>
      </w:r>
      <w:bookmarkEnd w:id="15"/>
      <w:r>
        <w:t xml:space="preserve"> </w:t>
      </w:r>
      <w:hyperlink w:anchor="TOC">
        <w:r>
          <w:rPr>
            <w:rStyle w:val="Hyperlink"/>
          </w:rPr>
          <w:t>Back to TOC</w:t>
        </w:r>
      </w:hyperlink>
    </w:p>
    <w:p w14:paraId="77D2E943" w14:textId="77777777" w:rsidR="00F16DB1" w:rsidRDefault="001E64C6">
      <w:pPr>
        <w:spacing w:after="100"/>
      </w:pPr>
      <w:r>
        <w:t>• FIXED SMB delivery ratio (</w:t>
      </w:r>
      <w:proofErr w:type="spellStart"/>
      <w:r>
        <w:t>smb_delivery_ratio</w:t>
      </w:r>
      <w:proofErr w:type="spellEnd"/>
      <w:r>
        <w:t xml:space="preserve">) — the single biggest lever on how much of a calculated insulin requirement gets delivered as one SMB. It is also the silent source value for the (GUI-less) “UAM Boost insulin req %” </w:t>
      </w:r>
      <w:r>
        <w:lastRenderedPageBreak/>
        <w:t xml:space="preserve">internal setting — changing this ratio changes UAM Boost's bypass </w:t>
      </w:r>
      <w:proofErr w:type="spellStart"/>
      <w:r>
        <w:t>behavior</w:t>
      </w:r>
      <w:proofErr w:type="spellEnd"/>
      <w:r>
        <w:t xml:space="preserve"> too, even though nothing on the Boost screen says so.</w:t>
      </w:r>
    </w:p>
    <w:p w14:paraId="714BB23D" w14:textId="77777777" w:rsidR="00F16DB1" w:rsidRDefault="001E64C6">
      <w:pPr>
        <w:spacing w:after="100"/>
      </w:pPr>
      <w:r>
        <w:t xml:space="preserve">• </w:t>
      </w:r>
      <w:proofErr w:type="spellStart"/>
      <w:r>
        <w:t>maxIOB</w:t>
      </w:r>
      <w:proofErr w:type="spellEnd"/>
      <w:r>
        <w:t xml:space="preserve"> threshold percent for SMB (</w:t>
      </w:r>
      <w:proofErr w:type="spellStart"/>
      <w:r>
        <w:t>iob_threshold_percent</w:t>
      </w:r>
      <w:proofErr w:type="spellEnd"/>
      <w:r>
        <w:t>) — defaults to 100% (effectively off, governed only by the hard max-IOB cap). Lowering it adds a second, earlier IOB-based SMB cutoff that's easy to forget is active once set.</w:t>
      </w:r>
    </w:p>
    <w:p w14:paraId="0001B497" w14:textId="77777777" w:rsidR="00F16DB1" w:rsidRDefault="001E64C6">
      <w:pPr>
        <w:pStyle w:val="Heading2"/>
        <w:spacing w:before="280" w:after="120"/>
      </w:pPr>
      <w:bookmarkStart w:id="16" w:name="sec015"/>
      <w:r>
        <w:t>b. The weight system's Resting/Boosted pairs</w:t>
      </w:r>
      <w:bookmarkEnd w:id="16"/>
      <w:r>
        <w:t xml:space="preserve"> </w:t>
      </w:r>
      <w:hyperlink w:anchor="TOC">
        <w:r>
          <w:rPr>
            <w:rStyle w:val="Hyperlink"/>
          </w:rPr>
          <w:t>Back to TOC</w:t>
        </w:r>
      </w:hyperlink>
    </w:p>
    <w:p w14:paraId="5C79C405" w14:textId="77777777" w:rsidR="00F16DB1" w:rsidRDefault="001E64C6">
      <w:pPr>
        <w:spacing w:after="16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4661D261" w14:textId="77777777" w:rsidR="00F16DB1" w:rsidRDefault="001E64C6">
      <w:pPr>
        <w:pStyle w:val="Heading2"/>
        <w:spacing w:before="280" w:after="120"/>
      </w:pPr>
      <w:bookmarkStart w:id="17" w:name="sec016"/>
      <w:r>
        <w:t>c. TDD factor / sensitivity toggles</w:t>
      </w:r>
      <w:bookmarkEnd w:id="17"/>
      <w:r>
        <w:t xml:space="preserve"> </w:t>
      </w:r>
      <w:hyperlink w:anchor="TOC">
        <w:r>
          <w:rPr>
            <w:rStyle w:val="Hyperlink"/>
          </w:rPr>
          <w:t>Back to TOC</w:t>
        </w:r>
      </w:hyperlink>
    </w:p>
    <w:p w14:paraId="31D09D6B" w14:textId="77777777" w:rsidR="00F16DB1" w:rsidRDefault="001E64C6">
      <w:pPr>
        <w:spacing w:after="160"/>
      </w:pPr>
      <w:r>
        <w:t>TDD Sensitivity (ISF/Basal) and TDD Factor (</w:t>
      </w:r>
      <w:proofErr w:type="spellStart"/>
      <w:r>
        <w:t>max_iob</w:t>
      </w:r>
      <w:proofErr w:type="spellEnd"/>
      <w:r>
        <w:t>/</w:t>
      </w:r>
      <w:proofErr w:type="spellStart"/>
      <w:r>
        <w:t>insulinReq</w:t>
      </w:r>
      <w:proofErr w:type="spellEnd"/>
      <w:r>
        <w:t xml:space="preserve">)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2B33E4F8" w14:textId="77777777" w:rsidR="00F16DB1" w:rsidRDefault="001E64C6">
      <w:pPr>
        <w:pStyle w:val="Heading2"/>
        <w:spacing w:before="280" w:after="120"/>
      </w:pPr>
      <w:bookmarkStart w:id="18" w:name="sec017"/>
      <w:r>
        <w:t>d. The overnight safety-guard architecture</w:t>
      </w:r>
      <w:bookmarkEnd w:id="18"/>
      <w:r>
        <w:t xml:space="preserve"> </w:t>
      </w:r>
      <w:hyperlink w:anchor="TOC">
        <w:r>
          <w:rPr>
            <w:rStyle w:val="Hyperlink"/>
          </w:rPr>
          <w:t>Back to TOC</w:t>
        </w:r>
      </w:hyperlink>
    </w:p>
    <w:p w14:paraId="00E3C26F" w14:textId="77777777" w:rsidR="00F16DB1" w:rsidRDefault="001E64C6">
      <w:pPr>
        <w:spacing w:after="160"/>
      </w:pPr>
      <w:r>
        <w:t xml:space="preserve">Built after two real </w:t>
      </w:r>
      <w:proofErr w:type="spellStart"/>
      <w:r>
        <w:t>hypoglycemia</w:t>
      </w:r>
      <w:proofErr w:type="spellEnd"/>
      <w:r>
        <w:t xml:space="preserve"> incidents (27 Jul and 6–7 Aug 2026), this is the most safety-critical cluster of settings/automations in the fork: </w:t>
      </w:r>
      <w:proofErr w:type="spellStart"/>
      <w:r>
        <w:t>NightIobCeiling</w:t>
      </w:r>
      <w:proofErr w:type="spellEnd"/>
      <w:r>
        <w:t xml:space="preserve"> (00:00–06:00) and </w:t>
      </w:r>
      <w:proofErr w:type="spellStart"/>
      <w:r>
        <w:t>EveningIobCeiling</w:t>
      </w:r>
      <w:proofErr w:type="spellEnd"/>
      <w:r>
        <w:t xml:space="preserve"> (20:00–00:00) cap </w:t>
      </w:r>
      <w:proofErr w:type="spellStart"/>
      <w:r>
        <w:t>iobTH</w:t>
      </w:r>
      <w:proofErr w:type="spellEnd"/>
      <w:r>
        <w:t>/</w:t>
      </w:r>
      <w:proofErr w:type="spellStart"/>
      <w:r>
        <w:t>acce</w:t>
      </w:r>
      <w:proofErr w:type="spellEnd"/>
      <w:r>
        <w:t xml:space="preserve"> weight purely on time + current value; an escalating SMB anti-stacking trim plus a cumulative 10-minute SMB-sum cap in </w:t>
      </w:r>
      <w:proofErr w:type="spellStart"/>
      <w:r>
        <w:t>DetermineBasalAutoISF.kt</w:t>
      </w:r>
      <w:proofErr w:type="spellEnd"/>
      <w:r>
        <w:t xml:space="preserve"> measure delivered amount rather than rate; four sites unconditionally switch to the Low profile 22:00–06:00; and </w:t>
      </w:r>
      <w:proofErr w:type="spellStart"/>
      <w:r>
        <w:t>OvernightDuraRescue</w:t>
      </w:r>
      <w:proofErr w:type="spellEnd"/>
      <w:r>
        <w:t xml:space="preserve"> is a 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w:t>
      </w:r>
      <w:proofErr w:type="spellStart"/>
      <w:r>
        <w:t>CLAUDE.md's</w:t>
      </w:r>
      <w:proofErr w:type="spellEnd"/>
      <w:r>
        <w:t xml:space="preserve"> own documentation of this architecture for the full mechanism and the known </w:t>
      </w:r>
      <w:proofErr w:type="spellStart"/>
      <w:r>
        <w:t>EveningTH</w:t>
      </w:r>
      <w:proofErr w:type="spellEnd"/>
      <w:r>
        <w:t>/</w:t>
      </w:r>
      <w:proofErr w:type="spellStart"/>
      <w:r>
        <w:t>NightIobCeiling</w:t>
      </w:r>
      <w:proofErr w:type="spellEnd"/>
      <w:r>
        <w:t xml:space="preserve"> flip-flop regression pattern (§ “Other idiosyncrasies” below has the short version).</w:t>
      </w:r>
    </w:p>
    <w:p w14:paraId="3CA6C29D" w14:textId="77777777" w:rsidR="00F16DB1" w:rsidRDefault="001E64C6">
      <w:pPr>
        <w:pStyle w:val="Heading1"/>
        <w:spacing w:before="400" w:after="200"/>
      </w:pPr>
      <w:bookmarkStart w:id="19" w:name="sec018"/>
      <w:r>
        <w:t>5. Setting: If Steroids Are Needed</w:t>
      </w:r>
      <w:bookmarkEnd w:id="19"/>
      <w:r>
        <w:t xml:space="preserve"> </w:t>
      </w:r>
      <w:hyperlink w:anchor="TOC">
        <w:r>
          <w:rPr>
            <w:rStyle w:val="Hyperlink"/>
          </w:rPr>
          <w:t>Back to TOC</w:t>
        </w:r>
      </w:hyperlink>
    </w:p>
    <w:p w14:paraId="6484D3E8"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§6).</w:t>
      </w:r>
    </w:p>
    <w:p w14:paraId="56C24C89" w14:textId="77777777" w:rsidR="00F16DB1" w:rsidRDefault="001E64C6">
      <w:pPr>
        <w:pStyle w:val="Heading2"/>
        <w:spacing w:before="280" w:after="120"/>
      </w:pPr>
      <w:bookmarkStart w:id="20" w:name="sec019"/>
      <w:r>
        <w:t>a. Turning it on</w:t>
      </w:r>
      <w:bookmarkEnd w:id="20"/>
      <w:r>
        <w:t xml:space="preserve"> </w:t>
      </w:r>
      <w:hyperlink w:anchor="TOC">
        <w:r>
          <w:rPr>
            <w:rStyle w:val="Hyperlink"/>
          </w:rPr>
          <w:t>Back to TOC</w:t>
        </w:r>
      </w:hyperlink>
    </w:p>
    <w:p w14:paraId="76FF1B21" w14:textId="77777777" w:rsidR="00F16DB1" w:rsidRDefault="001E64C6">
      <w:pPr>
        <w:spacing w:after="100"/>
      </w:pPr>
      <w:r>
        <w:t>• GUI: “Steroid Kotlin button” setting (</w:t>
      </w:r>
      <w:proofErr w:type="spellStart"/>
      <w:r>
        <w:t>autoisf_steroid_kotlin_button_enabled</w:t>
      </w:r>
      <w:proofErr w:type="spellEnd"/>
      <w:r>
        <w:t>, default on) shows a direct “Steroids ON” button on the Overview screen.</w:t>
      </w:r>
    </w:p>
    <w:p w14:paraId="33C0A864" w14:textId="77777777" w:rsidR="00F16DB1" w:rsidRDefault="001E64C6">
      <w:pPr>
        <w:spacing w:after="100"/>
      </w:pPr>
      <w:r>
        <w:t xml:space="preserve">• Requires: </w:t>
      </w:r>
      <w:proofErr w:type="spellStart"/>
      <w:r>
        <w:t>BooleanKey.AutomationStatesEnabled</w:t>
      </w:r>
      <w:proofErr w:type="spellEnd"/>
      <w:r>
        <w:t xml:space="preserve"> must be on (see §2) — the whole chain silently no-ops otherwise.</w:t>
      </w:r>
    </w:p>
    <w:p w14:paraId="0108D149" w14:textId="77777777" w:rsidR="00F16DB1" w:rsidRDefault="001E64C6">
      <w:pPr>
        <w:spacing w:after="100"/>
      </w:pPr>
      <w:r>
        <w:t>• Also reachable via a direct TT-code (a specific temp-target value used purely as a signal, not a real target) for remote/automated triggering without opening the app — see §7 for how TT-codes are used generally in this fork.</w:t>
      </w:r>
    </w:p>
    <w:p w14:paraId="4A517F89" w14:textId="77777777" w:rsidR="00F16DB1" w:rsidRDefault="001E64C6">
      <w:pPr>
        <w:pStyle w:val="Heading2"/>
        <w:spacing w:before="280" w:after="120"/>
      </w:pPr>
      <w:bookmarkStart w:id="21" w:name="sec020"/>
      <w:r>
        <w:t>b. The escalation ladder</w:t>
      </w:r>
      <w:bookmarkEnd w:id="21"/>
      <w:r>
        <w:t xml:space="preserve"> </w:t>
      </w:r>
      <w:hyperlink w:anchor="TOC">
        <w:r>
          <w:rPr>
            <w:rStyle w:val="Hyperlink"/>
          </w:rPr>
          <w:t>Back to TOC</w:t>
        </w:r>
      </w:hyperlink>
    </w:p>
    <w:p w14:paraId="33969672" w14:textId="77777777" w:rsidR="00F16DB1" w:rsidRDefault="001E64C6">
      <w:pPr>
        <w:spacing w:after="160"/>
      </w:pPr>
      <w:r>
        <w:t xml:space="preserve">Each step requires the previous step's Automation State + profile match to still hold, switches to a named Steroid profile, and bumps </w:t>
      </w:r>
      <w:proofErr w:type="spellStart"/>
      <w:r>
        <w:t>iobTH</w:t>
      </w:r>
      <w:proofErr w:type="spellEnd"/>
      <w:r>
        <w:t xml:space="preserve"> percent and </w:t>
      </w:r>
      <w:proofErr w:type="spellStart"/>
      <w:r>
        <w:t>bgAccel_ISF_weight</w:t>
      </w:r>
      <w:proofErr w:type="spellEnd"/>
      <w:r>
        <w:t xml:space="preserve">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2C55147D" w14:textId="77777777">
        <w:trPr>
          <w:tblHeader/>
        </w:trPr>
        <w:tc>
          <w:tcPr>
            <w:tcW w:w="2600" w:type="dxa"/>
            <w:shd w:val="clear" w:color="auto" w:fill="2F5496"/>
            <w:tcMar>
              <w:top w:w="80" w:type="dxa"/>
              <w:left w:w="100" w:type="dxa"/>
              <w:bottom w:w="80" w:type="dxa"/>
              <w:right w:w="100" w:type="dxa"/>
            </w:tcMar>
          </w:tcPr>
          <w:p w14:paraId="33165308"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A7C158C"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5538C2E" w14:textId="77777777" w:rsidR="00F16DB1" w:rsidRDefault="001E64C6">
            <w:proofErr w:type="spellStart"/>
            <w:r>
              <w:rPr>
                <w:b/>
                <w:bCs/>
                <w:color w:val="FFFFFF"/>
                <w:sz w:val="18"/>
                <w:szCs w:val="18"/>
              </w:rPr>
              <w:t>iobTH</w:t>
            </w:r>
            <w:proofErr w:type="spellEnd"/>
            <w:r>
              <w:rPr>
                <w:b/>
                <w:bCs/>
                <w:color w:val="FFFFFF"/>
                <w:sz w:val="18"/>
                <w:szCs w:val="18"/>
              </w:rPr>
              <w:t xml:space="preserve"> %</w:t>
            </w:r>
          </w:p>
        </w:tc>
        <w:tc>
          <w:tcPr>
            <w:tcW w:w="1780" w:type="dxa"/>
            <w:shd w:val="clear" w:color="auto" w:fill="2F5496"/>
            <w:tcMar>
              <w:top w:w="80" w:type="dxa"/>
              <w:left w:w="100" w:type="dxa"/>
              <w:bottom w:w="80" w:type="dxa"/>
              <w:right w:w="100" w:type="dxa"/>
            </w:tcMar>
          </w:tcPr>
          <w:p w14:paraId="71357EF9" w14:textId="77777777" w:rsidR="00F16DB1" w:rsidRDefault="001E64C6">
            <w:proofErr w:type="spellStart"/>
            <w:r>
              <w:rPr>
                <w:b/>
                <w:bCs/>
                <w:color w:val="FFFFFF"/>
                <w:sz w:val="18"/>
                <w:szCs w:val="18"/>
              </w:rPr>
              <w:t>bgAccel</w:t>
            </w:r>
            <w:proofErr w:type="spellEnd"/>
            <w:r>
              <w:rPr>
                <w:b/>
                <w:bCs/>
                <w:color w:val="FFFFFF"/>
                <w:sz w:val="18"/>
                <w:szCs w:val="18"/>
              </w:rPr>
              <w:t xml:space="preserve"> weight</w:t>
            </w:r>
          </w:p>
        </w:tc>
      </w:tr>
      <w:tr w:rsidR="00F16DB1" w14:paraId="0E5025EB" w14:textId="77777777">
        <w:tc>
          <w:tcPr>
            <w:tcW w:w="2600" w:type="dxa"/>
            <w:tcMar>
              <w:top w:w="80" w:type="dxa"/>
              <w:left w:w="100" w:type="dxa"/>
              <w:bottom w:w="80" w:type="dxa"/>
              <w:right w:w="100" w:type="dxa"/>
            </w:tcMar>
          </w:tcPr>
          <w:p w14:paraId="56FFC6F7" w14:textId="77777777" w:rsidR="00F16DB1" w:rsidRDefault="001E64C6">
            <w:r>
              <w:rPr>
                <w:sz w:val="18"/>
                <w:szCs w:val="18"/>
              </w:rPr>
              <w:t>START (110%)</w:t>
            </w:r>
          </w:p>
        </w:tc>
        <w:tc>
          <w:tcPr>
            <w:tcW w:w="3400" w:type="dxa"/>
            <w:tcMar>
              <w:top w:w="80" w:type="dxa"/>
              <w:left w:w="100" w:type="dxa"/>
              <w:bottom w:w="80" w:type="dxa"/>
              <w:right w:w="100" w:type="dxa"/>
            </w:tcMar>
          </w:tcPr>
          <w:p w14:paraId="2D80DD7B" w14:textId="77777777" w:rsidR="00F16DB1" w:rsidRDefault="001E64C6">
            <w:r>
              <w:rPr>
                <w:sz w:val="18"/>
                <w:szCs w:val="18"/>
              </w:rPr>
              <w:t>Steroid Profile110</w:t>
            </w:r>
          </w:p>
        </w:tc>
        <w:tc>
          <w:tcPr>
            <w:tcW w:w="1300" w:type="dxa"/>
            <w:tcMar>
              <w:top w:w="80" w:type="dxa"/>
              <w:left w:w="100" w:type="dxa"/>
              <w:bottom w:w="80" w:type="dxa"/>
              <w:right w:w="100" w:type="dxa"/>
            </w:tcMar>
          </w:tcPr>
          <w:p w14:paraId="43BD72CD" w14:textId="77777777" w:rsidR="00F16DB1" w:rsidRDefault="001E64C6">
            <w:r>
              <w:rPr>
                <w:sz w:val="18"/>
                <w:szCs w:val="18"/>
              </w:rPr>
              <w:t>71</w:t>
            </w:r>
          </w:p>
        </w:tc>
        <w:tc>
          <w:tcPr>
            <w:tcW w:w="1780" w:type="dxa"/>
            <w:tcMar>
              <w:top w:w="80" w:type="dxa"/>
              <w:left w:w="100" w:type="dxa"/>
              <w:bottom w:w="80" w:type="dxa"/>
              <w:right w:w="100" w:type="dxa"/>
            </w:tcMar>
          </w:tcPr>
          <w:p w14:paraId="55EA0860" w14:textId="77777777" w:rsidR="00F16DB1" w:rsidRDefault="001E64C6">
            <w:r>
              <w:rPr>
                <w:sz w:val="18"/>
                <w:szCs w:val="18"/>
              </w:rPr>
              <w:t>0.70</w:t>
            </w:r>
          </w:p>
        </w:tc>
      </w:tr>
      <w:tr w:rsidR="00F16DB1" w14:paraId="6A4A84EC" w14:textId="77777777">
        <w:tc>
          <w:tcPr>
            <w:tcW w:w="2600" w:type="dxa"/>
            <w:tcMar>
              <w:top w:w="80" w:type="dxa"/>
              <w:left w:w="100" w:type="dxa"/>
              <w:bottom w:w="80" w:type="dxa"/>
              <w:right w:w="100" w:type="dxa"/>
            </w:tcMar>
          </w:tcPr>
          <w:p w14:paraId="33CB5016" w14:textId="77777777" w:rsidR="00F16DB1" w:rsidRDefault="001E64C6">
            <w:r>
              <w:rPr>
                <w:sz w:val="18"/>
                <w:szCs w:val="18"/>
              </w:rPr>
              <w:t>INCREASE (130%)</w:t>
            </w:r>
          </w:p>
        </w:tc>
        <w:tc>
          <w:tcPr>
            <w:tcW w:w="3400" w:type="dxa"/>
            <w:tcMar>
              <w:top w:w="80" w:type="dxa"/>
              <w:left w:w="100" w:type="dxa"/>
              <w:bottom w:w="80" w:type="dxa"/>
              <w:right w:w="100" w:type="dxa"/>
            </w:tcMar>
          </w:tcPr>
          <w:p w14:paraId="19CC19D0" w14:textId="77777777" w:rsidR="00F16DB1" w:rsidRDefault="001E64C6">
            <w:r>
              <w:rPr>
                <w:sz w:val="18"/>
                <w:szCs w:val="18"/>
              </w:rPr>
              <w:t>Steroid Profile130</w:t>
            </w:r>
          </w:p>
        </w:tc>
        <w:tc>
          <w:tcPr>
            <w:tcW w:w="1300" w:type="dxa"/>
            <w:tcMar>
              <w:top w:w="80" w:type="dxa"/>
              <w:left w:w="100" w:type="dxa"/>
              <w:bottom w:w="80" w:type="dxa"/>
              <w:right w:w="100" w:type="dxa"/>
            </w:tcMar>
          </w:tcPr>
          <w:p w14:paraId="4606EE6B" w14:textId="77777777" w:rsidR="00F16DB1" w:rsidRDefault="001E64C6">
            <w:r>
              <w:rPr>
                <w:sz w:val="18"/>
                <w:szCs w:val="18"/>
              </w:rPr>
              <w:t>73</w:t>
            </w:r>
          </w:p>
        </w:tc>
        <w:tc>
          <w:tcPr>
            <w:tcW w:w="1780" w:type="dxa"/>
            <w:tcMar>
              <w:top w:w="80" w:type="dxa"/>
              <w:left w:w="100" w:type="dxa"/>
              <w:bottom w:w="80" w:type="dxa"/>
              <w:right w:w="100" w:type="dxa"/>
            </w:tcMar>
          </w:tcPr>
          <w:p w14:paraId="12F55F02" w14:textId="77777777" w:rsidR="00F16DB1" w:rsidRDefault="001E64C6">
            <w:r>
              <w:rPr>
                <w:sz w:val="18"/>
                <w:szCs w:val="18"/>
              </w:rPr>
              <w:t>0.70</w:t>
            </w:r>
          </w:p>
        </w:tc>
      </w:tr>
      <w:tr w:rsidR="00F16DB1" w14:paraId="5F399F24" w14:textId="77777777">
        <w:tc>
          <w:tcPr>
            <w:tcW w:w="2600" w:type="dxa"/>
            <w:tcMar>
              <w:top w:w="80" w:type="dxa"/>
              <w:left w:w="100" w:type="dxa"/>
              <w:bottom w:w="80" w:type="dxa"/>
              <w:right w:w="100" w:type="dxa"/>
            </w:tcMar>
          </w:tcPr>
          <w:p w14:paraId="47DA5096" w14:textId="77777777" w:rsidR="00F16DB1" w:rsidRDefault="001E64C6">
            <w:r>
              <w:rPr>
                <w:sz w:val="18"/>
                <w:szCs w:val="18"/>
              </w:rPr>
              <w:lastRenderedPageBreak/>
              <w:t>INCREASE (150%)</w:t>
            </w:r>
          </w:p>
        </w:tc>
        <w:tc>
          <w:tcPr>
            <w:tcW w:w="3400" w:type="dxa"/>
            <w:tcMar>
              <w:top w:w="80" w:type="dxa"/>
              <w:left w:w="100" w:type="dxa"/>
              <w:bottom w:w="80" w:type="dxa"/>
              <w:right w:w="100" w:type="dxa"/>
            </w:tcMar>
          </w:tcPr>
          <w:p w14:paraId="1D527831" w14:textId="77777777" w:rsidR="00F16DB1" w:rsidRDefault="001E64C6">
            <w:r>
              <w:rPr>
                <w:sz w:val="18"/>
                <w:szCs w:val="18"/>
              </w:rPr>
              <w:t>Steroid Profile150</w:t>
            </w:r>
          </w:p>
        </w:tc>
        <w:tc>
          <w:tcPr>
            <w:tcW w:w="1300" w:type="dxa"/>
            <w:tcMar>
              <w:top w:w="80" w:type="dxa"/>
              <w:left w:w="100" w:type="dxa"/>
              <w:bottom w:w="80" w:type="dxa"/>
              <w:right w:w="100" w:type="dxa"/>
            </w:tcMar>
          </w:tcPr>
          <w:p w14:paraId="7FD9A047" w14:textId="77777777" w:rsidR="00F16DB1" w:rsidRDefault="001E64C6">
            <w:r>
              <w:rPr>
                <w:sz w:val="18"/>
                <w:szCs w:val="18"/>
              </w:rPr>
              <w:t>74</w:t>
            </w:r>
          </w:p>
        </w:tc>
        <w:tc>
          <w:tcPr>
            <w:tcW w:w="1780" w:type="dxa"/>
            <w:tcMar>
              <w:top w:w="80" w:type="dxa"/>
              <w:left w:w="100" w:type="dxa"/>
              <w:bottom w:w="80" w:type="dxa"/>
              <w:right w:w="100" w:type="dxa"/>
            </w:tcMar>
          </w:tcPr>
          <w:p w14:paraId="5AE6B1A3" w14:textId="77777777" w:rsidR="00F16DB1" w:rsidRDefault="001E64C6">
            <w:r>
              <w:rPr>
                <w:sz w:val="18"/>
                <w:szCs w:val="18"/>
              </w:rPr>
              <w:t>0.70</w:t>
            </w:r>
          </w:p>
        </w:tc>
      </w:tr>
      <w:tr w:rsidR="00F16DB1" w14:paraId="5906FC1E" w14:textId="77777777">
        <w:tc>
          <w:tcPr>
            <w:tcW w:w="2600" w:type="dxa"/>
            <w:tcMar>
              <w:top w:w="80" w:type="dxa"/>
              <w:left w:w="100" w:type="dxa"/>
              <w:bottom w:w="80" w:type="dxa"/>
              <w:right w:w="100" w:type="dxa"/>
            </w:tcMar>
          </w:tcPr>
          <w:p w14:paraId="409B1B9E" w14:textId="77777777" w:rsidR="00F16DB1" w:rsidRDefault="001E64C6">
            <w:r>
              <w:rPr>
                <w:sz w:val="18"/>
                <w:szCs w:val="18"/>
              </w:rPr>
              <w:t>INCREASE (190%)</w:t>
            </w:r>
          </w:p>
        </w:tc>
        <w:tc>
          <w:tcPr>
            <w:tcW w:w="3400" w:type="dxa"/>
            <w:tcMar>
              <w:top w:w="80" w:type="dxa"/>
              <w:left w:w="100" w:type="dxa"/>
              <w:bottom w:w="80" w:type="dxa"/>
              <w:right w:w="100" w:type="dxa"/>
            </w:tcMar>
          </w:tcPr>
          <w:p w14:paraId="197F59B0" w14:textId="77777777" w:rsidR="00F16DB1" w:rsidRDefault="001E64C6">
            <w:r>
              <w:rPr>
                <w:sz w:val="18"/>
                <w:szCs w:val="18"/>
              </w:rPr>
              <w:t>Current Profile190Real</w:t>
            </w:r>
          </w:p>
        </w:tc>
        <w:tc>
          <w:tcPr>
            <w:tcW w:w="1300" w:type="dxa"/>
            <w:tcMar>
              <w:top w:w="80" w:type="dxa"/>
              <w:left w:w="100" w:type="dxa"/>
              <w:bottom w:w="80" w:type="dxa"/>
              <w:right w:w="100" w:type="dxa"/>
            </w:tcMar>
          </w:tcPr>
          <w:p w14:paraId="45A06DE2" w14:textId="77777777" w:rsidR="00F16DB1" w:rsidRDefault="001E64C6">
            <w:r>
              <w:rPr>
                <w:sz w:val="18"/>
                <w:szCs w:val="18"/>
              </w:rPr>
              <w:t>75</w:t>
            </w:r>
          </w:p>
        </w:tc>
        <w:tc>
          <w:tcPr>
            <w:tcW w:w="1780" w:type="dxa"/>
            <w:tcMar>
              <w:top w:w="80" w:type="dxa"/>
              <w:left w:w="100" w:type="dxa"/>
              <w:bottom w:w="80" w:type="dxa"/>
              <w:right w:w="100" w:type="dxa"/>
            </w:tcMar>
          </w:tcPr>
          <w:p w14:paraId="36A452BD" w14:textId="77777777" w:rsidR="00F16DB1" w:rsidRDefault="001E64C6">
            <w:r>
              <w:rPr>
                <w:sz w:val="18"/>
                <w:szCs w:val="18"/>
              </w:rPr>
              <w:t>0.70</w:t>
            </w:r>
          </w:p>
        </w:tc>
      </w:tr>
      <w:tr w:rsidR="00F16DB1" w14:paraId="26C9C37D" w14:textId="77777777">
        <w:tc>
          <w:tcPr>
            <w:tcW w:w="2600" w:type="dxa"/>
            <w:tcMar>
              <w:top w:w="80" w:type="dxa"/>
              <w:left w:w="100" w:type="dxa"/>
              <w:bottom w:w="80" w:type="dxa"/>
              <w:right w:w="100" w:type="dxa"/>
            </w:tcMar>
          </w:tcPr>
          <w:p w14:paraId="7C02F478" w14:textId="77777777" w:rsidR="00F16DB1" w:rsidRDefault="001E64C6">
            <w:r>
              <w:rPr>
                <w:sz w:val="18"/>
                <w:szCs w:val="18"/>
              </w:rPr>
              <w:t>INCREASE (250%)</w:t>
            </w:r>
          </w:p>
        </w:tc>
        <w:tc>
          <w:tcPr>
            <w:tcW w:w="3400" w:type="dxa"/>
            <w:tcMar>
              <w:top w:w="80" w:type="dxa"/>
              <w:left w:w="100" w:type="dxa"/>
              <w:bottom w:w="80" w:type="dxa"/>
              <w:right w:w="100" w:type="dxa"/>
            </w:tcMar>
          </w:tcPr>
          <w:p w14:paraId="18699D2D" w14:textId="77777777" w:rsidR="00F16DB1" w:rsidRDefault="001E64C6">
            <w:r>
              <w:rPr>
                <w:sz w:val="18"/>
                <w:szCs w:val="18"/>
              </w:rPr>
              <w:t>Current ProfileReal250</w:t>
            </w:r>
          </w:p>
        </w:tc>
        <w:tc>
          <w:tcPr>
            <w:tcW w:w="1300" w:type="dxa"/>
            <w:tcMar>
              <w:top w:w="80" w:type="dxa"/>
              <w:left w:w="100" w:type="dxa"/>
              <w:bottom w:w="80" w:type="dxa"/>
              <w:right w:w="100" w:type="dxa"/>
            </w:tcMar>
          </w:tcPr>
          <w:p w14:paraId="26BF8B4F" w14:textId="77777777" w:rsidR="00F16DB1" w:rsidRDefault="001E64C6">
            <w:r>
              <w:rPr>
                <w:sz w:val="18"/>
                <w:szCs w:val="18"/>
              </w:rPr>
              <w:t>76</w:t>
            </w:r>
          </w:p>
        </w:tc>
        <w:tc>
          <w:tcPr>
            <w:tcW w:w="1780" w:type="dxa"/>
            <w:tcMar>
              <w:top w:w="80" w:type="dxa"/>
              <w:left w:w="100" w:type="dxa"/>
              <w:bottom w:w="80" w:type="dxa"/>
              <w:right w:w="100" w:type="dxa"/>
            </w:tcMar>
          </w:tcPr>
          <w:p w14:paraId="1D5025E0" w14:textId="77777777" w:rsidR="00F16DB1" w:rsidRDefault="001E64C6">
            <w:r>
              <w:rPr>
                <w:sz w:val="18"/>
                <w:szCs w:val="18"/>
              </w:rPr>
              <w:t>0.70</w:t>
            </w:r>
          </w:p>
        </w:tc>
      </w:tr>
      <w:tr w:rsidR="00F16DB1" w14:paraId="5484F8CC" w14:textId="77777777">
        <w:tc>
          <w:tcPr>
            <w:tcW w:w="2600" w:type="dxa"/>
            <w:tcMar>
              <w:top w:w="80" w:type="dxa"/>
              <w:left w:w="100" w:type="dxa"/>
              <w:bottom w:w="80" w:type="dxa"/>
              <w:right w:w="100" w:type="dxa"/>
            </w:tcMar>
          </w:tcPr>
          <w:p w14:paraId="255D6655" w14:textId="77777777" w:rsidR="00F16DB1" w:rsidRDefault="001E64C6">
            <w:r>
              <w:rPr>
                <w:sz w:val="18"/>
                <w:szCs w:val="18"/>
              </w:rPr>
              <w:t>TURN OFF</w:t>
            </w:r>
          </w:p>
        </w:tc>
        <w:tc>
          <w:tcPr>
            <w:tcW w:w="3400" w:type="dxa"/>
            <w:tcMar>
              <w:top w:w="80" w:type="dxa"/>
              <w:left w:w="100" w:type="dxa"/>
              <w:bottom w:w="80" w:type="dxa"/>
              <w:right w:w="100" w:type="dxa"/>
            </w:tcMar>
          </w:tcPr>
          <w:p w14:paraId="0B2B8F24" w14:textId="77777777" w:rsidR="00F16DB1" w:rsidRDefault="001E64C6">
            <w:r>
              <w:rPr>
                <w:sz w:val="18"/>
                <w:szCs w:val="18"/>
              </w:rPr>
              <w:t xml:space="preserve">Current </w:t>
            </w:r>
            <w:proofErr w:type="spellStart"/>
            <w:r>
              <w:rPr>
                <w:sz w:val="18"/>
                <w:szCs w:val="18"/>
              </w:rPr>
              <w:t>ProfileReal</w:t>
            </w:r>
            <w:proofErr w:type="spellEnd"/>
          </w:p>
        </w:tc>
        <w:tc>
          <w:tcPr>
            <w:tcW w:w="1300" w:type="dxa"/>
            <w:tcMar>
              <w:top w:w="80" w:type="dxa"/>
              <w:left w:w="100" w:type="dxa"/>
              <w:bottom w:w="80" w:type="dxa"/>
              <w:right w:w="100" w:type="dxa"/>
            </w:tcMar>
          </w:tcPr>
          <w:p w14:paraId="211F1DC3" w14:textId="77777777" w:rsidR="00F16DB1" w:rsidRDefault="001E64C6">
            <w:r>
              <w:rPr>
                <w:sz w:val="18"/>
                <w:szCs w:val="18"/>
              </w:rPr>
              <w:t>71</w:t>
            </w:r>
          </w:p>
        </w:tc>
        <w:tc>
          <w:tcPr>
            <w:tcW w:w="1780" w:type="dxa"/>
            <w:tcMar>
              <w:top w:w="80" w:type="dxa"/>
              <w:left w:w="100" w:type="dxa"/>
              <w:bottom w:w="80" w:type="dxa"/>
              <w:right w:w="100" w:type="dxa"/>
            </w:tcMar>
          </w:tcPr>
          <w:p w14:paraId="41C598D5" w14:textId="77777777" w:rsidR="00F16DB1" w:rsidRDefault="001E64C6">
            <w:r>
              <w:rPr>
                <w:sz w:val="18"/>
                <w:szCs w:val="18"/>
              </w:rPr>
              <w:t>0.71</w:t>
            </w:r>
          </w:p>
        </w:tc>
      </w:tr>
    </w:tbl>
    <w:p w14:paraId="0C4986A6" w14:textId="77777777" w:rsidR="00F16DB1" w:rsidRDefault="001E64C6">
      <w:pPr>
        <w:spacing w:after="16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w:t>
      </w:r>
      <w:proofErr w:type="spellStart"/>
      <w:r>
        <w:t>SteroidsON</w:t>
      </w:r>
      <w:proofErr w:type="spellEnd"/>
      <w:r>
        <w:t xml:space="preserve">, Steroids130, Steroids150, Steroids190, Steroids250, </w:t>
      </w:r>
      <w:proofErr w:type="spellStart"/>
      <w:r>
        <w:t>SteroidsOff</w:t>
      </w:r>
      <w:proofErr w:type="spellEnd"/>
      <w:r>
        <w:t xml:space="preserve">), and several unrelated automations elsewhere in the fork explicitly check </w:t>
      </w:r>
      <w:proofErr w:type="spellStart"/>
      <w:proofErr w:type="gramStart"/>
      <w:r>
        <w:t>checkAutomationState</w:t>
      </w:r>
      <w:proofErr w:type="spellEnd"/>
      <w:r>
        <w:t>(</w:t>
      </w:r>
      <w:proofErr w:type="gramEnd"/>
      <w:r>
        <w:t>"Steroids", "Steroids Off") as one of their own preconditions — turning steroids on doesn't just change dosing directly, it also silences a number of other automations that assume a normal (non-steroid) state.</w:t>
      </w:r>
    </w:p>
    <w:p w14:paraId="7BBF4E4A" w14:textId="77777777" w:rsidR="00F16DB1" w:rsidRDefault="001E64C6">
      <w:pPr>
        <w:pStyle w:val="Heading1"/>
        <w:spacing w:before="400" w:after="200"/>
      </w:pPr>
      <w:bookmarkStart w:id="22" w:name="sec021"/>
      <w:r>
        <w:t>6. Setting: If a Mounjaro / GLP-1 Effect Is Needed (or Needs Reversing)</w:t>
      </w:r>
      <w:bookmarkEnd w:id="22"/>
      <w:r>
        <w:t xml:space="preserve"> </w:t>
      </w:r>
      <w:hyperlink w:anchor="TOC">
        <w:r>
          <w:rPr>
            <w:rStyle w:val="Hyperlink"/>
          </w:rPr>
          <w:t>Back to TOC</w:t>
        </w:r>
      </w:hyperlink>
    </w:p>
    <w:p w14:paraId="752B71BA" w14:textId="77777777" w:rsidR="00F16DB1" w:rsidRDefault="001E64C6">
      <w:pPr>
        <w:spacing w:after="160"/>
      </w:pPr>
      <w:r>
        <w:rPr>
          <w:b/>
          <w:bCs/>
        </w:rPr>
        <w:t>No dedicated setting or automation for this exists in the current codebase — confirmed by a full-repository search for “</w:t>
      </w:r>
      <w:proofErr w:type="spellStart"/>
      <w:r>
        <w:rPr>
          <w:b/>
          <w:bCs/>
        </w:rPr>
        <w:t>mounjaro</w:t>
      </w:r>
      <w:proofErr w:type="spellEnd"/>
      <w:r>
        <w:rPr>
          <w:b/>
          <w:bCs/>
        </w:rPr>
        <w:t xml:space="preserve">”, “GLP1”, “semaglutide”, and “tirzepatide”, which returned zero matches. </w:t>
      </w:r>
      <w:r>
        <w:t xml:space="preserve">This is the one item in this manual that isn't documenting an existing </w:t>
      </w:r>
      <w:proofErr w:type="gramStart"/>
      <w:r>
        <w:t>mechanism, but</w:t>
      </w:r>
      <w:proofErr w:type="gramEnd"/>
      <w:r>
        <w:t xml:space="preserve"> flagging its absence.</w:t>
      </w:r>
    </w:p>
    <w:p w14:paraId="1EB6EEB9" w14:textId="77777777" w:rsidR="00F16DB1" w:rsidRDefault="001E64C6">
      <w:pPr>
        <w:spacing w:after="160"/>
      </w:pPr>
      <w:r>
        <w:t>GLP-1 agonists (Mounjaro/tirzepatide, Ozempic/semaglutide, etc.) act roughly opposite to steroids: they typically increase insulin sensitivity and reduce total insulin need, often substantially, and that effect can fade unpredictably (a missed/delayed dose, tolerance building, or a dose change) — needing the change “reversed” in the same practical sense that a steroid course ending needs its own ladder walked back down.</w:t>
      </w:r>
    </w:p>
    <w:p w14:paraId="6AF0F650" w14:textId="77777777" w:rsidR="00F16DB1" w:rsidRDefault="001E64C6">
      <w:pPr>
        <w:pStyle w:val="Heading2"/>
        <w:spacing w:before="280" w:after="120"/>
      </w:pPr>
      <w:bookmarkStart w:id="23" w:name="sec022"/>
      <w:r>
        <w:t>a. What exists today that could be used manually</w:t>
      </w:r>
      <w:bookmarkEnd w:id="23"/>
      <w:r>
        <w:t xml:space="preserve"> </w:t>
      </w:r>
      <w:hyperlink w:anchor="TOC">
        <w:r>
          <w:rPr>
            <w:rStyle w:val="Hyperlink"/>
          </w:rPr>
          <w:t>Back to TOC</w:t>
        </w:r>
      </w:hyperlink>
    </w:p>
    <w:p w14:paraId="3926435D" w14:textId="77777777" w:rsidR="00F16DB1" w:rsidRDefault="001E64C6">
      <w:pPr>
        <w:spacing w:after="100"/>
      </w:pPr>
      <w:r>
        <w:t>• Profile percentage — the bluntest, always-available lever; a lower overall percentage approximates reduced insulin need.</w:t>
      </w:r>
    </w:p>
    <w:p w14:paraId="0BF31AA2" w14:textId="77777777" w:rsidR="00F16DB1" w:rsidRDefault="001E64C6">
      <w:pPr>
        <w:spacing w:after="100"/>
      </w:pPr>
      <w:r>
        <w:t>• TDD Factor / TDD Sensitivity toggles and the TDD Factor fallback value (§4) — since these already scale dosing off a blended sensitivity ratio, they're the closest existing generic tool for a sustained, gradual sensitivity shift rather than a single-event spike.</w:t>
      </w:r>
    </w:p>
    <w:p w14:paraId="08517626" w14:textId="77777777" w:rsidR="00F16DB1" w:rsidRDefault="001E64C6">
      <w:pPr>
        <w:spacing w:after="100"/>
      </w:pPr>
      <w:r>
        <w:t xml:space="preserve">• Max </w:t>
      </w:r>
      <w:proofErr w:type="spellStart"/>
      <w:r>
        <w:t>autoISF</w:t>
      </w:r>
      <w:proofErr w:type="spellEnd"/>
      <w:r>
        <w:t xml:space="preserve"> ratio (</w:t>
      </w:r>
      <w:proofErr w:type="spellStart"/>
      <w:r>
        <w:t>autoISF_max</w:t>
      </w:r>
      <w:proofErr w:type="spellEnd"/>
      <w:r>
        <w:t>) and the weight-system entries (§4) — capping or loosening how strongly ISF can be strengthened is the same lever steroids uses in reverse.</w:t>
      </w:r>
    </w:p>
    <w:p w14:paraId="382E333F" w14:textId="77777777" w:rsidR="00F16DB1" w:rsidRDefault="001E64C6">
      <w:pPr>
        <w:spacing w:after="100"/>
      </w:pPr>
      <w:r>
        <w:t>• A manually-created Automation State (e.g. a new “GLP1” state with values like “Active”</w:t>
      </w:r>
      <w:proofErr w:type="gramStart"/>
      <w:r>
        <w:t>/“</w:t>
      </w:r>
      <w:proofErr w:type="gramEnd"/>
      <w:r>
        <w:t>Off”, added on the States tab per §2) would let a future automation gate on it the same way Steroids/MJ do today — but nothing currently reads or writes such a state.</w:t>
      </w:r>
    </w:p>
    <w:p w14:paraId="5F70CE81" w14:textId="77777777" w:rsidR="00F16DB1" w:rsidRDefault="001E64C6">
      <w:pPr>
        <w:spacing w:after="160"/>
      </w:pPr>
      <w:r>
        <w:rPr>
          <w:i/>
          <w:iCs/>
        </w:rPr>
        <w:t>If this becomes a recurring real need, the Steroid Kotlin button mechanism above (§5) is the direct template to copy: a dedicated Automation State, a profile-switch ladder (or a TDD-factor/weight ladder instead, since the direction of effect is reversed), SMS + CarePortal confirmation, and a TT-code for remote invocation.</w:t>
      </w:r>
    </w:p>
    <w:p w14:paraId="05AF03CF" w14:textId="77777777" w:rsidR="00F16DB1" w:rsidRDefault="001E64C6">
      <w:pPr>
        <w:pStyle w:val="Heading1"/>
        <w:spacing w:before="400" w:after="200"/>
      </w:pPr>
      <w:bookmarkStart w:id="24" w:name="sec023"/>
      <w:r>
        <w:t xml:space="preserve">7. Mechanism For Ignoring </w:t>
      </w:r>
      <w:proofErr w:type="gramStart"/>
      <w:r>
        <w:t>Or</w:t>
      </w:r>
      <w:proofErr w:type="gramEnd"/>
      <w:r>
        <w:t xml:space="preserve"> Invoking Native Automations</w:t>
      </w:r>
      <w:bookmarkEnd w:id="24"/>
      <w:r>
        <w:t xml:space="preserve"> </w:t>
      </w:r>
      <w:hyperlink w:anchor="TOC">
        <w:r>
          <w:rPr>
            <w:rStyle w:val="Hyperlink"/>
          </w:rPr>
          <w:t>Back to TOC</w:t>
        </w:r>
      </w:hyperlink>
    </w:p>
    <w:p w14:paraId="2631C09E" w14:textId="77777777" w:rsidR="00F16DB1" w:rsidRDefault="001E64C6">
      <w:pPr>
        <w:spacing w:after="160"/>
      </w:pPr>
      <w:r>
        <w:t xml:space="preserve">This fork re-implements roughly 100+ of what used to be native AAPS Automation-tab triggers/actions directly as hand-coded Kotlin blocks inside </w:t>
      </w:r>
      <w:proofErr w:type="spellStart"/>
      <w:r>
        <w:t>OpenAPSAutoISFPlugin.kt</w:t>
      </w:r>
      <w:proofErr w:type="spellEnd"/>
      <w:r>
        <w:t xml:space="preserve">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5DB72B83" w14:textId="77777777" w:rsidR="00F16DB1" w:rsidRDefault="001E64C6">
      <w:pPr>
        <w:pStyle w:val="Heading2"/>
        <w:spacing w:before="280" w:after="120"/>
      </w:pPr>
      <w:bookmarkStart w:id="25" w:name="sec024"/>
      <w:r>
        <w:t>a. The reconciliation mechanism</w:t>
      </w:r>
      <w:bookmarkEnd w:id="25"/>
      <w:r>
        <w:t xml:space="preserve"> </w:t>
      </w:r>
      <w:hyperlink w:anchor="TOC">
        <w:r>
          <w:rPr>
            <w:rStyle w:val="Hyperlink"/>
          </w:rPr>
          <w:t>Back to TOC</w:t>
        </w:r>
      </w:hyperlink>
    </w:p>
    <w:p w14:paraId="570D30AE" w14:textId="77777777" w:rsidR="00F16DB1" w:rsidRDefault="001E64C6">
      <w:pPr>
        <w:spacing w:after="160"/>
      </w:pPr>
      <w:proofErr w:type="spellStart"/>
      <w:r>
        <w:lastRenderedPageBreak/>
        <w:t>CodedAutomationNames.kt</w:t>
      </w:r>
      <w:proofErr w:type="spellEnd"/>
      <w:r>
        <w:t xml:space="preserve"> keeps a hand-maintained registry of every </w:t>
      </w:r>
      <w:proofErr w:type="spellStart"/>
      <w:r>
        <w:t>readyToRun</w:t>
      </w:r>
      <w:proofErr w:type="spellEnd"/>
      <w:r>
        <w:t>()/</w:t>
      </w:r>
      <w:proofErr w:type="spellStart"/>
      <w:proofErr w:type="gramStart"/>
      <w:r>
        <w:t>markRun</w:t>
      </w:r>
      <w:proofErr w:type="spellEnd"/>
      <w:r>
        <w:t>(</w:t>
      </w:r>
      <w:proofErr w:type="gramEnd"/>
      <w:r>
        <w:t xml:space="preserve">) key used by the coded-automation layer (currently 100+ keys, extracted via a documented grep one-liner whenever the list drifts). </w:t>
      </w:r>
      <w:proofErr w:type="spellStart"/>
      <w:r>
        <w:t>AutomationPlugin.kt</w:t>
      </w:r>
      <w:proofErr w:type="spellEnd"/>
      <w:r>
        <w:t xml:space="preserve">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7D030117" w14:textId="77777777">
        <w:trPr>
          <w:tblHeader/>
        </w:trPr>
        <w:tc>
          <w:tcPr>
            <w:tcW w:w="1400" w:type="dxa"/>
            <w:shd w:val="clear" w:color="auto" w:fill="2F5496"/>
            <w:tcMar>
              <w:top w:w="80" w:type="dxa"/>
              <w:left w:w="100" w:type="dxa"/>
              <w:bottom w:w="80" w:type="dxa"/>
              <w:right w:w="100" w:type="dxa"/>
            </w:tcMar>
          </w:tcPr>
          <w:p w14:paraId="30117939"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29645CC5"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A47BBF9" w14:textId="77777777" w:rsidR="00F16DB1" w:rsidRDefault="001E64C6">
            <w:r>
              <w:rPr>
                <w:b/>
                <w:bCs/>
                <w:color w:val="FFFFFF"/>
                <w:sz w:val="18"/>
                <w:szCs w:val="18"/>
              </w:rPr>
              <w:t>Effect on the native event</w:t>
            </w:r>
          </w:p>
        </w:tc>
      </w:tr>
      <w:tr w:rsidR="00F16DB1" w14:paraId="6FE31765" w14:textId="77777777">
        <w:tc>
          <w:tcPr>
            <w:tcW w:w="1400" w:type="dxa"/>
            <w:tcMar>
              <w:top w:w="80" w:type="dxa"/>
              <w:left w:w="100" w:type="dxa"/>
              <w:bottom w:w="80" w:type="dxa"/>
              <w:right w:w="100" w:type="dxa"/>
            </w:tcMar>
          </w:tcPr>
          <w:p w14:paraId="774DD40D" w14:textId="77777777" w:rsidR="00F16DB1" w:rsidRDefault="001E64C6">
            <w:r>
              <w:rPr>
                <w:sz w:val="18"/>
                <w:szCs w:val="18"/>
              </w:rPr>
              <w:t>EXACT</w:t>
            </w:r>
          </w:p>
        </w:tc>
        <w:tc>
          <w:tcPr>
            <w:tcW w:w="4400" w:type="dxa"/>
            <w:tcMar>
              <w:top w:w="80" w:type="dxa"/>
              <w:left w:w="100" w:type="dxa"/>
              <w:bottom w:w="80" w:type="dxa"/>
              <w:right w:w="100" w:type="dxa"/>
            </w:tcMar>
          </w:tcPr>
          <w:p w14:paraId="7FCCEAEF"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735DC889" w14:textId="77777777" w:rsidR="00F16DB1" w:rsidRDefault="001E64C6">
            <w:r>
              <w:rPr>
                <w:sz w:val="18"/>
                <w:szCs w:val="18"/>
              </w:rPr>
              <w:t>Always suppressed — the coded equivalent is assumed to be running every cycle instead, no user choice involved</w:t>
            </w:r>
          </w:p>
        </w:tc>
      </w:tr>
      <w:tr w:rsidR="00F16DB1" w14:paraId="283D50EB" w14:textId="77777777">
        <w:tc>
          <w:tcPr>
            <w:tcW w:w="1400" w:type="dxa"/>
            <w:tcMar>
              <w:top w:w="80" w:type="dxa"/>
              <w:left w:w="100" w:type="dxa"/>
              <w:bottom w:w="80" w:type="dxa"/>
              <w:right w:w="100" w:type="dxa"/>
            </w:tcMar>
          </w:tcPr>
          <w:p w14:paraId="76055F9F" w14:textId="77777777" w:rsidR="00F16DB1" w:rsidRDefault="001E64C6">
            <w:r>
              <w:rPr>
                <w:sz w:val="18"/>
                <w:szCs w:val="18"/>
              </w:rPr>
              <w:t>CLOSE</w:t>
            </w:r>
          </w:p>
        </w:tc>
        <w:tc>
          <w:tcPr>
            <w:tcW w:w="4400" w:type="dxa"/>
            <w:tcMar>
              <w:top w:w="80" w:type="dxa"/>
              <w:left w:w="100" w:type="dxa"/>
              <w:bottom w:w="80" w:type="dxa"/>
              <w:right w:w="100" w:type="dxa"/>
            </w:tcMar>
          </w:tcPr>
          <w:p w14:paraId="47324030"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6DD53ACA" w14:textId="77777777" w:rsidR="00F16DB1" w:rsidRDefault="001E64C6">
            <w:r>
              <w:rPr>
                <w:sz w:val="18"/>
                <w:szCs w:val="18"/>
              </w:rPr>
              <w:t>Suppressed only if the user hasn't explicitly accepted it via the review popup (below); a prior “accept” decision (persisted per title) lets it run</w:t>
            </w:r>
          </w:p>
        </w:tc>
      </w:tr>
      <w:tr w:rsidR="00F16DB1" w14:paraId="2F13EABA" w14:textId="77777777">
        <w:tc>
          <w:tcPr>
            <w:tcW w:w="1400" w:type="dxa"/>
            <w:tcMar>
              <w:top w:w="80" w:type="dxa"/>
              <w:left w:w="100" w:type="dxa"/>
              <w:bottom w:w="80" w:type="dxa"/>
              <w:right w:w="100" w:type="dxa"/>
            </w:tcMar>
          </w:tcPr>
          <w:p w14:paraId="535612D3" w14:textId="77777777" w:rsidR="00F16DB1" w:rsidRDefault="001E64C6">
            <w:r>
              <w:rPr>
                <w:sz w:val="18"/>
                <w:szCs w:val="18"/>
              </w:rPr>
              <w:t>NONE</w:t>
            </w:r>
          </w:p>
        </w:tc>
        <w:tc>
          <w:tcPr>
            <w:tcW w:w="4400" w:type="dxa"/>
            <w:tcMar>
              <w:top w:w="80" w:type="dxa"/>
              <w:left w:w="100" w:type="dxa"/>
              <w:bottom w:w="80" w:type="dxa"/>
              <w:right w:w="100" w:type="dxa"/>
            </w:tcMar>
          </w:tcPr>
          <w:p w14:paraId="281CFF1F"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7B741343" w14:textId="77777777" w:rsidR="00F16DB1" w:rsidRDefault="001E64C6">
            <w:r>
              <w:rPr>
                <w:sz w:val="18"/>
                <w:szCs w:val="18"/>
              </w:rPr>
              <w:t>Never touched — runs exactly as stock AAPS would</w:t>
            </w:r>
          </w:p>
        </w:tc>
      </w:tr>
    </w:tbl>
    <w:p w14:paraId="2A209EF0" w14:textId="77777777" w:rsidR="00F16DB1" w:rsidRDefault="001E64C6">
      <w:pPr>
        <w:spacing w:after="160"/>
      </w:pPr>
      <w:r>
        <w:t>CLOSE matches surface as a review popup (</w:t>
      </w:r>
      <w:proofErr w:type="spellStart"/>
      <w:proofErr w:type="gramStart"/>
      <w:r>
        <w:t>pendingCodedAutomationReviews</w:t>
      </w:r>
      <w:proofErr w:type="spellEnd"/>
      <w:r>
        <w:t>(</w:t>
      </w:r>
      <w:proofErr w:type="gramEnd"/>
      <w:r>
        <w:t xml:space="preserve">), shown from Overview) listing each ambiguous title for a one-time accept/deny decision, persisted in </w:t>
      </w:r>
      <w:proofErr w:type="spellStart"/>
      <w:r>
        <w:t>AutomationStringKey.CodedAutomationDecisions</w:t>
      </w:r>
      <w:proofErr w:type="spellEnd"/>
      <w:r>
        <w:t xml:space="preserve"> — deliberately simple substring matching rather than fuzzy/edit-distance scoring, on the reasoning that an occasional unnecessary review prompt is harmless, while a missed suppression is not.</w:t>
      </w:r>
    </w:p>
    <w:p w14:paraId="407E2DF6" w14:textId="77777777" w:rsidR="00F16DB1" w:rsidRDefault="001E64C6">
      <w:pPr>
        <w:pStyle w:val="Heading2"/>
        <w:spacing w:before="280" w:after="120"/>
      </w:pPr>
      <w:bookmarkStart w:id="26" w:name="sec025"/>
      <w:r>
        <w:t xml:space="preserve">b. The suppression only applies while </w:t>
      </w:r>
      <w:proofErr w:type="spellStart"/>
      <w:r>
        <w:t>AutoISF</w:t>
      </w:r>
      <w:proofErr w:type="spellEnd"/>
      <w:r>
        <w:t xml:space="preserve"> is actually the active algorithm</w:t>
      </w:r>
      <w:bookmarkEnd w:id="26"/>
      <w:r>
        <w:t xml:space="preserve"> </w:t>
      </w:r>
      <w:hyperlink w:anchor="TOC">
        <w:r>
          <w:rPr>
            <w:rStyle w:val="Hyperlink"/>
          </w:rPr>
          <w:t>Back to TOC</w:t>
        </w:r>
      </w:hyperlink>
    </w:p>
    <w:p w14:paraId="43B608DD" w14:textId="77777777" w:rsidR="00F16DB1" w:rsidRDefault="001E64C6">
      <w:pPr>
        <w:spacing w:after="160"/>
      </w:pPr>
      <w:r>
        <w:t xml:space="preserve">The whole mechanism is additionally gated on </w:t>
      </w:r>
      <w:proofErr w:type="spellStart"/>
      <w:proofErr w:type="gramStart"/>
      <w:r>
        <w:t>preferences.get</w:t>
      </w:r>
      <w:proofErr w:type="spellEnd"/>
      <w:r>
        <w:t>(</w:t>
      </w:r>
      <w:proofErr w:type="spellStart"/>
      <w:proofErr w:type="gramEnd"/>
      <w:r>
        <w:t>BooleanKey.ApsAutoIsfCustomAutomationsEnabled</w:t>
      </w:r>
      <w:proofErr w:type="spellEnd"/>
      <w:r>
        <w:t xml:space="preserve">) AND the currently active APS algorithm </w:t>
      </w:r>
      <w:proofErr w:type="gramStart"/>
      <w:r>
        <w:t>actually being</w:t>
      </w:r>
      <w:proofErr w:type="gramEnd"/>
      <w:r>
        <w:t xml:space="preserve"> AUTO_ISF — not just the preference toggle being on. This matters: if you ever switch the active APS algorithm away from </w:t>
      </w:r>
      <w:proofErr w:type="spellStart"/>
      <w:r>
        <w:t>AutoISF</w:t>
      </w:r>
      <w:proofErr w:type="spellEnd"/>
      <w:r>
        <w:t xml:space="preserve">, </w:t>
      </w:r>
      <w:proofErr w:type="spellStart"/>
      <w:r>
        <w:t>OpenAPSAutoISFPlugin.invoke</w:t>
      </w:r>
      <w:proofErr w:type="spellEnd"/>
      <w:r>
        <w:t xml:space="preserve">() (and therefore every coded automation) simply stops running, but any native events that were being suppressed as EXACT/CLOSE matches go right on being suppressed too, since the suppression check itself doesn't care which algorithm is active — only whether the toggle is on. In that state neither the coded automation nor the native one is doing anything, and it isn't obvious from the UI. If you ever change APS algorithm away from </w:t>
      </w:r>
      <w:proofErr w:type="spellStart"/>
      <w:r>
        <w:t>AutoISF</w:t>
      </w:r>
      <w:proofErr w:type="spellEnd"/>
      <w:r>
        <w:t>, deliberately revisit “Enable Tier 3…”-style toggles and the custom-automations suppression, since “</w:t>
      </w:r>
      <w:proofErr w:type="spellStart"/>
      <w:r>
        <w:t>AutoISF</w:t>
      </w:r>
      <w:proofErr w:type="spellEnd"/>
      <w:r>
        <w:t>-specific automation was silently suppressing a native one” becomes “nothing is running that automation at all.”</w:t>
      </w:r>
    </w:p>
    <w:p w14:paraId="397EDF9A" w14:textId="77777777" w:rsidR="00F16DB1" w:rsidRDefault="001E64C6">
      <w:pPr>
        <w:pStyle w:val="Heading1"/>
        <w:spacing w:before="400" w:after="200"/>
      </w:pPr>
      <w:bookmarkStart w:id="27" w:name="sec026"/>
      <w:r>
        <w:t>8. Other Idiosyncrasies Worth Knowing</w:t>
      </w:r>
      <w:bookmarkEnd w:id="27"/>
      <w:r>
        <w:t xml:space="preserve"> </w:t>
      </w:r>
      <w:hyperlink w:anchor="TOC">
        <w:r>
          <w:rPr>
            <w:rStyle w:val="Hyperlink"/>
          </w:rPr>
          <w:t>Back to TOC</w:t>
        </w:r>
      </w:hyperlink>
    </w:p>
    <w:p w14:paraId="5354DE34" w14:textId="77777777" w:rsidR="00F16DB1" w:rsidRDefault="001E64C6">
      <w:pPr>
        <w:pStyle w:val="Heading2"/>
        <w:spacing w:before="280" w:after="120"/>
      </w:pPr>
      <w:bookmarkStart w:id="28" w:name="sec027"/>
      <w:r>
        <w:t>a. CarePortal note codes as a compact diagnostic language</w:t>
      </w:r>
      <w:bookmarkEnd w:id="28"/>
      <w:r>
        <w:t xml:space="preserve"> </w:t>
      </w:r>
      <w:hyperlink w:anchor="TOC">
        <w:r>
          <w:rPr>
            <w:rStyle w:val="Hyperlink"/>
          </w:rPr>
          <w:t>Back to TOC</w:t>
        </w:r>
      </w:hyperlink>
    </w:p>
    <w:p w14:paraId="79DD40C3" w14:textId="77777777" w:rsidR="00F16DB1" w:rsidRDefault="001E64C6">
      <w:pPr>
        <w:spacing w:after="16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w:t>
      </w:r>
      <w:proofErr w:type="spellStart"/>
      <w:r>
        <w:t>UKFcheck</w:t>
      </w:r>
      <w:proofErr w:type="spellEnd"/>
      <w:r>
        <w:t xml:space="preserve">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3F5FFE28" w14:textId="77777777">
        <w:trPr>
          <w:tblHeader/>
        </w:trPr>
        <w:tc>
          <w:tcPr>
            <w:tcW w:w="2600" w:type="dxa"/>
            <w:shd w:val="clear" w:color="auto" w:fill="2F5496"/>
            <w:tcMar>
              <w:top w:w="80" w:type="dxa"/>
              <w:left w:w="100" w:type="dxa"/>
              <w:bottom w:w="80" w:type="dxa"/>
              <w:right w:w="100" w:type="dxa"/>
            </w:tcMar>
          </w:tcPr>
          <w:p w14:paraId="380A6ACE"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02B04552" w14:textId="77777777" w:rsidR="00F16DB1" w:rsidRDefault="001E64C6">
            <w:r>
              <w:rPr>
                <w:b/>
                <w:bCs/>
                <w:color w:val="FFFFFF"/>
                <w:sz w:val="18"/>
                <w:szCs w:val="18"/>
              </w:rPr>
              <w:t>Meaning</w:t>
            </w:r>
          </w:p>
        </w:tc>
      </w:tr>
      <w:tr w:rsidR="00F16DB1" w14:paraId="4E99BFA1" w14:textId="77777777">
        <w:tc>
          <w:tcPr>
            <w:tcW w:w="2600" w:type="dxa"/>
            <w:tcMar>
              <w:top w:w="80" w:type="dxa"/>
              <w:left w:w="100" w:type="dxa"/>
              <w:bottom w:w="80" w:type="dxa"/>
              <w:right w:w="100" w:type="dxa"/>
            </w:tcMar>
          </w:tcPr>
          <w:p w14:paraId="60A6142E" w14:textId="77777777" w:rsidR="00F16DB1" w:rsidRDefault="001E64C6">
            <w:r>
              <w:rPr>
                <w:sz w:val="18"/>
                <w:szCs w:val="18"/>
              </w:rPr>
              <w:t xml:space="preserve">AVLs / </w:t>
            </w:r>
            <w:proofErr w:type="spellStart"/>
            <w:r>
              <w:rPr>
                <w:sz w:val="18"/>
                <w:szCs w:val="18"/>
              </w:rPr>
              <w:t>AVLf</w:t>
            </w:r>
            <w:proofErr w:type="spellEnd"/>
          </w:p>
        </w:tc>
        <w:tc>
          <w:tcPr>
            <w:tcW w:w="6980" w:type="dxa"/>
            <w:tcMar>
              <w:top w:w="80" w:type="dxa"/>
              <w:left w:w="100" w:type="dxa"/>
              <w:bottom w:w="80" w:type="dxa"/>
              <w:right w:w="100" w:type="dxa"/>
            </w:tcMar>
          </w:tcPr>
          <w:p w14:paraId="5E611CC6" w14:textId="77777777" w:rsidR="00F16DB1" w:rsidRDefault="001E64C6">
            <w:r>
              <w:rPr>
                <w:sz w:val="18"/>
                <w:szCs w:val="18"/>
              </w:rPr>
              <w:t>AIV local export succeeded / failed</w:t>
            </w:r>
          </w:p>
        </w:tc>
      </w:tr>
      <w:tr w:rsidR="00F16DB1" w14:paraId="1594921D" w14:textId="77777777">
        <w:tc>
          <w:tcPr>
            <w:tcW w:w="2600" w:type="dxa"/>
            <w:tcMar>
              <w:top w:w="80" w:type="dxa"/>
              <w:left w:w="100" w:type="dxa"/>
              <w:bottom w:w="80" w:type="dxa"/>
              <w:right w:w="100" w:type="dxa"/>
            </w:tcMar>
          </w:tcPr>
          <w:p w14:paraId="7B596C4F" w14:textId="77777777" w:rsidR="00F16DB1" w:rsidRDefault="001E64C6">
            <w:r>
              <w:rPr>
                <w:sz w:val="18"/>
                <w:szCs w:val="18"/>
              </w:rPr>
              <w:t xml:space="preserve">ACEs / </w:t>
            </w:r>
            <w:proofErr w:type="spellStart"/>
            <w:r>
              <w:rPr>
                <w:sz w:val="18"/>
                <w:szCs w:val="18"/>
              </w:rPr>
              <w:t>ACEf</w:t>
            </w:r>
            <w:proofErr w:type="spellEnd"/>
          </w:p>
        </w:tc>
        <w:tc>
          <w:tcPr>
            <w:tcW w:w="6980" w:type="dxa"/>
            <w:tcMar>
              <w:top w:w="80" w:type="dxa"/>
              <w:left w:w="100" w:type="dxa"/>
              <w:bottom w:w="80" w:type="dxa"/>
              <w:right w:w="100" w:type="dxa"/>
            </w:tcMar>
          </w:tcPr>
          <w:p w14:paraId="309D1753"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0935F18B" w14:textId="77777777">
        <w:tc>
          <w:tcPr>
            <w:tcW w:w="2600" w:type="dxa"/>
            <w:tcMar>
              <w:top w:w="80" w:type="dxa"/>
              <w:left w:w="100" w:type="dxa"/>
              <w:bottom w:w="80" w:type="dxa"/>
              <w:right w:w="100" w:type="dxa"/>
            </w:tcMar>
          </w:tcPr>
          <w:p w14:paraId="7FB61688" w14:textId="77777777" w:rsidR="00F16DB1" w:rsidRDefault="001E64C6">
            <w:r>
              <w:rPr>
                <w:sz w:val="18"/>
                <w:szCs w:val="18"/>
              </w:rPr>
              <w:t xml:space="preserve">UKCs / </w:t>
            </w:r>
            <w:proofErr w:type="spellStart"/>
            <w:r>
              <w:rPr>
                <w:sz w:val="18"/>
                <w:szCs w:val="18"/>
              </w:rPr>
              <w:t>UKCn</w:t>
            </w:r>
            <w:proofErr w:type="spellEnd"/>
            <w:r>
              <w:rPr>
                <w:sz w:val="18"/>
                <w:szCs w:val="18"/>
              </w:rPr>
              <w:t xml:space="preserve"> / </w:t>
            </w:r>
            <w:proofErr w:type="spellStart"/>
            <w:r>
              <w:rPr>
                <w:sz w:val="18"/>
                <w:szCs w:val="18"/>
              </w:rPr>
              <w:t>UKCf</w:t>
            </w:r>
            <w:proofErr w:type="spellEnd"/>
          </w:p>
        </w:tc>
        <w:tc>
          <w:tcPr>
            <w:tcW w:w="6980" w:type="dxa"/>
            <w:tcMar>
              <w:top w:w="80" w:type="dxa"/>
              <w:left w:w="100" w:type="dxa"/>
              <w:bottom w:w="80" w:type="dxa"/>
              <w:right w:w="100" w:type="dxa"/>
            </w:tcMar>
          </w:tcPr>
          <w:p w14:paraId="078B61DC" w14:textId="77777777" w:rsidR="00F16DB1" w:rsidRDefault="001E64C6">
            <w:proofErr w:type="spellStart"/>
            <w:r>
              <w:rPr>
                <w:sz w:val="18"/>
                <w:szCs w:val="18"/>
              </w:rPr>
              <w:t>UKFcheck</w:t>
            </w:r>
            <w:proofErr w:type="spellEnd"/>
            <w:r>
              <w:rPr>
                <w:sz w:val="18"/>
                <w:szCs w:val="18"/>
              </w:rPr>
              <w:t xml:space="preserve"> diagnostic export found matches / ran fine but found nothing / genuinely failed (</w:t>
            </w:r>
            <w:proofErr w:type="spellStart"/>
            <w:r>
              <w:rPr>
                <w:sz w:val="18"/>
                <w:szCs w:val="18"/>
              </w:rPr>
              <w:t>UKCf</w:t>
            </w:r>
            <w:proofErr w:type="spellEnd"/>
            <w:r>
              <w:rPr>
                <w:sz w:val="18"/>
                <w:szCs w:val="18"/>
              </w:rPr>
              <w:t xml:space="preserve"> can ONLY come from an exception — never means “no findings”)</w:t>
            </w:r>
          </w:p>
        </w:tc>
      </w:tr>
      <w:tr w:rsidR="00F16DB1" w14:paraId="083AAE69" w14:textId="77777777">
        <w:tc>
          <w:tcPr>
            <w:tcW w:w="2600" w:type="dxa"/>
            <w:tcMar>
              <w:top w:w="80" w:type="dxa"/>
              <w:left w:w="100" w:type="dxa"/>
              <w:bottom w:w="80" w:type="dxa"/>
              <w:right w:w="100" w:type="dxa"/>
            </w:tcMar>
          </w:tcPr>
          <w:p w14:paraId="758012F2" w14:textId="77777777" w:rsidR="00F16DB1" w:rsidRDefault="001E64C6">
            <w:proofErr w:type="spellStart"/>
            <w:r>
              <w:rPr>
                <w:sz w:val="18"/>
                <w:szCs w:val="18"/>
              </w:rPr>
              <w:t>StB</w:t>
            </w:r>
            <w:proofErr w:type="spellEnd"/>
            <w:r>
              <w:rPr>
                <w:sz w:val="18"/>
                <w:szCs w:val="18"/>
              </w:rPr>
              <w:t xml:space="preserve"> On / </w:t>
            </w:r>
            <w:proofErr w:type="spellStart"/>
            <w:r>
              <w:rPr>
                <w:sz w:val="18"/>
                <w:szCs w:val="18"/>
              </w:rPr>
              <w:t>StB</w:t>
            </w:r>
            <w:proofErr w:type="spellEnd"/>
            <w:r>
              <w:rPr>
                <w:sz w:val="18"/>
                <w:szCs w:val="18"/>
              </w:rPr>
              <w:t xml:space="preserve"> Off</w:t>
            </w:r>
          </w:p>
        </w:tc>
        <w:tc>
          <w:tcPr>
            <w:tcW w:w="6980" w:type="dxa"/>
            <w:tcMar>
              <w:top w:w="80" w:type="dxa"/>
              <w:left w:w="100" w:type="dxa"/>
              <w:bottom w:w="80" w:type="dxa"/>
              <w:right w:w="100" w:type="dxa"/>
            </w:tcMar>
          </w:tcPr>
          <w:p w14:paraId="4D63C99F" w14:textId="77777777" w:rsidR="00F16DB1" w:rsidRDefault="001E64C6">
            <w:r>
              <w:rPr>
                <w:sz w:val="18"/>
                <w:szCs w:val="18"/>
              </w:rPr>
              <w:t>Steroid Kotlin button feature toggled on/off via its TT-code</w:t>
            </w:r>
          </w:p>
        </w:tc>
      </w:tr>
      <w:tr w:rsidR="00F16DB1" w14:paraId="0F177D42" w14:textId="77777777">
        <w:tc>
          <w:tcPr>
            <w:tcW w:w="2600" w:type="dxa"/>
            <w:tcMar>
              <w:top w:w="80" w:type="dxa"/>
              <w:left w:w="100" w:type="dxa"/>
              <w:bottom w:w="80" w:type="dxa"/>
              <w:right w:w="100" w:type="dxa"/>
            </w:tcMar>
          </w:tcPr>
          <w:p w14:paraId="4E4196DC" w14:textId="77777777" w:rsidR="00F16DB1" w:rsidRDefault="001E64C6">
            <w:proofErr w:type="spellStart"/>
            <w:r>
              <w:rPr>
                <w:sz w:val="18"/>
                <w:szCs w:val="18"/>
              </w:rPr>
              <w:t>SteroidsON</w:t>
            </w:r>
            <w:proofErr w:type="spellEnd"/>
            <w:r>
              <w:rPr>
                <w:sz w:val="18"/>
                <w:szCs w:val="18"/>
              </w:rPr>
              <w:t xml:space="preserve"> / Steroids130…250 / </w:t>
            </w:r>
            <w:proofErr w:type="spellStart"/>
            <w:r>
              <w:rPr>
                <w:sz w:val="18"/>
                <w:szCs w:val="18"/>
              </w:rPr>
              <w:t>SteroidsOff</w:t>
            </w:r>
            <w:proofErr w:type="spellEnd"/>
          </w:p>
        </w:tc>
        <w:tc>
          <w:tcPr>
            <w:tcW w:w="6980" w:type="dxa"/>
            <w:tcMar>
              <w:top w:w="80" w:type="dxa"/>
              <w:left w:w="100" w:type="dxa"/>
              <w:bottom w:w="80" w:type="dxa"/>
              <w:right w:w="100" w:type="dxa"/>
            </w:tcMar>
          </w:tcPr>
          <w:p w14:paraId="45454FE9" w14:textId="77777777" w:rsidR="00F16DB1" w:rsidRDefault="001E64C6">
            <w:r>
              <w:rPr>
                <w:sz w:val="18"/>
                <w:szCs w:val="18"/>
              </w:rPr>
              <w:t>each step of the steroid ladder (§5)</w:t>
            </w:r>
          </w:p>
        </w:tc>
      </w:tr>
    </w:tbl>
    <w:p w14:paraId="132CF7C4" w14:textId="77777777" w:rsidR="00F16DB1" w:rsidRDefault="001E64C6">
      <w:pPr>
        <w:spacing w:after="160"/>
      </w:pPr>
      <w:r>
        <w:t xml:space="preserve">Grepping a device's combined export for these codes is often faster and more reliable than trying to reproduce a suspected bug live — this is exactly how the </w:t>
      </w:r>
      <w:proofErr w:type="spellStart"/>
      <w:proofErr w:type="gramStart"/>
      <w:r>
        <w:t>exportUkfCheckText</w:t>
      </w:r>
      <w:proofErr w:type="spellEnd"/>
      <w:r>
        <w:t>(</w:t>
      </w:r>
      <w:proofErr w:type="gramEnd"/>
      <w:r>
        <w:t xml:space="preserve">) read-path bug was confirmed (15/15 </w:t>
      </w:r>
      <w:proofErr w:type="spellStart"/>
      <w:r>
        <w:t>UKCf</w:t>
      </w:r>
      <w:proofErr w:type="spellEnd"/>
      <w:r>
        <w:t>, zero UKCs/</w:t>
      </w:r>
      <w:proofErr w:type="spellStart"/>
      <w:r>
        <w:t>UKCn</w:t>
      </w:r>
      <w:proofErr w:type="spellEnd"/>
      <w:r>
        <w:t>) before any code was touched.</w:t>
      </w:r>
    </w:p>
    <w:p w14:paraId="3F29C2D1" w14:textId="77777777" w:rsidR="00F16DB1" w:rsidRDefault="001E64C6">
      <w:pPr>
        <w:pStyle w:val="Heading2"/>
        <w:spacing w:before="280" w:after="120"/>
      </w:pPr>
      <w:bookmarkStart w:id="29" w:name="sec028"/>
      <w:r>
        <w:t>b. MJ as the fork's other major state machine</w:t>
      </w:r>
      <w:bookmarkEnd w:id="29"/>
      <w:r>
        <w:t xml:space="preserve"> </w:t>
      </w:r>
      <w:hyperlink w:anchor="TOC">
        <w:r>
          <w:rPr>
            <w:rStyle w:val="Hyperlink"/>
          </w:rPr>
          <w:t>Back to TOC</w:t>
        </w:r>
      </w:hyperlink>
    </w:p>
    <w:p w14:paraId="402390A3" w14:textId="77777777" w:rsidR="00F16DB1" w:rsidRDefault="001E64C6">
      <w:pPr>
        <w:spacing w:after="160"/>
      </w:pPr>
      <w:r>
        <w:lastRenderedPageBreak/>
        <w:t>Beyond Steroids, “MJ” (this fork's own naming; short for “Morning Jog”-style state) is a second Automation State that a large number of other coded automations gate on (</w:t>
      </w:r>
      <w:proofErr w:type="spellStart"/>
      <w:proofErr w:type="gramStart"/>
      <w:r>
        <w:t>checkAutomationState</w:t>
      </w:r>
      <w:proofErr w:type="spellEnd"/>
      <w:r>
        <w:t>(</w:t>
      </w:r>
      <w:proofErr w:type="gramEnd"/>
      <w:r>
        <w:t>"MJ", ...)), including several steps of the steroid ladder itself (INCREASE_150/190/250 all require MJ to be in “</w:t>
      </w:r>
      <w:proofErr w:type="spellStart"/>
      <w:r>
        <w:t>NOMJremains</w:t>
      </w:r>
      <w:proofErr w:type="spellEnd"/>
      <w:r>
        <w:t>”). “MJ Kotlin buttons” (default on) is the equivalent Overview quick-access toggle to the Steroid one — also purely a UI convenience; turning it off doesn't disable the underlying MJ-gated automations, only the buttons.</w:t>
      </w:r>
    </w:p>
    <w:p w14:paraId="2F708659" w14:textId="77777777" w:rsidR="00F16DB1" w:rsidRDefault="001E64C6">
      <w:pPr>
        <w:pStyle w:val="Heading2"/>
        <w:spacing w:before="280" w:after="120"/>
      </w:pPr>
      <w:bookmarkStart w:id="30" w:name="sec029"/>
      <w:r>
        <w:t>c. The AIV/</w:t>
      </w:r>
      <w:proofErr w:type="spellStart"/>
      <w:r>
        <w:t>UKFcheck</w:t>
      </w:r>
      <w:proofErr w:type="spellEnd"/>
      <w:r>
        <w:t xml:space="preserve"> export pipeline has more moving parts than it looks</w:t>
      </w:r>
      <w:bookmarkEnd w:id="30"/>
      <w:r>
        <w:t xml:space="preserve"> </w:t>
      </w:r>
      <w:hyperlink w:anchor="TOC">
        <w:r>
          <w:rPr>
            <w:rStyle w:val="Hyperlink"/>
          </w:rPr>
          <w:t>Back to TOC</w:t>
        </w:r>
      </w:hyperlink>
    </w:p>
    <w:p w14:paraId="0ADEC29A" w14:textId="77777777" w:rsidR="00F16DB1" w:rsidRDefault="001E64C6">
      <w:pPr>
        <w:spacing w:after="160"/>
      </w:pPr>
      <w:r>
        <w:t>Automatic exports run every 6 hours (</w:t>
      </w:r>
      <w:proofErr w:type="spellStart"/>
      <w:r>
        <w:t>KeepAliveWorker</w:t>
      </w:r>
      <w:proofErr w:type="spellEnd"/>
      <w:r>
        <w:t xml:space="preserve">) plus on every manual dialog-open, writing several files (CSV/TXT AIV table, settings snapshot, combined rebuild, </w:t>
      </w:r>
      <w:proofErr w:type="spellStart"/>
      <w:r>
        <w:t>UKFcheck</w:t>
      </w:r>
      <w:proofErr w:type="spellEnd"/>
      <w:r>
        <w:t xml:space="preserve"> diagnostic, </w:t>
      </w:r>
      <w:proofErr w:type="spellStart"/>
      <w:r>
        <w:t>UserEntries</w:t>
      </w:r>
      <w:proofErr w:type="spellEnd"/>
      <w:r>
        <w:t xml:space="preserve">) to a per-device folder scoped by </w:t>
      </w:r>
      <w:proofErr w:type="spellStart"/>
      <w:r>
        <w:t>GeneralPatientName</w:t>
      </w:r>
      <w:proofErr w:type="spellEnd"/>
      <w:r>
        <w:t xml:space="preserve">. Two details are easy to get wrong when troubleshooting a missing file: (1) </w:t>
      </w:r>
      <w:proofErr w:type="spellStart"/>
      <w:r>
        <w:t>UKFcheck</w:t>
      </w:r>
      <w:proofErr w:type="spellEnd"/>
      <w:r>
        <w:t xml:space="preserve">_*.txt's own lookback window is only ~6–7 hours of raw log per file, much shorter than the AIV table's 30-hour window, though the underlying raw log itself survives 30 days regardless; (2) the raw log files </w:t>
      </w:r>
      <w:proofErr w:type="spellStart"/>
      <w:r>
        <w:t>UKFcheck</w:t>
      </w:r>
      <w:proofErr w:type="spellEnd"/>
      <w:r>
        <w:t xml:space="preserve"> reads from can silently live in more than one on-device directory (public Documents/</w:t>
      </w:r>
      <w:proofErr w:type="spellStart"/>
      <w:r>
        <w:t>aapsLogs</w:t>
      </w:r>
      <w:proofErr w:type="spellEnd"/>
      <w:r>
        <w:t xml:space="preserve"> vs. the app-specific fallback), and a function that only checks one of them can fail 100% of the time on a device where logging quietly moved to the other — the actual root cause behind a real 2026-08-19 bug fixed the same day this manual was written.</w:t>
      </w:r>
    </w:p>
    <w:p w14:paraId="1EDC3F40" w14:textId="77777777" w:rsidR="00F16DB1" w:rsidRDefault="001E64C6">
      <w:pPr>
        <w:pStyle w:val="Heading2"/>
        <w:spacing w:before="280" w:after="120"/>
      </w:pPr>
      <w:bookmarkStart w:id="31" w:name="sec030"/>
      <w:r>
        <w:t>d. A concrete regression pattern worth remembering</w:t>
      </w:r>
      <w:bookmarkEnd w:id="31"/>
      <w:r>
        <w:t xml:space="preserve"> </w:t>
      </w:r>
      <w:hyperlink w:anchor="TOC">
        <w:r>
          <w:rPr>
            <w:rStyle w:val="Hyperlink"/>
          </w:rPr>
          <w:t>Back to TOC</w:t>
        </w:r>
      </w:hyperlink>
    </w:p>
    <w:p w14:paraId="027341A9" w14:textId="77777777" w:rsidR="00F16DB1" w:rsidRDefault="001E64C6">
      <w:pPr>
        <w:spacing w:after="160"/>
      </w:pPr>
      <w:bookmarkStart w:id="32" w:name="Bottom"/>
      <w:r>
        <w:t xml:space="preserve">The </w:t>
      </w:r>
      <w:proofErr w:type="spellStart"/>
      <w:r>
        <w:t>EveningTH</w:t>
      </w:r>
      <w:proofErr w:type="spellEnd"/>
      <w:r>
        <w:t xml:space="preserve"> automation once had its target action value changed (50→45) without re-checking its own self-latch condition against that new value (latch stayed “&lt;50”) — it then flip-flopped with </w:t>
      </w:r>
      <w:proofErr w:type="spellStart"/>
      <w:r>
        <w:t>NightIobCeiling</w:t>
      </w:r>
      <w:proofErr w:type="spellEnd"/>
      <w:r>
        <w:t xml:space="preserve">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bookmarkEnd w:id="3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35371A"/>
    <w:rsid w:val="00380149"/>
    <w:rsid w:val="006B07F6"/>
    <w:rsid w:val="008A62D9"/>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B9FF"/>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4468</Words>
  <Characters>25470</Characters>
  <Application>Microsoft Office Word</Application>
  <DocSecurity>0</DocSecurity>
  <Lines>212</Lines>
  <Paragraphs>59</Paragraphs>
  <ScaleCrop>false</ScaleCrop>
  <Company/>
  <LinksUpToDate>false</LinksUpToDate>
  <CharactersWithSpaces>29879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2026-08-20T12:25:00Z</dcterms:created>
  <dcterms:modified xsi:type="dcterms:W3CDTF">2026-08-20T12:25:00Z</dcterms:modified>
</cp:coreProperties>
</file>