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3" w:name="TOC"/>
      <w:pPr>
        <w:pStyle w:val="Heading1"/>
      </w:pPr>
      <w:r>
        <w:t>Contents</w:t>
      </w:r>
      <w:bookmarkEnd w:id="33"/>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3">
        <w:r>
          <w:rPr>
            <w:rStyle w:val="Hyperlink"/>
          </w:rPr>
          <w:t>b. State values must be pre-declared before code can set them</w:t>
        </w:r>
      </w:hyperlink>
    </w:p>
    <w:p>
      <w:r>
        <w:t xml:space="preserve">  </w:t>
      </w:r>
      <w:hyperlink w:anchor="sec004">
        <w:r>
          <w:rPr>
            <w:rStyle w:val="Hyperlink"/>
          </w:rPr>
          <w:t>c. Fixed 2026-08-19: this is now self-healing for the coded automations' own states</w:t>
        </w:r>
      </w:hyperlink>
    </w:p>
    <w:p>
      <w:r>
        <w:t xml:space="preserve">  </w:t>
      </w:r>
      <w:hyperlink w:anchor="sec005">
        <w:r>
          <w:rPr>
            <w:rStyle w:val="Hyperlink"/>
          </w:rPr>
          <w:t>d.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The weight system's Resting/Boosted pairs</w:t>
        </w:r>
      </w:hyperlink>
    </w:p>
    <w:p>
      <w:r>
        <w:t xml:space="preserve">  </w:t>
      </w:r>
      <w:hyperlink w:anchor="sec013">
        <w:r>
          <w:rPr>
            <w:rStyle w:val="Hyperlink"/>
          </w:rPr>
          <w:t>c. TDD factor / sensitivity toggles</w:t>
        </w:r>
      </w:hyperlink>
    </w:p>
    <w:p>
      <w:r>
        <w:t xml:space="preserve">  </w:t>
      </w:r>
      <w:hyperlink w:anchor="sec014">
        <w:r>
          <w:rPr>
            <w:rStyle w:val="Hyperlink"/>
          </w:rPr>
          <w:t>d.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Setting: If a Mounjaro / GLP-1 Effect Is Needed (or Needs Reversing)</w:t>
        </w:r>
      </w:hyperlink>
    </w:p>
    <w:p>
      <w:r>
        <w:t xml:space="preserve">  </w:t>
      </w:r>
      <w:hyperlink w:anchor="sec019">
        <w:r>
          <w:rPr>
            <w:rStyle w:val="Hyperlink"/>
          </w:rPr>
          <w:t>a. What exists today that could be used manually</w:t>
        </w:r>
      </w:hyperlink>
    </w:p>
    <w:p>
      <w:hyperlink w:anchor="sec020">
        <w:r>
          <w:rPr>
            <w:rStyle w:val="Hyperlink"/>
          </w:rPr>
          <w:t>6. Mechanism For Ignoring Or Invoking Native Automations</w:t>
        </w:r>
      </w:hyperlink>
    </w:p>
    <w:p>
      <w:r>
        <w:t xml:space="preserve">  </w:t>
      </w:r>
      <w:hyperlink w:anchor="sec021">
        <w:r>
          <w:rPr>
            <w:rStyle w:val="Hyperlink"/>
          </w:rPr>
          <w:t>a. The reconciliation mechanism</w:t>
        </w:r>
      </w:hyperlink>
    </w:p>
    <w:p>
      <w:r>
        <w:t xml:space="preserve">  </w:t>
      </w:r>
      <w:hyperlink w:anchor="sec022">
        <w:r>
          <w:rPr>
            <w:rStyle w:val="Hyperlink"/>
          </w:rPr>
          <w:t>b. The suppression only applies while AutoISF is actually the active algorithm</w:t>
        </w:r>
      </w:hyperlink>
    </w:p>
    <w:p>
      <w:hyperlink w:anchor="sec023">
        <w:r>
          <w:rPr>
            <w:rStyle w:val="Hyperlink"/>
          </w:rPr>
          <w:t>7. Other Idiosyncrasies Worth Knowing</w:t>
        </w:r>
      </w:hyperlink>
    </w:p>
    <w:p>
      <w:r>
        <w:t xml:space="preserve">  </w:t>
      </w:r>
      <w:hyperlink w:anchor="sec024">
        <w:r>
          <w:rPr>
            <w:rStyle w:val="Hyperlink"/>
          </w:rPr>
          <w:t>a. CarePortal note codes as a compact diagnostic language</w:t>
        </w:r>
      </w:hyperlink>
    </w:p>
    <w:p>
      <w:r>
        <w:t xml:space="preserve">  </w:t>
      </w:r>
      <w:hyperlink w:anchor="sec025">
        <w:r>
          <w:rPr>
            <w:rStyle w:val="Hyperlink"/>
          </w:rPr>
          <w:t>b. MJ as the fork's other major state machine</w:t>
        </w:r>
      </w:hyperlink>
    </w:p>
    <w:p>
      <w:r>
        <w:t xml:space="preserve">  </w:t>
      </w:r>
      <w:hyperlink w:anchor="sec026">
        <w:r>
          <w:rPr>
            <w:rStyle w:val="Hyperlink"/>
          </w:rPr>
          <w:t>c. The AIV/UKFcheck export pipeline has more moving parts than it looks</w:t>
        </w:r>
      </w:hyperlink>
    </w:p>
    <w:p>
      <w:r>
        <w:t xml:space="preserve">  </w:t>
      </w:r>
      <w:hyperlink w:anchor="sec027">
        <w:r>
          <w:rPr>
            <w:rStyle w:val="Hyperlink"/>
          </w:rPr>
          <w:t>d. A concrete regression pattern worth remembering</w:t>
        </w:r>
      </w:hyperlink>
    </w:p>
    <w:p>
      <w:hyperlink w:anchor="sec028">
        <w:r>
          <w:rPr>
            <w:rStyle w:val="Hyperlink"/>
          </w:rPr>
          <w:t>Appendix A — Installation and explanatory information</w:t>
        </w:r>
      </w:hyperlink>
    </w:p>
    <w:p>
      <w:r>
        <w:t xml:space="preserve">  </w:t>
      </w:r>
      <w:hyperlink w:anchor="sec029">
        <w:r>
          <w:rPr>
            <w:rStyle w:val="Hyperlink"/>
          </w:rPr>
          <w:t>a. Version tag &amp; build identification</w:t>
        </w:r>
      </w:hyperlink>
    </w:p>
    <w:p>
      <w:r>
        <w:t xml:space="preserve">  </w:t>
      </w:r>
      <w:hyperlink w:anchor="sec030">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6C2C6BED" w14:textId="77777777" w:rsidR="00F16DB1" w:rsidRDefault="001E64C6">
      <w:bookmarkStart w:id="5" w:name="sec003"/>
      <w:pPr>
        <w:pStyle w:val="Heading2"/>
        <w:spacing w:before="280" w:after="120"/>
      </w:pPr>
      <w:r>
        <w:t>b. State values must be pre-declared before code can set them</w:t>
      </w:r>
      <w:bookmarkEnd w:id="5"/>
      <w:r>
        <w:t xml:space="preserve"> </w:t>
      </w:r>
      <w:hyperlink w:anchor="TOC">
        <w:r>
          <w:rPr>
            <w:rStyle w:val="Hyperlink"/>
          </w:rPr>
          <w:t>Back to TOC</w:t>
        </w:r>
      </w:hyperlink>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6" w:name="sec004"/>
      <w:pPr>
        <w:pStyle w:val="Heading2"/>
        <w:spacing w:before="280" w:after="120"/>
      </w:pPr>
      <w:r>
        <w:t>c. Fixed 2026-08-19: this is now self-healing for the coded automations' own states</w:t>
      </w:r>
      <w:bookmarkEnd w:id="6"/>
      <w:r>
        <w:t xml:space="preserve"> </w:t>
      </w:r>
      <w:hyperlink w:anchor="TOC">
        <w:r>
          <w:rPr>
            <w:rStyle w:val="Hyperlink"/>
          </w:rPr>
          <w:t>Back to TOC</w:t>
        </w:r>
      </w:hyperlink>
    </w:p>
    <w:p w14:paraId="017476C2" w14:textId="77777777" w:rsidR="00F16DB1" w:rsidRDefault="001E64C6">
      <w:pPr>
        <w:spacing w:after="160"/>
        <w:ind w:left="360" w:firstLine="0"/>
      </w:pPr>
      <w:r>
        <w:t xml:space="preserve">A real, already-live crash risk existed because of the rule above: one coded automation called </w:t>
      </w:r>
      <w:proofErr w:type="gramStart"/>
      <w:r>
        <w:t>setState(</w:t>
      </w:r>
      <w:proofErr w:type="gramEnd"/>
      <w:r>
        <w:t xml:space="preserve">) unconditionally with no pre-check at all, so on any device that had never had that specific state typed into the States tab, it would throw. OpenAPSAutoISFPlugin.onStart() now calls </w:t>
      </w:r>
      <w:proofErr w:type="gramStart"/>
      <w:r>
        <w:t>ensureRequiredAutomationStatesDeclared(</w:t>
      </w:r>
      <w:proofErr w:type="gramEnd"/>
      <w:r>
        <w:t xml:space="preserve">) once at every app start, which pre-declares the value-list for every state this fork's coded automations are known to read or write — currently MJ, MJstate, Steroids, LowBG, Steps, BGLstate, Profile, Sleeping, and query_got_up — but only when </w:t>
      </w:r>
      <w:proofErr w:type="gramStart"/>
      <w:r>
        <w:t>hasStateValues(</w:t>
      </w:r>
      <w:proofErr w:type="gramEnd"/>
      <w:r>
        <w:t>) says that state is</w:t>
      </w:r>
      <w:r>
        <w:t>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7" w:name="sec005"/>
      <w:pPr>
        <w:pStyle w:val="Heading2"/>
        <w:spacing w:before="280" w:after="120"/>
      </w:pPr>
      <w:r>
        <w:t>d. A second, related gap: declaring the value list still isn't the same as the state having a value</w:t>
      </w:r>
      <w:bookmarkEnd w:id="7"/>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8" w:name="sec006"/>
      <w:pPr>
        <w:pStyle w:val="Heading1"/>
        <w:spacing w:before="400" w:after="200"/>
      </w:pPr>
      <w:r>
        <w:t>2. Settings Import Features — Especially With States</w:t>
      </w:r>
      <w:bookmarkEnd w:id="8"/>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9" w:name="sec007"/>
      <w:pPr>
        <w:pStyle w:val="Heading2"/>
        <w:spacing w:before="280" w:after="120"/>
      </w:pPr>
      <w:r>
        <w:t>a. Automation States are force-disabled after every import — by design, not a bug</w:t>
      </w:r>
      <w:bookmarkEnd w:id="9"/>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10" w:name="sec008"/>
      <w:pPr>
        <w:pStyle w:val="Heading2"/>
        <w:spacing w:before="280" w:after="120"/>
      </w:pPr>
      <w:r>
        <w:t>b. Import restores states wholesale — where “states I never made myself” can come from</w:t>
      </w:r>
      <w:bookmarkEnd w:id="10"/>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1" w:name="sec009"/>
      <w:pPr>
        <w:pStyle w:val="Heading2"/>
        <w:spacing w:before="280" w:after="120"/>
      </w:pPr>
      <w:r>
        <w:t>c. Four “Keep current…” checkboxes not present in stock AAPS</w:t>
      </w:r>
      <w:bookmarkEnd w:id="11"/>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2" w:name="sec010"/>
      <w:pPr>
        <w:pStyle w:val="Heading1"/>
        <w:spacing w:before="400" w:after="200"/>
      </w:pPr>
      <w:r>
        <w:t>3. Settings That Materially Affect Day-to-Day Function</w:t>
      </w:r>
      <w:bookmarkEnd w:id="12"/>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3" w:name="sec011"/>
      <w:pPr>
        <w:pStyle w:val="Heading2"/>
        <w:spacing w:before="280" w:after="120"/>
      </w:pPr>
      <w:r>
        <w:t>a. The SMB delivery brake</w:t>
      </w:r>
      <w:bookmarkEnd w:id="13"/>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14:paraId="2C90200E" w14:textId="77777777" w:rsidR="00F16DB1" w:rsidRDefault="001E64C6">
      <w:bookmarkStart w:id="14" w:name="sec012"/>
      <w:pPr>
        <w:pStyle w:val="Heading2"/>
        <w:spacing w:before="280" w:after="120"/>
      </w:pPr>
      <w:r>
        <w:t>b.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c.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d.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14:paraId="0924DC89" w14:textId="77777777" w:rsidR="00F16DB1" w:rsidRDefault="001E64C6">
      <w:bookmarkStart w:id="20" w:name="sec018"/>
      <w:pPr>
        <w:pStyle w:val="Heading1"/>
        <w:spacing w:before="400" w:after="200"/>
      </w:pPr>
      <w:r>
        <w:t>5. Setting: If a Mounjaro / GLP-1 Effect Is Needed (or Needs Reversing)</w:t>
      </w:r>
      <w:bookmarkEnd w:id="20"/>
      <w:r>
        <w:t xml:space="preserve"> </w:t>
      </w:r>
      <w:hyperlink w:anchor="TOC">
        <w:r>
          <w:rPr>
            <w:rStyle w:val="Hyperlink"/>
          </w:rPr>
          <w:t>Back to TOC</w:t>
        </w:r>
      </w:hyperlink>
    </w:p>
    <w:p w14:paraId="662D358E" w14:textId="77777777" w:rsidR="00F16DB1" w:rsidRDefault="001E64C6">
      <w:pPr>
        <w:spacing w:after="160"/>
      </w:pPr>
      <w:r>
        <w:rPr>
          <w:b/>
          <w:bCs/>
        </w:rPr>
        <w:t xml:space="preserve">No dedicated setting or automation for this exists in the current codebase — confirmed by a full-repository search for “mounjaro”, “GLP1”, “semaglutide”, and “tirzepatide”, which returned zero matches. </w:t>
      </w:r>
      <w:r>
        <w:t xml:space="preserve">This is the one item in this manual that isn't documenting an existing </w:t>
      </w:r>
      <w:proofErr w:type="gramStart"/>
      <w:r>
        <w:t>mechanism, but</w:t>
      </w:r>
      <w:proofErr w:type="gramEnd"/>
      <w:r>
        <w:t xml:space="preserve"> flagging its absence.</w:t>
      </w:r>
    </w:p>
    <w:p w14:paraId="6F6C74DB" w14:textId="77777777" w:rsidR="00F16DB1" w:rsidRDefault="001E64C6">
      <w:pPr>
        <w:spacing w:after="160"/>
      </w:pPr>
      <w:r>
        <w:t>GLP-1 agonists (Mounjaro/tirzepatide, Ozempic/semaglutide, etc.) act roughly opposite to steroids: they typically increase insulin sensitivity and reduce total insulin need, often substantially, and that effect can fade unpredictably (a missed/delayed dose, tolerance building, or a dose change) — needing the change “reversed” in the same practical sense that a steroid course ending needs its own ladder walked back down.</w:t>
      </w:r>
    </w:p>
    <w:p w14:paraId="2ECBE175" w14:textId="77777777" w:rsidR="00F16DB1" w:rsidRDefault="001E64C6">
      <w:bookmarkStart w:id="21" w:name="sec019"/>
      <w:pPr>
        <w:pStyle w:val="Heading2"/>
        <w:spacing w:before="280" w:after="120"/>
      </w:pPr>
      <w:r>
        <w:t>a. What exists today that could be used manually</w:t>
      </w:r>
      <w:bookmarkEnd w:id="21"/>
      <w:r>
        <w:t xml:space="preserve"> </w:t>
      </w:r>
      <w:hyperlink w:anchor="TOC">
        <w:r>
          <w:rPr>
            <w:rStyle w:val="Hyperlink"/>
          </w:rPr>
          <w:t>Back to TOC</w:t>
        </w:r>
      </w:hyperlink>
    </w:p>
    <w:p w14:paraId="5E950E8F" w14:textId="77777777" w:rsidR="00F16DB1" w:rsidRDefault="001E64C6">
      <w:pPr>
        <w:spacing w:after="100"/>
        <w:ind w:left="360" w:firstLine="0"/>
      </w:pPr>
      <w:r>
        <w:t>• Profile percentage — the bluntest, always-available lever; a lower overall percentage approximates reduced insulin need.</w:t>
      </w:r>
    </w:p>
    <w:p w14:paraId="175C619D" w14:textId="77777777" w:rsidR="00F16DB1" w:rsidRDefault="001E64C6">
      <w:pPr>
        <w:spacing w:after="100"/>
        <w:ind w:left="360" w:firstLine="0"/>
      </w:pPr>
      <w:r>
        <w:t>• TDD Factor / TDD Sensitivity toggles and the TDD Factor fallback value (§3) — since these already scale dosing off a blended sensitivity ratio, they're the closest existing generic tool for a sustained, gradual sensitivity shift rather than a single-event spike.</w:t>
      </w:r>
    </w:p>
    <w:p w14:paraId="4E197975" w14:textId="77777777" w:rsidR="00F16DB1" w:rsidRDefault="001E64C6">
      <w:pPr>
        <w:spacing w:after="100"/>
        <w:ind w:left="360" w:firstLine="0"/>
      </w:pPr>
      <w:r>
        <w:t>• Max autoISF ratio (autoISF_max) and the weight-system entries (§3) — capping or loosening how strongly ISF can be strengthened is the same lever steroids uses in reverse.</w:t>
      </w:r>
    </w:p>
    <w:p w14:paraId="42556AE6" w14:textId="77777777" w:rsidR="00F16DB1" w:rsidRDefault="001E64C6">
      <w:pPr>
        <w:spacing w:after="100"/>
        <w:ind w:left="360" w:firstLine="0"/>
      </w:pPr>
      <w:r>
        <w:t>• A manually-created Automation State (e.g. a new “GLP1” state with values like “Active”/“Off”, added on the States tab per §1) would let a future automation gate on it the same way Steroids/MJ do today — but nothing currently reads or writes such a state.</w:t>
      </w:r>
    </w:p>
    <w:p w14:paraId="61F2DAE3" w14:textId="77777777" w:rsidR="00F16DB1" w:rsidRDefault="001E64C6">
      <w:pPr>
        <w:spacing w:after="160"/>
        <w:ind w:left="360" w:firstLine="0"/>
      </w:pPr>
      <w:r>
        <w:t>If this becomes a recurring real need, the Steroid Kotlin button mechanism above (§4) is the direct template to copy: a dedicated Automation State, a profile-switch ladder (or a TDD-factor/weight ladder instead, since the direction of effect is reversed), SMS + CarePortal confirmation, and a TT-code for remote invocation.</w:t>
      </w:r>
    </w:p>
    <w:p w14:paraId="3CC40E6E" w14:textId="77777777" w:rsidR="00F16DB1" w:rsidRDefault="001E64C6">
      <w:bookmarkStart w:id="22" w:name="sec020"/>
      <w:pPr>
        <w:pStyle w:val="Heading1"/>
        <w:spacing w:before="400" w:after="200"/>
      </w:pPr>
      <w:r>
        <w:t>6. Mechanism For Ignoring Or Invoking Native Automations</w:t>
      </w:r>
      <w:bookmarkEnd w:id="22"/>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3" w:name="sec021"/>
      <w:pPr>
        <w:pStyle w:val="Heading2"/>
        <w:spacing w:before="280" w:after="120"/>
      </w:pPr>
      <w:r>
        <w:t>a. The reconciliation mechanism</w:t>
      </w:r>
      <w:bookmarkEnd w:id="23"/>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4" w:name="sec022"/>
      <w:pPr>
        <w:pStyle w:val="Heading2"/>
        <w:spacing w:before="280" w:after="120"/>
      </w:pPr>
      <w:r>
        <w:t>b. The suppression only applies while AutoISF is actually the active algorithm</w:t>
      </w:r>
      <w:bookmarkEnd w:id="24"/>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5" w:name="sec023"/>
      <w:pPr>
        <w:pStyle w:val="Heading1"/>
        <w:spacing w:before="400" w:after="200"/>
      </w:pPr>
      <w:r>
        <w:t>7. Other Idiosyncrasies Worth Knowing</w:t>
      </w:r>
      <w:bookmarkEnd w:id="25"/>
      <w:r>
        <w:t xml:space="preserve"> </w:t>
      </w:r>
      <w:hyperlink w:anchor="TOC">
        <w:r>
          <w:rPr>
            <w:rStyle w:val="Hyperlink"/>
          </w:rPr>
          <w:t>Back to TOC</w:t>
        </w:r>
      </w:hyperlink>
    </w:p>
    <w:p w14:paraId="7A57B480" w14:textId="77777777" w:rsidR="00F16DB1" w:rsidRDefault="001E64C6">
      <w:bookmarkStart w:id="26" w:name="sec024"/>
      <w:pPr>
        <w:pStyle w:val="Heading2"/>
        <w:spacing w:before="280" w:after="120"/>
      </w:pPr>
      <w:r>
        <w:t>a. CarePortal note codes as a compact diagnostic language</w:t>
      </w:r>
      <w:bookmarkEnd w:id="26"/>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27" w:name="sec025"/>
      <w:pPr>
        <w:pStyle w:val="Heading2"/>
        <w:spacing w:before="280" w:after="120"/>
      </w:pPr>
      <w:r>
        <w:t>b. MJ as the fork's other major state machine</w:t>
      </w:r>
      <w:bookmarkEnd w:id="27"/>
      <w:r>
        <w:t xml:space="preserve"> </w:t>
      </w:r>
      <w:hyperlink w:anchor="TOC">
        <w:r>
          <w:rPr>
            <w:rStyle w:val="Hyperlink"/>
          </w:rPr>
          <w:t>Back to TOC</w:t>
        </w:r>
      </w:hyperlink>
    </w:p>
    <w:p w14:paraId="26BD1EF3" w14:textId="77777777" w:rsidR="00F16DB1" w:rsidRDefault="001E64C6">
      <w:pPr>
        <w:spacing w:after="160"/>
        <w:ind w:left="360" w:firstLine="0"/>
      </w:pPr>
      <w:r>
        <w:t>Beyond Steroids, “MJ” (this fork's own naming; short for “Morning Jog”-style state) is a second Automation State that a large number of other coded automations gate on (</w:t>
      </w:r>
      <w:proofErr w:type="gramStart"/>
      <w:r>
        <w:t>checkAutomationState(</w:t>
      </w:r>
      <w:proofErr w:type="gramEnd"/>
      <w:r>
        <w:t>"MJ", ...)), including several steps of the steroid ladder itself (INCREASE_150/190/250 all require MJ to be in “NOMJremains”). “MJ Kotlin buttons” (default on) is the equivalent Overview quick-access toggle to the Steroid one — also purely a UI convenience; turning it off doesn't disable the underlying MJ-gated automations, only the buttons.</w:t>
      </w:r>
    </w:p>
    <w:p w14:paraId="40591F8D" w14:textId="77777777" w:rsidR="00F16DB1" w:rsidRDefault="001E64C6">
      <w:bookmarkStart w:id="28" w:name="sec026"/>
      <w:pPr>
        <w:pStyle w:val="Heading2"/>
        <w:spacing w:before="280" w:after="120"/>
      </w:pPr>
      <w:r>
        <w:t>c. The AIV/UKFcheck export pipeline has more moving parts than it looks</w:t>
      </w:r>
      <w:bookmarkEnd w:id="28"/>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29" w:name="sec027"/>
      <w:pPr>
        <w:pStyle w:val="Heading2"/>
        <w:spacing w:before="280" w:after="120"/>
      </w:pPr>
      <w:r>
        <w:t>d. A concrete regression pattern worth remembering</w:t>
      </w:r>
      <w:bookmarkEnd w:id="29"/>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bookmarkStart w:id="30" w:name="sec028"/>
      <w:pPr>
        <w:pStyle w:val="Heading1"/>
        <w:spacing w:before="400" w:after="200"/>
      </w:pPr>
      <w:r>
        <w:t>Appendix A — Installation and explanatory information</w:t>
      </w:r>
      <w:bookmarkEnd w:id="30"/>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1" w:name="sec029"/>
      <w:pPr>
        <w:pStyle w:val="Heading2"/>
        <w:spacing w:before="280" w:after="120"/>
      </w:pPr>
      <w:r>
        <w:t>a. Version tag &amp; build identification</w:t>
      </w:r>
      <w:bookmarkEnd w:id="31"/>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2" w:name="sec030"/>
      <w:pPr>
        <w:pStyle w:val="Heading2"/>
        <w:spacing w:before="280" w:after="120"/>
      </w:pPr>
      <w:r>
        <w:t>b. Per-device backup/export folder naming</w:t>
      </w:r>
      <w:bookmarkEnd w:id="32"/>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