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u w:val="single"/>
        </w:rPr>
        <w:t>AutoISF Coded Automations - Current Code Registry (DRAFT)</w:t>
      </w:r>
    </w:p>
    <w:p>
      <w:r>
        <w:t>Current-code audit dated 2026-09-18. This document lists all 180 distinct readyToRun() keys found directly in OpenAPSAutoISFPlugin.kt today, in source appearance order -- generated straight from source rather than from core/utils/CodedAutomationNames.kt, which was found to be stale by 45 keys (139 vs this file's 180) during this audit. The summary column is extracted from the comments attached to each current readyToRun()/markRun() handler; it supersedes the obsolete 2026-08-21, 118-key snapshot. This is a DRAFT for review, not yet swapped into the main manual.</w:t>
      </w:r>
    </w:p>
    <w:p>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 A handful of automations (e.g. LowBgTierAReset, VirtualPseudoWizard) gate their action through a throttleKey/local variable rather than a literal readyToRun("...") call and so do not appear as a distinct row here even though they exist in source -- see the accompanying note for the full list of those.</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0"/>
        <w:gridCol w:w="2050"/>
        <w:gridCol w:w="1600"/>
        <w:gridCol w:w="5210"/>
      </w:tblGrid>
      <w:tr>
        <w:trPr>
          <w:tblHeader w:val="true"/>
        </w:trPr>
        <w:tc>
          <w:tcPr>
            <w:tcW w:type="dxa" w:w="500"/>
            <w:vAlign w:val="center"/>
          </w:tcPr>
          <w:p>
            <w:pPr>
              <w:spacing w:before="0" w:after="30"/>
            </w:pPr>
            <w:r>
              <w:rPr>
                <w:b/>
                <w:sz w:val="14"/>
              </w:rPr>
              <w:t>#</w:t>
            </w:r>
          </w:p>
        </w:tc>
        <w:tc>
          <w:tcPr>
            <w:tcW w:type="dxa" w:w="2050"/>
            <w:vAlign w:val="center"/>
          </w:tcPr>
          <w:p>
            <w:pPr>
              <w:spacing w:before="0" w:after="30"/>
            </w:pPr>
            <w:r>
              <w:rPr>
                <w:b/>
                <w:sz w:val="14"/>
              </w:rPr>
              <w:t>Current coded key</w:t>
            </w:r>
          </w:p>
        </w:tc>
        <w:tc>
          <w:tcPr>
            <w:tcW w:type="dxa" w:w="1600"/>
            <w:vAlign w:val="center"/>
          </w:tcPr>
          <w:p>
            <w:pPr>
              <w:spacing w:before="0" w:after="30"/>
            </w:pPr>
            <w:r>
              <w:rPr>
                <w:b/>
                <w:sz w:val="14"/>
              </w:rPr>
              <w:t>Type</w:t>
            </w:r>
          </w:p>
        </w:tc>
        <w:tc>
          <w:tcPr>
            <w:tcW w:type="dxa" w:w="5210"/>
            <w:vAlign w:val="center"/>
          </w:tcPr>
          <w:p>
            <w:pPr>
              <w:spacing w:before="0" w:after="30"/>
            </w:pPr>
            <w:r>
              <w:rPr>
                <w:b/>
                <w:sz w:val="14"/>
              </w:rPr>
              <w:t>Current code definition / criteria and action</w:t>
            </w:r>
          </w:p>
        </w:tc>
      </w:tr>
      <w:tr>
        <w:tc>
          <w:tcPr>
            <w:tcW w:type="dxa" w:w="500"/>
            <w:vAlign w:val="center"/>
          </w:tcPr>
          <w:p>
            <w:pPr>
              <w:spacing w:before="0" w:after="30"/>
            </w:pPr>
            <w:r>
              <w:rPr>
                <w:sz w:val="14"/>
              </w:rPr>
              <w:t>1</w:t>
            </w:r>
          </w:p>
        </w:tc>
        <w:tc>
          <w:tcPr>
            <w:tcW w:type="dxa" w:w="2050"/>
            <w:vAlign w:val="center"/>
          </w:tcPr>
          <w:p>
            <w:pPr>
              <w:spacing w:before="0" w:after="30"/>
            </w:pPr>
            <w:r>
              <w:rPr>
                <w:sz w:val="14"/>
              </w:rPr>
              <w:t>ProfileBatchRevertC</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Toggle3 / hold-TierC: StandardCurrent+LowCurrent to StandardTierC/LowTierC. Same SteroidsON leave-alone as Toggle2. No-op (no SMS) when already on C.</w:t>
            </w:r>
          </w:p>
        </w:tc>
      </w:tr>
      <w:tr>
        <w:tc>
          <w:tcPr>
            <w:tcW w:type="dxa" w:w="500"/>
            <w:vAlign w:val="center"/>
          </w:tcPr>
          <w:p>
            <w:pPr>
              <w:spacing w:before="0" w:after="30"/>
            </w:pPr>
            <w:r>
              <w:rPr>
                <w:sz w:val="14"/>
              </w:rPr>
              <w:t>2</w:t>
            </w:r>
          </w:p>
        </w:tc>
        <w:tc>
          <w:tcPr>
            <w:tcW w:type="dxa" w:w="2050"/>
            <w:vAlign w:val="center"/>
          </w:tcPr>
          <w:p>
            <w:pPr>
              <w:spacing w:before="0" w:after="30"/>
            </w:pPr>
            <w:r>
              <w:rPr>
                <w:sz w:val="14"/>
              </w:rPr>
              <w:t>ProfileBatchStep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One step on the Steroids Off map only: LowA→B→C→StdA→B→C. No SteroidTier rungs. Down is the reverse (StdA→LowC; lock-step B/C rungs step down together).</w:t>
            </w:r>
          </w:p>
        </w:tc>
      </w:tr>
      <w:tr>
        <w:tc>
          <w:tcPr>
            <w:tcW w:type="dxa" w:w="500"/>
            <w:vAlign w:val="center"/>
          </w:tcPr>
          <w:p>
            <w:pPr>
              <w:spacing w:before="0" w:after="30"/>
            </w:pPr>
            <w:r>
              <w:rPr>
                <w:sz w:val="14"/>
              </w:rPr>
              <w:t>3</w:t>
            </w:r>
          </w:p>
        </w:tc>
        <w:tc>
          <w:tcPr>
            <w:tcW w:type="dxa" w:w="2050"/>
            <w:vAlign w:val="center"/>
          </w:tcPr>
          <w:p>
            <w:pPr>
              <w:spacing w:before="0" w:after="30"/>
            </w:pPr>
            <w:r>
              <w:rPr>
                <w:sz w:val="14"/>
              </w:rPr>
              <w:t>BolusGivenMild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Defer (not consume the 45-min cooldown -- just skip THIS 15-min check, try again next time) while a boost/rise is actively in progress. Added 2026-09-13 after a real collision: a Shizuku auto-install kill+relaunch on Virtual landed right as HiBrkDayMid/P120 was about to fire, and the app was down through that whole ~0.96U dosing window -- Virtual's IOB then ran ~0.7-1.0U behind Client's for the rest of the evening, not from any dosing-logic difference, just from missing that one window entirely. This can't fully eliminate the risk (a rise can still start moments after an install already begins), but it stops the install from deliberately landing ON TOP of a boost that's already firing or just fired. activeTtMgdl() covers BMild/bg3/HiBrk/Giv (all TT-owning while active); the throttle checks catch a boost that already fired and released its TT within the last 5 min.</w:t>
            </w:r>
          </w:p>
        </w:tc>
      </w:tr>
      <w:tr>
        <w:tc>
          <w:tcPr>
            <w:tcW w:type="dxa" w:w="500"/>
            <w:vAlign w:val="center"/>
          </w:tcPr>
          <w:p>
            <w:pPr>
              <w:spacing w:before="0" w:after="30"/>
            </w:pPr>
            <w:r>
              <w:rPr>
                <w:sz w:val="14"/>
              </w:rPr>
              <w:t>4</w:t>
            </w:r>
          </w:p>
        </w:tc>
        <w:tc>
          <w:tcPr>
            <w:tcW w:type="dxa" w:w="2050"/>
            <w:vAlign w:val="center"/>
          </w:tcPr>
          <w:p>
            <w:pPr>
              <w:spacing w:before="0" w:after="30"/>
            </w:pPr>
            <w:r>
              <w:rPr>
                <w:sz w:val="14"/>
              </w:rPr>
              <w:t>BolusGivenBg3</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Defer (not consume the 45-min cooldown -- just skip THIS 15-min check, try again next time) while a boost/rise is actively in progress. Added 2026-09-13 after a real collision: a Shizuku auto-install kill+relaunch on Virtual landed right as HiBrkDayMid/P120 was about to fire, and the app was down through that whole ~0.96U dosing window -- Virtual's IOB then ran ~0.7-1.0U behind Client's for the rest of the evening, not from any dosing-logic difference, just from missing that one window entirely. This can't fully eliminate the risk (a rise can still start moments after an install already begins), but it stops the install from deliberately landing ON TOP of a boost that's already firing or just fired. activeTtMgdl() covers BMild/bg3/HiBrk/Giv (all TT-owning while active); the throttle checks catch a boost that already fired and released its TT within the last 5 min.</w:t>
            </w:r>
          </w:p>
        </w:tc>
      </w:tr>
      <w:tr>
        <w:tc>
          <w:tcPr>
            <w:tcW w:type="dxa" w:w="500"/>
            <w:vAlign w:val="center"/>
          </w:tcPr>
          <w:p>
            <w:pPr>
              <w:spacing w:before="0" w:after="30"/>
            </w:pPr>
            <w:r>
              <w:rPr>
                <w:sz w:val="14"/>
              </w:rPr>
              <w:t>5</w:t>
            </w:r>
          </w:p>
        </w:tc>
        <w:tc>
          <w:tcPr>
            <w:tcW w:type="dxa" w:w="2050"/>
            <w:vAlign w:val="center"/>
          </w:tcPr>
          <w:p>
            <w:pPr>
              <w:spacing w:before="0" w:after="30"/>
            </w:pPr>
            <w:r>
              <w:rPr>
                <w:sz w:val="14"/>
              </w:rPr>
              <w:t>BolusGiven</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Defer (not consume the 45-min cooldown -- just skip THIS 15-min check, try again next time) while a boost/rise is actively in progress. Added 2026-09-13 after a real collision: a Shizuku auto-install kill+relaunch on Virtual landed right as HiBrkDayMid/P120 was about to fire, and the app was down through that whole ~0.96U dosing window -- Virtual's IOB then ran ~0.7-1.0U behind Client's for the rest of the evening, not from any dosing-logic difference, just from missing that one window entirely. This can't fully eliminate the risk (a rise can still start moments after an install already begins), but it stops the install from deliberately landing ON TOP of a boost that's already firing or just fired. activeTtMgdl() covers BMild/bg3/HiBrk/Giv (all TT-owning while active); the throttle checks catch a boost that already fired and released its TT within the last 5 min.</w:t>
            </w:r>
          </w:p>
        </w:tc>
      </w:tr>
      <w:tr>
        <w:tc>
          <w:tcPr>
            <w:tcW w:type="dxa" w:w="500"/>
            <w:vAlign w:val="center"/>
          </w:tcPr>
          <w:p>
            <w:pPr>
              <w:spacing w:before="0" w:after="30"/>
            </w:pPr>
            <w:r>
              <w:rPr>
                <w:sz w:val="14"/>
              </w:rPr>
              <w:t>6</w:t>
            </w:r>
          </w:p>
        </w:tc>
        <w:tc>
          <w:tcPr>
            <w:tcW w:type="dxa" w:w="2050"/>
            <w:vAlign w:val="center"/>
          </w:tcPr>
          <w:p>
            <w:pPr>
              <w:spacing w:before="0" w:after="30"/>
            </w:pPr>
            <w:r>
              <w:rPr>
                <w:sz w:val="14"/>
              </w:rPr>
              <w:t>UamBst</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Defer (not consume the 45-min cooldown -- just skip THIS 15-min check, try again next time) while a boost/rise is actively in progress. Added 2026-09-13 after a real collision: a Shizuku auto-install kill+relaunch on Virtual landed right as HiBrkDayMid/P120 was about to fire, and the app was down through that whole ~0.96U dosing window -- Virtual's IOB then ran ~0.7-1.0U behind Client's for the rest of the evening, not from any dosing-logic difference, just from missing that one window entirely. This can't fully eliminate the risk (a rise can still start moments after an install already begins), but it stops the install from deliberately landing ON TOP of a boost that's already firing or just fired. activeTtMgdl() covers BMild/bg3/HiBrk/Giv (all TT-owning while active); the throttle checks catch a boost that already fired and released its TT within the last 5 min.</w:t>
            </w:r>
          </w:p>
        </w:tc>
      </w:tr>
      <w:tr>
        <w:tc>
          <w:tcPr>
            <w:tcW w:type="dxa" w:w="500"/>
            <w:vAlign w:val="center"/>
          </w:tcPr>
          <w:p>
            <w:pPr>
              <w:spacing w:before="0" w:after="30"/>
            </w:pPr>
            <w:r>
              <w:rPr>
                <w:sz w:val="14"/>
              </w:rPr>
              <w:t>7</w:t>
            </w:r>
          </w:p>
        </w:tc>
        <w:tc>
          <w:tcPr>
            <w:tcW w:type="dxa" w:w="2050"/>
            <w:vAlign w:val="center"/>
          </w:tcPr>
          <w:p>
            <w:pPr>
              <w:spacing w:before="0" w:after="30"/>
            </w:pPr>
            <w:r>
              <w:rPr>
                <w:sz w:val="14"/>
              </w:rPr>
              <w:t>HighDaytimeBrake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HighDaytimeBrake: daytime counterpart to HighEveNightBrake above, added 2026-08-29 at explicit request. High band (&gt;=9.0, x2, HiBrkDay) stays the exact complement of the night brake (06:00-22:00 vs 22:00-06:00) so the two 9.0/x2 paths never overlap. Mid band (&gt;6.5, x1.5, HiBrkDayMid) was extended 2026-09-01 from 22:00 to 02:00: after 22:00, night HiBrk only covers &gt;=9.0 (bar raised from 7.5 on 2026-08-29 because ~8.0-8.1 felt too low for the x2 path), which left 6.5-9.0 plateaus untreated until morning. Mid is the gentler x1.5 lever for that gap, not a reopening of the night x2 bar. End pulled back 02:00→01:30 on 6 Sep 2026 (explicit request); mid-band START pulled 06:00→08:30 on 7 Sep 2026 (explicit request) after a 06:14 HiBrkDayMid fire on flat BG ~7.0 stacked IOB 0.3→1.1 and drove a 4.7 an hour later.</w:t>
            </w:r>
          </w:p>
        </w:tc>
      </w:tr>
      <w:tr>
        <w:tc>
          <w:tcPr>
            <w:tcW w:type="dxa" w:w="500"/>
            <w:vAlign w:val="center"/>
          </w:tcPr>
          <w:p>
            <w:pPr>
              <w:spacing w:before="0" w:after="30"/>
            </w:pPr>
            <w:r>
              <w:rPr>
                <w:sz w:val="14"/>
              </w:rPr>
              <w:t>8</w:t>
            </w:r>
          </w:p>
        </w:tc>
        <w:tc>
          <w:tcPr>
            <w:tcW w:type="dxa" w:w="2050"/>
            <w:vAlign w:val="center"/>
          </w:tcPr>
          <w:p>
            <w:pPr>
              <w:spacing w:before="0" w:after="30"/>
            </w:pPr>
            <w:r>
              <w:rPr>
                <w:sz w:val="14"/>
              </w:rPr>
              <w:t>HighEveNightBrake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HighEveNightBrake: coded port of the "5-min IOB change too high" brake idea from the 27-28 Aug investigation, added 2026-08-28, revised same day after a real gap was found: dropping the native trigger's flat-BG requirement meant this could fire an aggressive low TT DURING an active rise, and the one-time pre-fire brake had no say over the following 5 minutes -- everything downstream (core SMB math against the lower target, plus any of BolusGiven/BolusGivenMild's own Delta/SDelta-gated branches) could compound past the brake entirely. Two changes fix that: the flat-BG gate is back (native's own values, not an approximation -- see below), and the IOB brake now also runs CONTINUOUSLY while the TT it set is active, cutting it short rather than only ever gating the initial decision.</w:t>
            </w:r>
          </w:p>
        </w:tc>
      </w:tr>
      <w:tr>
        <w:tc>
          <w:tcPr>
            <w:tcW w:type="dxa" w:w="500"/>
            <w:vAlign w:val="center"/>
          </w:tcPr>
          <w:p>
            <w:pPr>
              <w:spacing w:before="0" w:after="30"/>
            </w:pPr>
            <w:r>
              <w:rPr>
                <w:sz w:val="14"/>
              </w:rPr>
              <w:t>9</w:t>
            </w:r>
          </w:p>
        </w:tc>
        <w:tc>
          <w:tcPr>
            <w:tcW w:type="dxa" w:w="2050"/>
            <w:vAlign w:val="center"/>
          </w:tcPr>
          <w:p>
            <w:pPr>
              <w:spacing w:before="0" w:after="30"/>
            </w:pPr>
            <w:r>
              <w:rPr>
                <w:sz w:val="14"/>
              </w:rPr>
              <w:t>MJ4</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 automation (MJ=MJ4). Self-guarding: state change prevents re-fire. 5-min floor throttle (see readyToRun() usage note near its declaration).</w:t>
            </w:r>
          </w:p>
        </w:tc>
      </w:tr>
      <w:tr>
        <w:tc>
          <w:tcPr>
            <w:tcW w:type="dxa" w:w="500"/>
            <w:vAlign w:val="center"/>
          </w:tcPr>
          <w:p>
            <w:pPr>
              <w:spacing w:before="0" w:after="30"/>
            </w:pPr>
            <w:r>
              <w:rPr>
                <w:sz w:val="14"/>
              </w:rPr>
              <w:t>10</w:t>
            </w:r>
          </w:p>
        </w:tc>
        <w:tc>
          <w:tcPr>
            <w:tcW w:type="dxa" w:w="2050"/>
            <w:vAlign w:val="center"/>
          </w:tcPr>
          <w:p>
            <w:pPr>
              <w:spacing w:before="0" w:after="30"/>
            </w:pPr>
            <w:r>
              <w:rPr>
                <w:sz w:val="14"/>
              </w:rPr>
              <w:t>MJ5</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"Test2" automation (MJ=MJ5): also switches to Current ProfileReal for 30 min.</w:t>
            </w:r>
          </w:p>
        </w:tc>
      </w:tr>
      <w:tr>
        <w:tc>
          <w:tcPr>
            <w:tcW w:type="dxa" w:w="500"/>
            <w:vAlign w:val="center"/>
          </w:tcPr>
          <w:p>
            <w:pPr>
              <w:spacing w:before="0" w:after="30"/>
            </w:pPr>
            <w:r>
              <w:rPr>
                <w:sz w:val="14"/>
              </w:rPr>
              <w:t>11</w:t>
            </w:r>
          </w:p>
        </w:tc>
        <w:tc>
          <w:tcPr>
            <w:tcW w:type="dxa" w:w="2050"/>
            <w:vAlign w:val="center"/>
          </w:tcPr>
          <w:p>
            <w:pPr>
              <w:spacing w:before="0" w:after="30"/>
            </w:pPr>
            <w:r>
              <w:rPr>
                <w:sz w:val="14"/>
              </w:rPr>
              <w:t>Test3</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tc>
          <w:tcPr>
            <w:tcW w:type="dxa" w:w="500"/>
            <w:vAlign w:val="center"/>
          </w:tcPr>
          <w:p>
            <w:pPr>
              <w:spacing w:before="0" w:after="30"/>
            </w:pPr>
            <w:r>
              <w:rPr>
                <w:sz w:val="14"/>
              </w:rPr>
              <w:t>12</w:t>
            </w:r>
          </w:p>
        </w:tc>
        <w:tc>
          <w:tcPr>
            <w:tcW w:type="dxa" w:w="2050"/>
            <w:vAlign w:val="center"/>
          </w:tcPr>
          <w:p>
            <w:pPr>
              <w:spacing w:before="0" w:after="30"/>
            </w:pPr>
            <w:r>
              <w:rPr>
                <w:sz w:val="14"/>
              </w:rPr>
              <w:t>MJ2old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MJ2 old: advances MJ state from "MJ active" → MJ2 at 02:10–03:10 AM</w:t>
            </w:r>
          </w:p>
        </w:tc>
      </w:tr>
      <w:tr>
        <w:tc>
          <w:tcPr>
            <w:tcW w:type="dxa" w:w="500"/>
            <w:vAlign w:val="center"/>
          </w:tcPr>
          <w:p>
            <w:pPr>
              <w:spacing w:before="0" w:after="30"/>
            </w:pPr>
            <w:r>
              <w:rPr>
                <w:sz w:val="14"/>
              </w:rPr>
              <w:t>13</w:t>
            </w:r>
          </w:p>
        </w:tc>
        <w:tc>
          <w:tcPr>
            <w:tcW w:type="dxa" w:w="2050"/>
            <w:vAlign w:val="center"/>
          </w:tcPr>
          <w:p>
            <w:pPr>
              <w:spacing w:before="0" w:after="30"/>
            </w:pPr>
            <w:r>
              <w:rPr>
                <w:sz w:val="14"/>
              </w:rPr>
              <w:t>MJ3old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MJ3 old: advances MJ state from MJ2 → MJ3 at 01:05–02:05 AM</w:t>
            </w:r>
          </w:p>
        </w:tc>
      </w:tr>
      <w:tr>
        <w:tc>
          <w:tcPr>
            <w:tcW w:type="dxa" w:w="500"/>
            <w:vAlign w:val="center"/>
          </w:tcPr>
          <w:p>
            <w:pPr>
              <w:spacing w:before="0" w:after="30"/>
            </w:pPr>
            <w:r>
              <w:rPr>
                <w:sz w:val="14"/>
              </w:rPr>
              <w:t>14</w:t>
            </w:r>
          </w:p>
        </w:tc>
        <w:tc>
          <w:tcPr>
            <w:tcW w:type="dxa" w:w="2050"/>
            <w:vAlign w:val="center"/>
          </w:tcPr>
          <w:p>
            <w:pPr>
              <w:spacing w:before="0" w:after="30"/>
            </w:pPr>
            <w:r>
              <w:rPr>
                <w:sz w:val="14"/>
              </w:rPr>
              <w:t>MJoff</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MJoff old: exits MJ cycle when MJ3 active Block 1: 12:00–21:04 with BGL &gt;= 10.5 mmol. Block 2: midnight 00:00–01:00.</w:t>
            </w:r>
          </w:p>
        </w:tc>
      </w:tr>
      <w:tr>
        <w:tc>
          <w:tcPr>
            <w:tcW w:type="dxa" w:w="500"/>
            <w:vAlign w:val="center"/>
          </w:tcPr>
          <w:p>
            <w:pPr>
              <w:spacing w:before="0" w:after="30"/>
            </w:pPr>
            <w:r>
              <w:rPr>
                <w:sz w:val="14"/>
              </w:rPr>
              <w:t>15</w:t>
            </w:r>
          </w:p>
        </w:tc>
        <w:tc>
          <w:tcPr>
            <w:tcW w:type="dxa" w:w="2050"/>
            <w:vAlign w:val="center"/>
          </w:tcPr>
          <w:p>
            <w:pPr>
              <w:spacing w:before="0" w:after="30"/>
            </w:pPr>
            <w:r>
              <w:rPr>
                <w:sz w:val="14"/>
              </w:rPr>
              <w:t>PrepareSet50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tc>
          <w:tcPr>
            <w:tcW w:type="dxa" w:w="500"/>
            <w:vAlign w:val="center"/>
          </w:tcPr>
          <w:p>
            <w:pPr>
              <w:spacing w:before="0" w:after="30"/>
            </w:pPr>
            <w:r>
              <w:rPr>
                <w:sz w:val="14"/>
              </w:rPr>
              <w:t>16</w:t>
            </w:r>
          </w:p>
        </w:tc>
        <w:tc>
          <w:tcPr>
            <w:tcW w:type="dxa" w:w="2050"/>
            <w:vAlign w:val="center"/>
          </w:tcPr>
          <w:p>
            <w:pPr>
              <w:spacing w:before="0" w:after="30"/>
            </w:pPr>
            <w:r>
              <w:rPr>
                <w:sz w:val="14"/>
              </w:rPr>
              <w:t>LibreOver12Backfill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OldSensorAdj: Libre special settings for an aging sensor (12-15 days) — swings high/low too easily and isn't compensated by the usual slope/offset calibration. Mirrored at the other end of the sensor's life too (0-3 days): a brand-new sensor has its own settling/compression artifact inaccuracy, easing back toward normal as it moves away from insertion, same as it eases away from the 12-15 day window as it ages — day 0 (&lt;1 day, the WHOLE first day, no separate &lt;6h sub-tier) mirrors the MOST extreme 14-15 day tier (0.65/1.6), day 1 mirrors 13-14 (0.68/1.5), day 2 mirrors 12-13 (0.70/1.45). Tiered FslCalSlope/FslCalOffset override applies by sensor age (no MJ/hypo-state or cannula-age gating). The configured LibreSlope_orig/LibreOffset_orig pair is the explicit baseline.</w:t>
            </w:r>
          </w:p>
        </w:tc>
      </w:tr>
      <w:tr>
        <w:tc>
          <w:tcPr>
            <w:tcW w:type="dxa" w:w="500"/>
            <w:vAlign w:val="center"/>
          </w:tcPr>
          <w:p>
            <w:pPr>
              <w:spacing w:before="0" w:after="30"/>
            </w:pPr>
            <w:r>
              <w:rPr>
                <w:sz w:val="14"/>
              </w:rPr>
              <w:t>17</w:t>
            </w:r>
          </w:p>
        </w:tc>
        <w:tc>
          <w:tcPr>
            <w:tcW w:type="dxa" w:w="2050"/>
            <w:vAlign w:val="center"/>
          </w:tcPr>
          <w:p>
            <w:pPr>
              <w:spacing w:before="0" w:after="30"/>
            </w:pPr>
            <w:r>
              <w:rPr>
                <w:sz w:val="14"/>
              </w:rPr>
              <w:t>SensorAgeAutoOff</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OldSensorAdj: Libre special settings for an aging sensor (12-15 days) — swings high/low too easily and isn't compensated by the usual slope/offset calibration. Mirrored at the other end of the sensor's life too (0-3 days): a brand-new sensor has its own settling/compression artifact inaccuracy, easing back toward normal as it moves away from insertion, same as it eases away from the 12-15 day window as it ages — day 0 (&lt;1 day, the WHOLE first day, no separate &lt;6h sub-tier) mirrors the MOST extreme 14-15 day tier (0.65/1.6), day 1 mirrors 13-14 (0.68/1.5), day 2 mirrors 12-13 (0.70/1.45). Tiered FslCalSlope/FslCalOffset override applies by sensor age (no MJ/hypo-state or cannula-age gating). The configured LibreSlope_orig/LibreOffset_orig pair is the explicit baseline.</w:t>
            </w:r>
          </w:p>
        </w:tc>
      </w:tr>
      <w:tr>
        <w:tc>
          <w:tcPr>
            <w:tcW w:type="dxa" w:w="500"/>
            <w:vAlign w:val="center"/>
          </w:tcPr>
          <w:p>
            <w:pPr>
              <w:spacing w:before="0" w:after="30"/>
            </w:pPr>
            <w:r>
              <w:rPr>
                <w:sz w:val="14"/>
              </w:rPr>
              <w:t>18</w:t>
            </w:r>
          </w:p>
        </w:tc>
        <w:tc>
          <w:tcPr>
            <w:tcW w:type="dxa" w:w="2050"/>
            <w:vAlign w:val="center"/>
          </w:tcPr>
          <w:p>
            <w:pPr>
              <w:spacing w:before="0" w:after="30"/>
            </w:pPr>
            <w:r>
              <w:rPr>
                <w:sz w:val="14"/>
              </w:rPr>
              <w:t>SensorAgeAutoOn</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OldSensorAdj: Libre special settings for an aging sensor (12-15 days) — swings high/low too easily and isn't compensated by the usual slope/offset calibration. Mirrored at the other end of the sensor's life too (0-3 days): a brand-new sensor has its own settling/compression artifact inaccuracy, easing back toward normal as it moves away from insertion, same as it eases away from the 12-15 day window as it ages — day 0 (&lt;1 day, the WHOLE first day, no separate &lt;6h sub-tier) mirrors the MOST extreme 14-15 day tier (0.65/1.6), day 1 mirrors 13-14 (0.68/1.5), day 2 mirrors 12-13 (0.70/1.45). Tiered FslCalSlope/FslCalOffset override applies by sensor age (no MJ/hypo-state or cannula-age gating). The configured LibreSlope_orig/LibreOffset_orig pair is the explicit baseline.</w:t>
            </w:r>
          </w:p>
        </w:tc>
      </w:tr>
      <w:tr>
        <w:tc>
          <w:tcPr>
            <w:tcW w:type="dxa" w:w="500"/>
            <w:vAlign w:val="center"/>
          </w:tcPr>
          <w:p>
            <w:pPr>
              <w:spacing w:before="0" w:after="30"/>
            </w:pPr>
            <w:r>
              <w:rPr>
                <w:sz w:val="14"/>
              </w:rPr>
              <w:t>19</w:t>
            </w:r>
          </w:p>
        </w:tc>
        <w:tc>
          <w:tcPr>
            <w:tcW w:type="dxa" w:w="2050"/>
            <w:vAlign w:val="center"/>
          </w:tcPr>
          <w:p>
            <w:pPr>
              <w:spacing w:before="0" w:after="30"/>
            </w:pPr>
            <w:r>
              <w:rPr>
                <w:sz w:val="14"/>
              </w:rPr>
              <w:t>SensorAgeToggleTT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tc>
          <w:tcPr>
            <w:tcW w:type="dxa" w:w="500"/>
            <w:vAlign w:val="center"/>
          </w:tcPr>
          <w:p>
            <w:pPr>
              <w:spacing w:before="0" w:after="30"/>
            </w:pPr>
            <w:r>
              <w:rPr>
                <w:sz w:val="14"/>
              </w:rPr>
              <w:t>20</w:t>
            </w:r>
          </w:p>
        </w:tc>
        <w:tc>
          <w:tcPr>
            <w:tcW w:type="dxa" w:w="2050"/>
            <w:vAlign w:val="center"/>
          </w:tcPr>
          <w:p>
            <w:pPr>
              <w:spacing w:before="0" w:after="30"/>
            </w:pPr>
            <w:r>
              <w:rPr>
                <w:sz w:val="14"/>
              </w:rPr>
              <w:t>BoostToggleTT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tc>
          <w:tcPr>
            <w:tcW w:type="dxa" w:w="500"/>
            <w:vAlign w:val="center"/>
          </w:tcPr>
          <w:p>
            <w:pPr>
              <w:spacing w:before="0" w:after="30"/>
            </w:pPr>
            <w:r>
              <w:rPr>
                <w:sz w:val="14"/>
              </w:rPr>
              <w:t>21</w:t>
            </w:r>
          </w:p>
        </w:tc>
        <w:tc>
          <w:tcPr>
            <w:tcW w:type="dxa" w:w="2050"/>
            <w:vAlign w:val="center"/>
          </w:tcPr>
          <w:p>
            <w:pPr>
              <w:spacing w:before="0" w:after="30"/>
            </w:pPr>
            <w:r>
              <w:rPr>
                <w:sz w:val="14"/>
              </w:rPr>
              <w:t>SmbDeliveryDownTT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tc>
          <w:tcPr>
            <w:tcW w:type="dxa" w:w="500"/>
            <w:vAlign w:val="center"/>
          </w:tcPr>
          <w:p>
            <w:pPr>
              <w:spacing w:before="0" w:after="30"/>
            </w:pPr>
            <w:r>
              <w:rPr>
                <w:sz w:val="14"/>
              </w:rPr>
              <w:t>22</w:t>
            </w:r>
          </w:p>
        </w:tc>
        <w:tc>
          <w:tcPr>
            <w:tcW w:type="dxa" w:w="2050"/>
            <w:vAlign w:val="center"/>
          </w:tcPr>
          <w:p>
            <w:pPr>
              <w:spacing w:before="0" w:after="30"/>
            </w:pPr>
            <w:r>
              <w:rPr>
                <w:sz w:val="14"/>
              </w:rPr>
              <w:t>SmbDeliveryUpTT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SmbDeliveryUpTT: manually setting a TT of 5.04 mmol is used as a remote +0.01 nudge on both SMB delivery settings, clamped to each key's own max -- 0.5 for ApsAutoIsfSmbDeliveryBaseline, 1.0 for ApsAutoIsfMildBoostRatio (widened 2026-08-29, see DoubleKey.kt; this combined block's own ±0.01 step is untouched, unlike the dedicated MildBoostDownTT/UpTT pair below which now steps by 0.05). Same pattern and same tight 0.001mmol tolerance as SmbDeliveryDownTT above.</w:t>
            </w:r>
          </w:p>
        </w:tc>
      </w:tr>
      <w:tr>
        <w:tc>
          <w:tcPr>
            <w:tcW w:type="dxa" w:w="500"/>
            <w:vAlign w:val="center"/>
          </w:tcPr>
          <w:p>
            <w:pPr>
              <w:spacing w:before="0" w:after="30"/>
            </w:pPr>
            <w:r>
              <w:rPr>
                <w:sz w:val="14"/>
              </w:rPr>
              <w:t>23</w:t>
            </w:r>
          </w:p>
        </w:tc>
        <w:tc>
          <w:tcPr>
            <w:tcW w:type="dxa" w:w="2050"/>
            <w:vAlign w:val="center"/>
          </w:tcPr>
          <w:p>
            <w:pPr>
              <w:spacing w:before="0" w:after="30"/>
            </w:pPr>
            <w:r>
              <w:rPr>
                <w:sz w:val="14"/>
              </w:rPr>
              <w:t>PpWeightDownTT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tc>
          <w:tcPr>
            <w:tcW w:type="dxa" w:w="500"/>
            <w:vAlign w:val="center"/>
          </w:tcPr>
          <w:p>
            <w:pPr>
              <w:spacing w:before="0" w:after="30"/>
            </w:pPr>
            <w:r>
              <w:rPr>
                <w:sz w:val="14"/>
              </w:rPr>
              <w:t>24</w:t>
            </w:r>
          </w:p>
        </w:tc>
        <w:tc>
          <w:tcPr>
            <w:tcW w:type="dxa" w:w="2050"/>
            <w:vAlign w:val="center"/>
          </w:tcPr>
          <w:p>
            <w:pPr>
              <w:spacing w:before="0" w:after="30"/>
            </w:pPr>
            <w:r>
              <w:rPr>
                <w:sz w:val="14"/>
              </w:rPr>
              <w:t>PpWeightUpTT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PpWeightUpTT: manually setting a TT of 5.14 mmol is used as a remote +0.01 nudge on ApsAutoIsfPpWeightNormal, clamped to its own max (0.15). Same pattern as PpWeightDownTT above.</w:t>
            </w:r>
          </w:p>
        </w:tc>
      </w:tr>
      <w:tr>
        <w:tc>
          <w:tcPr>
            <w:tcW w:type="dxa" w:w="500"/>
            <w:vAlign w:val="center"/>
          </w:tcPr>
          <w:p>
            <w:pPr>
              <w:spacing w:before="0" w:after="30"/>
            </w:pPr>
            <w:r>
              <w:rPr>
                <w:sz w:val="14"/>
              </w:rPr>
              <w:t>25</w:t>
            </w:r>
          </w:p>
        </w:tc>
        <w:tc>
          <w:tcPr>
            <w:tcW w:type="dxa" w:w="2050"/>
            <w:vAlign w:val="center"/>
          </w:tcPr>
          <w:p>
            <w:pPr>
              <w:spacing w:before="0" w:after="30"/>
            </w:pPr>
            <w:r>
              <w:rPr>
                <w:sz w:val="14"/>
              </w:rPr>
              <w:t>PpWeightHighDownTT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tc>
          <w:tcPr>
            <w:tcW w:type="dxa" w:w="500"/>
            <w:vAlign w:val="center"/>
          </w:tcPr>
          <w:p>
            <w:pPr>
              <w:spacing w:before="0" w:after="30"/>
            </w:pPr>
            <w:r>
              <w:rPr>
                <w:sz w:val="14"/>
              </w:rPr>
              <w:t>26</w:t>
            </w:r>
          </w:p>
        </w:tc>
        <w:tc>
          <w:tcPr>
            <w:tcW w:type="dxa" w:w="2050"/>
            <w:vAlign w:val="center"/>
          </w:tcPr>
          <w:p>
            <w:pPr>
              <w:spacing w:before="0" w:after="30"/>
            </w:pPr>
            <w:r>
              <w:rPr>
                <w:sz w:val="14"/>
              </w:rPr>
              <w:t>PpWeightHighUpTT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PpWeightHighUpTT: manually setting a TT of 5.058 mmol is used as a remote +0.01 nudge on ApsAutoIsfPpWeightHigh, clamped to its own max (0.15). Same pattern as PpWeightHighDownTT above.</w:t>
            </w:r>
          </w:p>
        </w:tc>
      </w:tr>
      <w:tr>
        <w:tc>
          <w:tcPr>
            <w:tcW w:type="dxa" w:w="500"/>
            <w:vAlign w:val="center"/>
          </w:tcPr>
          <w:p>
            <w:pPr>
              <w:spacing w:before="0" w:after="30"/>
            </w:pPr>
            <w:r>
              <w:rPr>
                <w:sz w:val="14"/>
              </w:rPr>
              <w:t>27</w:t>
            </w:r>
          </w:p>
        </w:tc>
        <w:tc>
          <w:tcPr>
            <w:tcW w:type="dxa" w:w="2050"/>
            <w:vAlign w:val="center"/>
          </w:tcPr>
          <w:p>
            <w:pPr>
              <w:spacing w:before="0" w:after="30"/>
            </w:pPr>
            <w:r>
              <w:rPr>
                <w:sz w:val="14"/>
              </w:rPr>
              <w:t>PpWeightRevertUnder8_5</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tc>
          <w:tcPr>
            <w:tcW w:type="dxa" w:w="500"/>
            <w:vAlign w:val="center"/>
          </w:tcPr>
          <w:p>
            <w:pPr>
              <w:spacing w:before="0" w:after="30"/>
            </w:pPr>
            <w:r>
              <w:rPr>
                <w:sz w:val="14"/>
              </w:rPr>
              <w:t>28</w:t>
            </w:r>
          </w:p>
        </w:tc>
        <w:tc>
          <w:tcPr>
            <w:tcW w:type="dxa" w:w="2050"/>
            <w:vAlign w:val="center"/>
          </w:tcPr>
          <w:p>
            <w:pPr>
              <w:spacing w:before="0" w:after="30"/>
            </w:pPr>
            <w:r>
              <w:rPr>
                <w:sz w:val="14"/>
              </w:rPr>
              <w:t>High6PP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tc>
          <w:tcPr>
            <w:tcW w:type="dxa" w:w="500"/>
            <w:vAlign w:val="center"/>
          </w:tcPr>
          <w:p>
            <w:pPr>
              <w:spacing w:before="0" w:after="30"/>
            </w:pPr>
            <w:r>
              <w:rPr>
                <w:sz w:val="14"/>
              </w:rPr>
              <w:t>29</w:t>
            </w:r>
          </w:p>
        </w:tc>
        <w:tc>
          <w:tcPr>
            <w:tcW w:type="dxa" w:w="2050"/>
            <w:vAlign w:val="center"/>
          </w:tcPr>
          <w:p>
            <w:pPr>
              <w:spacing w:before="0" w:after="30"/>
            </w:pPr>
            <w:r>
              <w:rPr>
                <w:sz w:val="14"/>
              </w:rPr>
              <w:t>HighOldPod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tc>
          <w:tcPr>
            <w:tcW w:type="dxa" w:w="500"/>
            <w:vAlign w:val="center"/>
          </w:tcPr>
          <w:p>
            <w:pPr>
              <w:spacing w:before="0" w:after="30"/>
            </w:pPr>
            <w:r>
              <w:rPr>
                <w:sz w:val="14"/>
              </w:rPr>
              <w:t>30</w:t>
            </w:r>
          </w:p>
        </w:tc>
        <w:tc>
          <w:tcPr>
            <w:tcW w:type="dxa" w:w="2050"/>
            <w:vAlign w:val="center"/>
          </w:tcPr>
          <w:p>
            <w:pPr>
              <w:spacing w:before="0" w:after="30"/>
            </w:pPr>
            <w:r>
              <w:rPr>
                <w:sz w:val="14"/>
              </w:rPr>
              <w:t>PodChangeHighPP130</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tc>
          <w:tcPr>
            <w:tcW w:type="dxa" w:w="500"/>
            <w:vAlign w:val="center"/>
          </w:tcPr>
          <w:p>
            <w:pPr>
              <w:spacing w:before="0" w:after="30"/>
            </w:pPr>
            <w:r>
              <w:rPr>
                <w:sz w:val="14"/>
              </w:rPr>
              <w:t>31</w:t>
            </w:r>
          </w:p>
        </w:tc>
        <w:tc>
          <w:tcPr>
            <w:tcW w:type="dxa" w:w="2050"/>
            <w:vAlign w:val="center"/>
          </w:tcPr>
          <w:p>
            <w:pPr>
              <w:spacing w:before="0" w:after="30"/>
            </w:pPr>
            <w:r>
              <w:rPr>
                <w:sz w:val="14"/>
              </w:rPr>
              <w:t>OldPod2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tc>
          <w:tcPr>
            <w:tcW w:type="dxa" w:w="500"/>
            <w:vAlign w:val="center"/>
          </w:tcPr>
          <w:p>
            <w:pPr>
              <w:spacing w:before="0" w:after="30"/>
            </w:pPr>
            <w:r>
              <w:rPr>
                <w:sz w:val="14"/>
              </w:rPr>
              <w:t>32</w:t>
            </w:r>
          </w:p>
        </w:tc>
        <w:tc>
          <w:tcPr>
            <w:tcW w:type="dxa" w:w="2050"/>
            <w:vAlign w:val="center"/>
          </w:tcPr>
          <w:p>
            <w:pPr>
              <w:spacing w:before="0" w:after="30"/>
            </w:pPr>
            <w:r>
              <w:rPr>
                <w:sz w:val="14"/>
              </w:rPr>
              <w:t>RecentPod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tc>
          <w:tcPr>
            <w:tcW w:type="dxa" w:w="500"/>
            <w:vAlign w:val="center"/>
          </w:tcPr>
          <w:p>
            <w:pPr>
              <w:spacing w:before="0" w:after="30"/>
            </w:pPr>
            <w:r>
              <w:rPr>
                <w:sz w:val="14"/>
              </w:rPr>
              <w:t>33</w:t>
            </w:r>
          </w:p>
        </w:tc>
        <w:tc>
          <w:tcPr>
            <w:tcW w:type="dxa" w:w="2050"/>
            <w:vAlign w:val="center"/>
          </w:tcPr>
          <w:p>
            <w:pPr>
              <w:spacing w:before="0" w:after="30"/>
            </w:pPr>
            <w:r>
              <w:rPr>
                <w:sz w:val="14"/>
              </w:rPr>
              <w:t>AcceWeightDownTT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tc>
          <w:tcPr>
            <w:tcW w:type="dxa" w:w="500"/>
            <w:vAlign w:val="center"/>
          </w:tcPr>
          <w:p>
            <w:pPr>
              <w:spacing w:before="0" w:after="30"/>
            </w:pPr>
            <w:r>
              <w:rPr>
                <w:sz w:val="14"/>
              </w:rPr>
              <w:t>34</w:t>
            </w:r>
          </w:p>
        </w:tc>
        <w:tc>
          <w:tcPr>
            <w:tcW w:type="dxa" w:w="2050"/>
            <w:vAlign w:val="center"/>
          </w:tcPr>
          <w:p>
            <w:pPr>
              <w:spacing w:before="0" w:after="30"/>
            </w:pPr>
            <w:r>
              <w:rPr>
                <w:sz w:val="14"/>
              </w:rPr>
              <w:t>AcceWeightUpTT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AcceWeightUpTT: manually setting a TT of 5.18 mmol is used as a remote +0.05 nudge on ApsAutoIsfBgAccelWeightNormal, clamped to a max of 1.00. Same pattern as AcceWeightDownTT above.</w:t>
            </w:r>
          </w:p>
        </w:tc>
      </w:tr>
      <w:tr>
        <w:tc>
          <w:tcPr>
            <w:tcW w:type="dxa" w:w="500"/>
            <w:vAlign w:val="center"/>
          </w:tcPr>
          <w:p>
            <w:pPr>
              <w:spacing w:before="0" w:after="30"/>
            </w:pPr>
            <w:r>
              <w:rPr>
                <w:sz w:val="14"/>
              </w:rPr>
              <w:t>35</w:t>
            </w:r>
          </w:p>
        </w:tc>
        <w:tc>
          <w:tcPr>
            <w:tcW w:type="dxa" w:w="2050"/>
            <w:vAlign w:val="center"/>
          </w:tcPr>
          <w:p>
            <w:pPr>
              <w:spacing w:before="0" w:after="30"/>
            </w:pPr>
            <w:r>
              <w:rPr>
                <w:sz w:val="14"/>
              </w:rPr>
              <w:t>AcceWeightHighDownTT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tc>
          <w:tcPr>
            <w:tcW w:type="dxa" w:w="500"/>
            <w:vAlign w:val="center"/>
          </w:tcPr>
          <w:p>
            <w:pPr>
              <w:spacing w:before="0" w:after="30"/>
            </w:pPr>
            <w:r>
              <w:rPr>
                <w:sz w:val="14"/>
              </w:rPr>
              <w:t>36</w:t>
            </w:r>
          </w:p>
        </w:tc>
        <w:tc>
          <w:tcPr>
            <w:tcW w:type="dxa" w:w="2050"/>
            <w:vAlign w:val="center"/>
          </w:tcPr>
          <w:p>
            <w:pPr>
              <w:spacing w:before="0" w:after="30"/>
            </w:pPr>
            <w:r>
              <w:rPr>
                <w:sz w:val="14"/>
              </w:rPr>
              <w:t>AcceWeightHighUpTT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AcceWeightHighUpTT: manually setting a TT of 5.064 mmol is used as a remote +0.01 nudge on ApsAutoIsfBgAccelWeightHigh, clamped to its own max (1.00). Same pattern as AcceWeightHighDownTT above.</w:t>
            </w:r>
          </w:p>
        </w:tc>
      </w:tr>
      <w:tr>
        <w:tc>
          <w:tcPr>
            <w:tcW w:type="dxa" w:w="500"/>
            <w:vAlign w:val="center"/>
          </w:tcPr>
          <w:p>
            <w:pPr>
              <w:spacing w:before="0" w:after="30"/>
            </w:pPr>
            <w:r>
              <w:rPr>
                <w:sz w:val="14"/>
              </w:rPr>
              <w:t>37</w:t>
            </w:r>
          </w:p>
        </w:tc>
        <w:tc>
          <w:tcPr>
            <w:tcW w:type="dxa" w:w="2050"/>
            <w:vAlign w:val="center"/>
          </w:tcPr>
          <w:p>
            <w:pPr>
              <w:spacing w:before="0" w:after="30"/>
            </w:pPr>
            <w:r>
              <w:rPr>
                <w:sz w:val="14"/>
              </w:rPr>
              <w:t>HigherIsfRangeWeightDownTT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tc>
          <w:tcPr>
            <w:tcW w:type="dxa" w:w="500"/>
            <w:vAlign w:val="center"/>
          </w:tcPr>
          <w:p>
            <w:pPr>
              <w:spacing w:before="0" w:after="30"/>
            </w:pPr>
            <w:r>
              <w:rPr>
                <w:sz w:val="14"/>
              </w:rPr>
              <w:t>38</w:t>
            </w:r>
          </w:p>
        </w:tc>
        <w:tc>
          <w:tcPr>
            <w:tcW w:type="dxa" w:w="2050"/>
            <w:vAlign w:val="center"/>
          </w:tcPr>
          <w:p>
            <w:pPr>
              <w:spacing w:before="0" w:after="30"/>
            </w:pPr>
            <w:r>
              <w:rPr>
                <w:sz w:val="14"/>
              </w:rPr>
              <w:t>HigherIsfRangeWeightUpTT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HigherIsfRangeWeightUpTT: manually setting a TT of 5.070 mmol is used as a remote +0.1 nudge on ApsAutoIsfHighBgWeight, clamped to a max of 2.0. Same pattern as HigherIsfRangeWeightDownTT above.</w:t>
            </w:r>
          </w:p>
        </w:tc>
      </w:tr>
      <w:tr>
        <w:tc>
          <w:tcPr>
            <w:tcW w:type="dxa" w:w="500"/>
            <w:vAlign w:val="center"/>
          </w:tcPr>
          <w:p>
            <w:pPr>
              <w:spacing w:before="0" w:after="30"/>
            </w:pPr>
            <w:r>
              <w:rPr>
                <w:sz w:val="14"/>
              </w:rPr>
              <w:t>39</w:t>
            </w:r>
          </w:p>
        </w:tc>
        <w:tc>
          <w:tcPr>
            <w:tcW w:type="dxa" w:w="2050"/>
            <w:vAlign w:val="center"/>
          </w:tcPr>
          <w:p>
            <w:pPr>
              <w:spacing w:before="0" w:after="30"/>
            </w:pPr>
            <w:r>
              <w:rPr>
                <w:sz w:val="14"/>
              </w:rPr>
              <w:t>PeakInsulinTimeDownTT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tc>
          <w:tcPr>
            <w:tcW w:type="dxa" w:w="500"/>
            <w:vAlign w:val="center"/>
          </w:tcPr>
          <w:p>
            <w:pPr>
              <w:spacing w:before="0" w:after="30"/>
            </w:pPr>
            <w:r>
              <w:rPr>
                <w:sz w:val="14"/>
              </w:rPr>
              <w:t>40</w:t>
            </w:r>
          </w:p>
        </w:tc>
        <w:tc>
          <w:tcPr>
            <w:tcW w:type="dxa" w:w="2050"/>
            <w:vAlign w:val="center"/>
          </w:tcPr>
          <w:p>
            <w:pPr>
              <w:spacing w:before="0" w:after="30"/>
            </w:pPr>
            <w:r>
              <w:rPr>
                <w:sz w:val="14"/>
              </w:rPr>
              <w:t>PeakInsulinTimeUpTT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PeakInsulinTimeUpTT: manually setting a TT of 5.076 mmol is used as a remote +5 nudge on InsulinOrefPeak, clamped to its own max (120). Same pattern as PeakInsulinTimeDownTT above.</w:t>
            </w:r>
          </w:p>
        </w:tc>
      </w:tr>
      <w:tr>
        <w:tc>
          <w:tcPr>
            <w:tcW w:type="dxa" w:w="500"/>
            <w:vAlign w:val="center"/>
          </w:tcPr>
          <w:p>
            <w:pPr>
              <w:spacing w:before="0" w:after="30"/>
            </w:pPr>
            <w:r>
              <w:rPr>
                <w:sz w:val="14"/>
              </w:rPr>
              <w:t>41</w:t>
            </w:r>
          </w:p>
        </w:tc>
        <w:tc>
          <w:tcPr>
            <w:tcW w:type="dxa" w:w="2050"/>
            <w:vAlign w:val="center"/>
          </w:tcPr>
          <w:p>
            <w:pPr>
              <w:spacing w:before="0" w:after="30"/>
            </w:pPr>
            <w:r>
              <w:rPr>
                <w:sz w:val="14"/>
              </w:rPr>
              <w:t>AutoIsfMaxLowDownTT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tc>
          <w:tcPr>
            <w:tcW w:type="dxa" w:w="500"/>
            <w:vAlign w:val="center"/>
          </w:tcPr>
          <w:p>
            <w:pPr>
              <w:spacing w:before="0" w:after="30"/>
            </w:pPr>
            <w:r>
              <w:rPr>
                <w:sz w:val="14"/>
              </w:rPr>
              <w:t>42</w:t>
            </w:r>
          </w:p>
        </w:tc>
        <w:tc>
          <w:tcPr>
            <w:tcW w:type="dxa" w:w="2050"/>
            <w:vAlign w:val="center"/>
          </w:tcPr>
          <w:p>
            <w:pPr>
              <w:spacing w:before="0" w:after="30"/>
            </w:pPr>
            <w:r>
              <w:rPr>
                <w:sz w:val="14"/>
              </w:rPr>
              <w:t>AutoIsfMaxLowUpTT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AutoIsfMaxLowUpTT: manually setting a TT of 5.082 mmol is used as a remote +0.1 nudge on ApsAutoIsfMaxLow, clamped to a max of 3.0. Same pattern as AutoIsfMaxLowDownTT above.</w:t>
            </w:r>
          </w:p>
        </w:tc>
      </w:tr>
      <w:tr>
        <w:tc>
          <w:tcPr>
            <w:tcW w:type="dxa" w:w="500"/>
            <w:vAlign w:val="center"/>
          </w:tcPr>
          <w:p>
            <w:pPr>
              <w:spacing w:before="0" w:after="30"/>
            </w:pPr>
            <w:r>
              <w:rPr>
                <w:sz w:val="14"/>
              </w:rPr>
              <w:t>43</w:t>
            </w:r>
          </w:p>
        </w:tc>
        <w:tc>
          <w:tcPr>
            <w:tcW w:type="dxa" w:w="2050"/>
            <w:vAlign w:val="center"/>
          </w:tcPr>
          <w:p>
            <w:pPr>
              <w:spacing w:before="0" w:after="30"/>
            </w:pPr>
            <w:r>
              <w:rPr>
                <w:sz w:val="14"/>
              </w:rPr>
              <w:t>AutoIsfMaxNormalDownTT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tc>
          <w:tcPr>
            <w:tcW w:type="dxa" w:w="500"/>
            <w:vAlign w:val="center"/>
          </w:tcPr>
          <w:p>
            <w:pPr>
              <w:spacing w:before="0" w:after="30"/>
            </w:pPr>
            <w:r>
              <w:rPr>
                <w:sz w:val="14"/>
              </w:rPr>
              <w:t>44</w:t>
            </w:r>
          </w:p>
        </w:tc>
        <w:tc>
          <w:tcPr>
            <w:tcW w:type="dxa" w:w="2050"/>
            <w:vAlign w:val="center"/>
          </w:tcPr>
          <w:p>
            <w:pPr>
              <w:spacing w:before="0" w:after="30"/>
            </w:pPr>
            <w:r>
              <w:rPr>
                <w:sz w:val="14"/>
              </w:rPr>
              <w:t>AutoIsfMaxNormalUpTT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AutoIsfMaxNormalUpTT: manually setting a TT of 5.088 mmol is used as a remote +0.1 nudge on ApsAutoIsfMax, clamped to a max of 3.0. Same pattern as AutoIsfMaxNormalDownTT above.</w:t>
            </w:r>
          </w:p>
        </w:tc>
      </w:tr>
      <w:tr>
        <w:tc>
          <w:tcPr>
            <w:tcW w:type="dxa" w:w="500"/>
            <w:vAlign w:val="center"/>
          </w:tcPr>
          <w:p>
            <w:pPr>
              <w:spacing w:before="0" w:after="30"/>
            </w:pPr>
            <w:r>
              <w:rPr>
                <w:sz w:val="14"/>
              </w:rPr>
              <w:t>45</w:t>
            </w:r>
          </w:p>
        </w:tc>
        <w:tc>
          <w:tcPr>
            <w:tcW w:type="dxa" w:w="2050"/>
            <w:vAlign w:val="center"/>
          </w:tcPr>
          <w:p>
            <w:pPr>
              <w:spacing w:before="0" w:after="30"/>
            </w:pPr>
            <w:r>
              <w:rPr>
                <w:sz w:val="14"/>
              </w:rPr>
              <w:t>TodOffset0002DownTT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46</w:t>
            </w:r>
          </w:p>
        </w:tc>
        <w:tc>
          <w:tcPr>
            <w:tcW w:type="dxa" w:w="2050"/>
            <w:vAlign w:val="center"/>
          </w:tcPr>
          <w:p>
            <w:pPr>
              <w:spacing w:before="0" w:after="30"/>
            </w:pPr>
            <w:r>
              <w:rPr>
                <w:sz w:val="14"/>
              </w:rPr>
              <w:t>TodOffset0002UpTT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47</w:t>
            </w:r>
          </w:p>
        </w:tc>
        <w:tc>
          <w:tcPr>
            <w:tcW w:type="dxa" w:w="2050"/>
            <w:vAlign w:val="center"/>
          </w:tcPr>
          <w:p>
            <w:pPr>
              <w:spacing w:before="0" w:after="30"/>
            </w:pPr>
            <w:r>
              <w:rPr>
                <w:sz w:val="14"/>
              </w:rPr>
              <w:t>TodOffset0204DownTT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48</w:t>
            </w:r>
          </w:p>
        </w:tc>
        <w:tc>
          <w:tcPr>
            <w:tcW w:type="dxa" w:w="2050"/>
            <w:vAlign w:val="center"/>
          </w:tcPr>
          <w:p>
            <w:pPr>
              <w:spacing w:before="0" w:after="30"/>
            </w:pPr>
            <w:r>
              <w:rPr>
                <w:sz w:val="14"/>
              </w:rPr>
              <w:t>TodOffset0204UpTT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49</w:t>
            </w:r>
          </w:p>
        </w:tc>
        <w:tc>
          <w:tcPr>
            <w:tcW w:type="dxa" w:w="2050"/>
            <w:vAlign w:val="center"/>
          </w:tcPr>
          <w:p>
            <w:pPr>
              <w:spacing w:before="0" w:after="30"/>
            </w:pPr>
            <w:r>
              <w:rPr>
                <w:sz w:val="14"/>
              </w:rPr>
              <w:t>TodOffset0406DownTT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50</w:t>
            </w:r>
          </w:p>
        </w:tc>
        <w:tc>
          <w:tcPr>
            <w:tcW w:type="dxa" w:w="2050"/>
            <w:vAlign w:val="center"/>
          </w:tcPr>
          <w:p>
            <w:pPr>
              <w:spacing w:before="0" w:after="30"/>
            </w:pPr>
            <w:r>
              <w:rPr>
                <w:sz w:val="14"/>
              </w:rPr>
              <w:t>TodOffset0406UpTT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51</w:t>
            </w:r>
          </w:p>
        </w:tc>
        <w:tc>
          <w:tcPr>
            <w:tcW w:type="dxa" w:w="2050"/>
            <w:vAlign w:val="center"/>
          </w:tcPr>
          <w:p>
            <w:pPr>
              <w:spacing w:before="0" w:after="30"/>
            </w:pPr>
            <w:r>
              <w:rPr>
                <w:sz w:val="14"/>
              </w:rPr>
              <w:t>TodOffset0609DownTT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52</w:t>
            </w:r>
          </w:p>
        </w:tc>
        <w:tc>
          <w:tcPr>
            <w:tcW w:type="dxa" w:w="2050"/>
            <w:vAlign w:val="center"/>
          </w:tcPr>
          <w:p>
            <w:pPr>
              <w:spacing w:before="0" w:after="30"/>
            </w:pPr>
            <w:r>
              <w:rPr>
                <w:sz w:val="14"/>
              </w:rPr>
              <w:t>TodOffset0609UpTT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53</w:t>
            </w:r>
          </w:p>
        </w:tc>
        <w:tc>
          <w:tcPr>
            <w:tcW w:type="dxa" w:w="2050"/>
            <w:vAlign w:val="center"/>
          </w:tcPr>
          <w:p>
            <w:pPr>
              <w:spacing w:before="0" w:after="30"/>
            </w:pPr>
            <w:r>
              <w:rPr>
                <w:sz w:val="14"/>
              </w:rPr>
              <w:t>TodOffset0912DownTT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54</w:t>
            </w:r>
          </w:p>
        </w:tc>
        <w:tc>
          <w:tcPr>
            <w:tcW w:type="dxa" w:w="2050"/>
            <w:vAlign w:val="center"/>
          </w:tcPr>
          <w:p>
            <w:pPr>
              <w:spacing w:before="0" w:after="30"/>
            </w:pPr>
            <w:r>
              <w:rPr>
                <w:sz w:val="14"/>
              </w:rPr>
              <w:t>TodOffset0912UpTT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55</w:t>
            </w:r>
          </w:p>
        </w:tc>
        <w:tc>
          <w:tcPr>
            <w:tcW w:type="dxa" w:w="2050"/>
            <w:vAlign w:val="center"/>
          </w:tcPr>
          <w:p>
            <w:pPr>
              <w:spacing w:before="0" w:after="30"/>
            </w:pPr>
            <w:r>
              <w:rPr>
                <w:sz w:val="14"/>
              </w:rPr>
              <w:t>TodOffset1218DownTT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56</w:t>
            </w:r>
          </w:p>
        </w:tc>
        <w:tc>
          <w:tcPr>
            <w:tcW w:type="dxa" w:w="2050"/>
            <w:vAlign w:val="center"/>
          </w:tcPr>
          <w:p>
            <w:pPr>
              <w:spacing w:before="0" w:after="30"/>
            </w:pPr>
            <w:r>
              <w:rPr>
                <w:sz w:val="14"/>
              </w:rPr>
              <w:t>TodOffset1218UpTT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57</w:t>
            </w:r>
          </w:p>
        </w:tc>
        <w:tc>
          <w:tcPr>
            <w:tcW w:type="dxa" w:w="2050"/>
            <w:vAlign w:val="center"/>
          </w:tcPr>
          <w:p>
            <w:pPr>
              <w:spacing w:before="0" w:after="30"/>
            </w:pPr>
            <w:r>
              <w:rPr>
                <w:sz w:val="14"/>
              </w:rPr>
              <w:t>TodOffset1822DownTT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58</w:t>
            </w:r>
          </w:p>
        </w:tc>
        <w:tc>
          <w:tcPr>
            <w:tcW w:type="dxa" w:w="2050"/>
            <w:vAlign w:val="center"/>
          </w:tcPr>
          <w:p>
            <w:pPr>
              <w:spacing w:before="0" w:after="30"/>
            </w:pPr>
            <w:r>
              <w:rPr>
                <w:sz w:val="14"/>
              </w:rPr>
              <w:t>TodOffset1822UpTT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59</w:t>
            </w:r>
          </w:p>
        </w:tc>
        <w:tc>
          <w:tcPr>
            <w:tcW w:type="dxa" w:w="2050"/>
            <w:vAlign w:val="center"/>
          </w:tcPr>
          <w:p>
            <w:pPr>
              <w:spacing w:before="0" w:after="30"/>
            </w:pPr>
            <w:r>
              <w:rPr>
                <w:sz w:val="14"/>
              </w:rPr>
              <w:t>TodOffset2200DownTT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60</w:t>
            </w:r>
          </w:p>
        </w:tc>
        <w:tc>
          <w:tcPr>
            <w:tcW w:type="dxa" w:w="2050"/>
            <w:vAlign w:val="center"/>
          </w:tcPr>
          <w:p>
            <w:pPr>
              <w:spacing w:before="0" w:after="30"/>
            </w:pPr>
            <w:r>
              <w:rPr>
                <w:sz w:val="14"/>
              </w:rPr>
              <w:t>TodOffset2200UpTT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61</w:t>
            </w:r>
          </w:p>
        </w:tc>
        <w:tc>
          <w:tcPr>
            <w:tcW w:type="dxa" w:w="2050"/>
            <w:vAlign w:val="center"/>
          </w:tcPr>
          <w:p>
            <w:pPr>
              <w:spacing w:before="0" w:after="30"/>
            </w:pPr>
            <w:r>
              <w:rPr>
                <w:sz w:val="14"/>
              </w:rPr>
              <w:t>TodOffsetsZero</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62</w:t>
            </w:r>
          </w:p>
        </w:tc>
        <w:tc>
          <w:tcPr>
            <w:tcW w:type="dxa" w:w="2050"/>
            <w:vAlign w:val="center"/>
          </w:tcPr>
          <w:p>
            <w:pPr>
              <w:spacing w:before="0" w:after="30"/>
            </w:pPr>
            <w:r>
              <w:rPr>
                <w:sz w:val="14"/>
              </w:rPr>
              <w:t>Graph2ToggleTT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tc>
          <w:tcPr>
            <w:tcW w:type="dxa" w:w="500"/>
            <w:vAlign w:val="center"/>
          </w:tcPr>
          <w:p>
            <w:pPr>
              <w:spacing w:before="0" w:after="30"/>
            </w:pPr>
            <w:r>
              <w:rPr>
                <w:sz w:val="14"/>
              </w:rPr>
              <w:t>63</w:t>
            </w:r>
          </w:p>
        </w:tc>
        <w:tc>
          <w:tcPr>
            <w:tcW w:type="dxa" w:w="2050"/>
            <w:vAlign w:val="center"/>
          </w:tcPr>
          <w:p>
            <w:pPr>
              <w:spacing w:before="0" w:after="30"/>
            </w:pPr>
            <w:r>
              <w:rPr>
                <w:sz w:val="14"/>
              </w:rPr>
              <w:t>Graph5ToggleTT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tc>
          <w:tcPr>
            <w:tcW w:type="dxa" w:w="500"/>
            <w:vAlign w:val="center"/>
          </w:tcPr>
          <w:p>
            <w:pPr>
              <w:spacing w:before="0" w:after="30"/>
            </w:pPr>
            <w:r>
              <w:rPr>
                <w:sz w:val="14"/>
              </w:rPr>
              <w:t>64</w:t>
            </w:r>
          </w:p>
        </w:tc>
        <w:tc>
          <w:tcPr>
            <w:tcW w:type="dxa" w:w="2050"/>
            <w:vAlign w:val="center"/>
          </w:tcPr>
          <w:p>
            <w:pPr>
              <w:spacing w:before="0" w:after="30"/>
            </w:pPr>
            <w:r>
              <w:rPr>
                <w:sz w:val="14"/>
              </w:rPr>
              <w:t>MjStateNoMjTT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65</w:t>
            </w:r>
          </w:p>
        </w:tc>
        <w:tc>
          <w:tcPr>
            <w:tcW w:type="dxa" w:w="2050"/>
            <w:vAlign w:val="center"/>
          </w:tcPr>
          <w:p>
            <w:pPr>
              <w:spacing w:before="0" w:after="30"/>
            </w:pPr>
            <w:r>
              <w:rPr>
                <w:sz w:val="14"/>
              </w:rPr>
              <w:t>MjStateMj3TT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66</w:t>
            </w:r>
          </w:p>
        </w:tc>
        <w:tc>
          <w:tcPr>
            <w:tcW w:type="dxa" w:w="2050"/>
            <w:vAlign w:val="center"/>
          </w:tcPr>
          <w:p>
            <w:pPr>
              <w:spacing w:before="0" w:after="30"/>
            </w:pPr>
            <w:r>
              <w:rPr>
                <w:sz w:val="14"/>
              </w:rPr>
              <w:t>MjStateActiveTT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67</w:t>
            </w:r>
          </w:p>
        </w:tc>
        <w:tc>
          <w:tcPr>
            <w:tcW w:type="dxa" w:w="2050"/>
            <w:vAlign w:val="center"/>
          </w:tcPr>
          <w:p>
            <w:pPr>
              <w:spacing w:before="0" w:after="30"/>
            </w:pPr>
            <w:r>
              <w:rPr>
                <w:sz w:val="14"/>
              </w:rPr>
              <w:t>MjStateMj2TT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68</w:t>
            </w:r>
          </w:p>
        </w:tc>
        <w:tc>
          <w:tcPr>
            <w:tcW w:type="dxa" w:w="2050"/>
            <w:vAlign w:val="center"/>
          </w:tcPr>
          <w:p>
            <w:pPr>
              <w:spacing w:before="0" w:after="30"/>
            </w:pPr>
            <w:r>
              <w:rPr>
                <w:sz w:val="14"/>
              </w:rPr>
              <w:t>ProfileStandardTT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69</w:t>
            </w:r>
          </w:p>
        </w:tc>
        <w:tc>
          <w:tcPr>
            <w:tcW w:type="dxa" w:w="2050"/>
            <w:vAlign w:val="center"/>
          </w:tcPr>
          <w:p>
            <w:pPr>
              <w:spacing w:before="0" w:after="30"/>
            </w:pPr>
            <w:r>
              <w:rPr>
                <w:sz w:val="14"/>
              </w:rPr>
              <w:t>ProfileLowTT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MjStateNoMjTT / MjStateMj3TT: manually setting a TT of 5.144 / 5.146 mmol sets the MJ automation state directly to NOMJremains / MJ3 — not real targets. Next values after Graph5ToggleTT's 5.142. Paired in ttCodesList() as a single TtCode.Stepped row ("MJ state"), so the two land as the pair of mutually-exclusive checkboxes in that row's confirm dialog rather than as two separate scannable entries. A manual override, deliberately unconditional: every other writer of this state is gated on time and/or BGL (MJ2old 02:10-03:10, MJ3old 01:05-02:05, MoreMJ 06:00-23:59 plus its own condition tree), which is exactly why a stuck state can't always be corrected from within the automations. Same activeTtNear()/cancel/notify pattern as the other remote-signal TTs above; no toggle state, each fires once per TT-set.</w:t>
            </w:r>
          </w:p>
        </w:tc>
      </w:tr>
      <w:tr>
        <w:tc>
          <w:tcPr>
            <w:tcW w:type="dxa" w:w="500"/>
            <w:vAlign w:val="center"/>
          </w:tcPr>
          <w:p>
            <w:pPr>
              <w:spacing w:before="0" w:after="30"/>
            </w:pPr>
            <w:r>
              <w:rPr>
                <w:sz w:val="14"/>
              </w:rPr>
              <w:t>70</w:t>
            </w:r>
          </w:p>
        </w:tc>
        <w:tc>
          <w:tcPr>
            <w:tcW w:type="dxa" w:w="2050"/>
            <w:vAlign w:val="center"/>
          </w:tcPr>
          <w:p>
            <w:pPr>
              <w:spacing w:before="0" w:after="30"/>
            </w:pPr>
            <w:r>
              <w:rPr>
                <w:sz w:val="14"/>
              </w:rPr>
              <w:t>LibreUkf1ToggleTT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tc>
          <w:tcPr>
            <w:tcW w:type="dxa" w:w="500"/>
            <w:vAlign w:val="center"/>
          </w:tcPr>
          <w:p>
            <w:pPr>
              <w:spacing w:before="0" w:after="30"/>
            </w:pPr>
            <w:r>
              <w:rPr>
                <w:sz w:val="14"/>
              </w:rPr>
              <w:t>71</w:t>
            </w:r>
          </w:p>
        </w:tc>
        <w:tc>
          <w:tcPr>
            <w:tcW w:type="dxa" w:w="2050"/>
            <w:vAlign w:val="center"/>
          </w:tcPr>
          <w:p>
            <w:pPr>
              <w:spacing w:before="0" w:after="30"/>
            </w:pPr>
            <w:r>
              <w:rPr>
                <w:sz w:val="14"/>
              </w:rPr>
              <w:t>SensorAgeCodeToggleTT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w:t>
            </w:r>
          </w:p>
        </w:tc>
      </w:tr>
      <w:tr>
        <w:tc>
          <w:tcPr>
            <w:tcW w:type="dxa" w:w="500"/>
            <w:vAlign w:val="center"/>
          </w:tcPr>
          <w:p>
            <w:pPr>
              <w:spacing w:before="0" w:after="30"/>
            </w:pPr>
            <w:r>
              <w:rPr>
                <w:sz w:val="14"/>
              </w:rPr>
              <w:t>72</w:t>
            </w:r>
          </w:p>
        </w:tc>
        <w:tc>
          <w:tcPr>
            <w:tcW w:type="dxa" w:w="2050"/>
            <w:vAlign w:val="center"/>
          </w:tcPr>
          <w:p>
            <w:pPr>
              <w:spacing w:before="0" w:after="30"/>
            </w:pPr>
            <w:r>
              <w:rPr>
                <w:sz w:val="14"/>
              </w:rPr>
              <w:t>MjStartActionTT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73</w:t>
            </w:r>
          </w:p>
        </w:tc>
        <w:tc>
          <w:tcPr>
            <w:tcW w:type="dxa" w:w="2050"/>
            <w:vAlign w:val="center"/>
          </w:tcPr>
          <w:p>
            <w:pPr>
              <w:spacing w:before="0" w:after="30"/>
            </w:pPr>
            <w:r>
              <w:rPr>
                <w:sz w:val="14"/>
              </w:rPr>
              <w:t>MjRestoreActionTT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74</w:t>
            </w:r>
          </w:p>
        </w:tc>
        <w:tc>
          <w:tcPr>
            <w:tcW w:type="dxa" w:w="2050"/>
            <w:vAlign w:val="center"/>
          </w:tcPr>
          <w:p>
            <w:pPr>
              <w:spacing w:before="0" w:after="30"/>
            </w:pPr>
            <w:r>
              <w:rPr>
                <w:sz w:val="14"/>
              </w:rPr>
              <w:t>SteroidStartActionTT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75</w:t>
            </w:r>
          </w:p>
        </w:tc>
        <w:tc>
          <w:tcPr>
            <w:tcW w:type="dxa" w:w="2050"/>
            <w:vAlign w:val="center"/>
          </w:tcPr>
          <w:p>
            <w:pPr>
              <w:spacing w:before="0" w:after="30"/>
            </w:pPr>
            <w:r>
              <w:rPr>
                <w:sz w:val="14"/>
              </w:rPr>
              <w:t>SteroidIncrease130ActionTT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76</w:t>
            </w:r>
          </w:p>
        </w:tc>
        <w:tc>
          <w:tcPr>
            <w:tcW w:type="dxa" w:w="2050"/>
            <w:vAlign w:val="center"/>
          </w:tcPr>
          <w:p>
            <w:pPr>
              <w:spacing w:before="0" w:after="30"/>
            </w:pPr>
            <w:r>
              <w:rPr>
                <w:sz w:val="14"/>
              </w:rPr>
              <w:t>SteroidIncrease150ActionTT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77</w:t>
            </w:r>
          </w:p>
        </w:tc>
        <w:tc>
          <w:tcPr>
            <w:tcW w:type="dxa" w:w="2050"/>
            <w:vAlign w:val="center"/>
          </w:tcPr>
          <w:p>
            <w:pPr>
              <w:spacing w:before="0" w:after="30"/>
            </w:pPr>
            <w:r>
              <w:rPr>
                <w:sz w:val="14"/>
              </w:rPr>
              <w:t>SteroidIncrease190ActionTT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78</w:t>
            </w:r>
          </w:p>
        </w:tc>
        <w:tc>
          <w:tcPr>
            <w:tcW w:type="dxa" w:w="2050"/>
            <w:vAlign w:val="center"/>
          </w:tcPr>
          <w:p>
            <w:pPr>
              <w:spacing w:before="0" w:after="30"/>
            </w:pPr>
            <w:r>
              <w:rPr>
                <w:sz w:val="14"/>
              </w:rPr>
              <w:t>SteroidIncrease250ActionTT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79</w:t>
            </w:r>
          </w:p>
        </w:tc>
        <w:tc>
          <w:tcPr>
            <w:tcW w:type="dxa" w:w="2050"/>
            <w:vAlign w:val="center"/>
          </w:tcPr>
          <w:p>
            <w:pPr>
              <w:spacing w:before="0" w:after="30"/>
            </w:pPr>
            <w:r>
              <w:rPr>
                <w:sz w:val="14"/>
              </w:rPr>
              <w:t>SteroidTurnOffActionTT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 Client-only relay codes for the basal-icon direct action menu. On the pump phone these run the full Kotlin actions; pump/Virtual selections do not create these TTs at all.</w:t>
            </w:r>
          </w:p>
        </w:tc>
      </w:tr>
      <w:tr>
        <w:tc>
          <w:tcPr>
            <w:tcW w:type="dxa" w:w="500"/>
            <w:vAlign w:val="center"/>
          </w:tcPr>
          <w:p>
            <w:pPr>
              <w:spacing w:before="0" w:after="30"/>
            </w:pPr>
            <w:r>
              <w:rPr>
                <w:sz w:val="14"/>
              </w:rPr>
              <w:t>80</w:t>
            </w:r>
          </w:p>
        </w:tc>
        <w:tc>
          <w:tcPr>
            <w:tcW w:type="dxa" w:w="2050"/>
            <w:vAlign w:val="center"/>
          </w:tcPr>
          <w:p>
            <w:pPr>
              <w:spacing w:before="0" w:after="30"/>
            </w:pPr>
            <w:r>
              <w:rPr>
                <w:sz w:val="14"/>
              </w:rPr>
              <w:t>AnyDeskRestartActionTT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AnyDeskRestartActionTT: second, redundant channel for the "Send AnyDesk restart" list2 button (see runBasalDirectAction()'s ANYDESK_RESTART branch in OverviewFragment.kt), which fires this TT alongside the existing "ADesk" secondary-NS Note above rather than instead of it -- this one rides Client's primary NS sync so it can land before the secondary-NS worker's next poll picks up the Note's revision. launchAnyDeskDirect() only (no Tasker, no RESTART_ANYDESK broadcast). AdOn/AdMs are startActivity only, not that Unattended Access is accepting connections.</w:t>
            </w:r>
          </w:p>
        </w:tc>
      </w:tr>
      <w:tr>
        <w:tc>
          <w:tcPr>
            <w:tcW w:type="dxa" w:w="500"/>
            <w:vAlign w:val="center"/>
          </w:tcPr>
          <w:p>
            <w:pPr>
              <w:spacing w:before="0" w:after="30"/>
            </w:pPr>
            <w:r>
              <w:rPr>
                <w:sz w:val="14"/>
              </w:rPr>
              <w:t>81</w:t>
            </w:r>
          </w:p>
        </w:tc>
        <w:tc>
          <w:tcPr>
            <w:tcW w:type="dxa" w:w="2050"/>
            <w:vAlign w:val="center"/>
          </w:tcPr>
          <w:p>
            <w:pPr>
              <w:spacing w:before="0" w:after="30"/>
            </w:pPr>
            <w:r>
              <w:rPr>
                <w:sz w:val="14"/>
              </w:rPr>
              <w:t>ShizukuApkInstallTT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ShizukuApkInstallTT: List2 "Install newest AAPS333 APK (Shizuku)". Live List2 fires immediately via EventAutoIsfDirectTtCode 5.200; Client relays this 5.200 TT. 5-min throttle so a double-tap cannot start two pm installs.</w:t>
            </w:r>
          </w:p>
        </w:tc>
      </w:tr>
      <w:tr>
        <w:tc>
          <w:tcPr>
            <w:tcW w:type="dxa" w:w="500"/>
            <w:vAlign w:val="center"/>
          </w:tcPr>
          <w:p>
            <w:pPr>
              <w:spacing w:before="0" w:after="30"/>
            </w:pPr>
            <w:r>
              <w:rPr>
                <w:sz w:val="14"/>
              </w:rPr>
              <w:t>82</w:t>
            </w:r>
          </w:p>
        </w:tc>
        <w:tc>
          <w:tcPr>
            <w:tcW w:type="dxa" w:w="2050"/>
            <w:vAlign w:val="center"/>
          </w:tcPr>
          <w:p>
            <w:pPr>
              <w:spacing w:before="0" w:after="30"/>
            </w:pPr>
            <w:r>
              <w:rPr>
                <w:sz w:val="14"/>
              </w:rPr>
              <w:t>StageAaps333NewestTT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w:t>
            </w:r>
          </w:p>
        </w:tc>
      </w:tr>
      <w:tr>
        <w:tc>
          <w:tcPr>
            <w:tcW w:type="dxa" w:w="500"/>
            <w:vAlign w:val="center"/>
          </w:tcPr>
          <w:p>
            <w:pPr>
              <w:spacing w:before="0" w:after="30"/>
            </w:pPr>
            <w:r>
              <w:rPr>
                <w:sz w:val="14"/>
              </w:rPr>
              <w:t>83</w:t>
            </w:r>
          </w:p>
        </w:tc>
        <w:tc>
          <w:tcPr>
            <w:tcW w:type="dxa" w:w="2050"/>
            <w:vAlign w:val="center"/>
          </w:tcPr>
          <w:p>
            <w:pPr>
              <w:spacing w:before="0" w:after="30"/>
            </w:pPr>
            <w:r>
              <w:rPr>
                <w:sz w:val="14"/>
              </w:rPr>
              <w:t>AutoApkInstall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w:t>
            </w:r>
          </w:p>
        </w:tc>
      </w:tr>
      <w:tr>
        <w:tc>
          <w:tcPr>
            <w:tcW w:type="dxa" w:w="500"/>
            <w:vAlign w:val="center"/>
          </w:tcPr>
          <w:p>
            <w:pPr>
              <w:spacing w:before="0" w:after="30"/>
            </w:pPr>
            <w:r>
              <w:rPr>
                <w:sz w:val="14"/>
              </w:rPr>
              <w:t>84</w:t>
            </w:r>
          </w:p>
        </w:tc>
        <w:tc>
          <w:tcPr>
            <w:tcW w:type="dxa" w:w="2050"/>
            <w:vAlign w:val="center"/>
          </w:tcPr>
          <w:p>
            <w:pPr>
              <w:spacing w:before="0" w:after="30"/>
            </w:pPr>
            <w:r>
              <w:rPr>
                <w:sz w:val="14"/>
              </w:rPr>
              <w:t>MjKotlinButtonsToggleTT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w:t>
            </w:r>
          </w:p>
        </w:tc>
      </w:tr>
      <w:tr>
        <w:tc>
          <w:tcPr>
            <w:tcW w:type="dxa" w:w="500"/>
            <w:vAlign w:val="center"/>
          </w:tcPr>
          <w:p>
            <w:pPr>
              <w:spacing w:before="0" w:after="30"/>
            </w:pPr>
            <w:r>
              <w:rPr>
                <w:sz w:val="14"/>
              </w:rPr>
              <w:t>85</w:t>
            </w:r>
          </w:p>
        </w:tc>
        <w:tc>
          <w:tcPr>
            <w:tcW w:type="dxa" w:w="2050"/>
            <w:vAlign w:val="center"/>
          </w:tcPr>
          <w:p>
            <w:pPr>
              <w:spacing w:before="0" w:after="30"/>
            </w:pPr>
            <w:r>
              <w:rPr>
                <w:sz w:val="14"/>
              </w:rPr>
              <w:t>SteroidKotlinButtonToggleTT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w:t>
            </w:r>
          </w:p>
        </w:tc>
      </w:tr>
      <w:tr>
        <w:tc>
          <w:tcPr>
            <w:tcW w:type="dxa" w:w="500"/>
            <w:vAlign w:val="center"/>
          </w:tcPr>
          <w:p>
            <w:pPr>
              <w:spacing w:before="0" w:after="30"/>
            </w:pPr>
            <w:r>
              <w:rPr>
                <w:sz w:val="14"/>
              </w:rPr>
              <w:t>86</w:t>
            </w:r>
          </w:p>
        </w:tc>
        <w:tc>
          <w:tcPr>
            <w:tcW w:type="dxa" w:w="2050"/>
            <w:vAlign w:val="center"/>
          </w:tcPr>
          <w:p>
            <w:pPr>
              <w:spacing w:before="0" w:after="30"/>
            </w:pPr>
            <w:r>
              <w:rPr>
                <w:sz w:val="14"/>
              </w:rPr>
              <w:t>Tier3BoostToggleTT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 Added 2026-08-23: List 2 on/off for Tier 3 "UAM Boost" (ApsAutoIsfUamBoostEnabled), same flag uamBoostActive already reads (see its own getter's doc comment) and the same one the Settings-screen AdaptiveSwitchPreference exposes -- this is just a quicker toggle path, not a second independent flag. Same activeTtNear()/cancel/notify shape as the two toggles above.</w:t>
            </w:r>
          </w:p>
        </w:tc>
      </w:tr>
      <w:tr>
        <w:tc>
          <w:tcPr>
            <w:tcW w:type="dxa" w:w="500"/>
            <w:vAlign w:val="center"/>
          </w:tcPr>
          <w:p>
            <w:pPr>
              <w:spacing w:before="0" w:after="30"/>
            </w:pPr>
            <w:r>
              <w:rPr>
                <w:sz w:val="14"/>
              </w:rPr>
              <w:t>87</w:t>
            </w:r>
          </w:p>
        </w:tc>
        <w:tc>
          <w:tcPr>
            <w:tcW w:type="dxa" w:w="2050"/>
            <w:vAlign w:val="center"/>
          </w:tcPr>
          <w:p>
            <w:pPr>
              <w:spacing w:before="0" w:after="30"/>
            </w:pPr>
            <w:r>
              <w:rPr>
                <w:sz w:val="14"/>
              </w:rPr>
              <w:t>ProfileBatchAutoToggleTT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 Added 2026-08-23: List 2 on/off for Tier 3 "UAM Boost" (ApsAutoIsfUamBoostEnabled), same flag uamBoostActive already reads (see its own getter's doc comment) and the same one the Settings-screen AdaptiveSwitchPreference exposes -- this is just a quicker toggle path, not a second independent flag. Same activeTtNear()/cancel/notify shape as the two toggles above.</w:t>
            </w:r>
          </w:p>
        </w:tc>
      </w:tr>
      <w:tr>
        <w:tc>
          <w:tcPr>
            <w:tcW w:type="dxa" w:w="500"/>
            <w:vAlign w:val="center"/>
          </w:tcPr>
          <w:p>
            <w:pPr>
              <w:spacing w:before="0" w:after="30"/>
            </w:pPr>
            <w:r>
              <w:rPr>
                <w:sz w:val="14"/>
              </w:rPr>
              <w:t>88</w:t>
            </w:r>
          </w:p>
        </w:tc>
        <w:tc>
          <w:tcPr>
            <w:tcW w:type="dxa" w:w="2050"/>
            <w:vAlign w:val="center"/>
          </w:tcPr>
          <w:p>
            <w:pPr>
              <w:spacing w:before="0" w:after="30"/>
            </w:pPr>
            <w:r>
              <w:rPr>
                <w:sz w:val="14"/>
              </w:rPr>
              <w:t>ProfileBatchRevertToggleTT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 Added 2026-08-23: List 2 on/off for Tier 3 "UAM Boost" (ApsAutoIsfUamBoostEnabled), same flag uamBoostActive already reads (see its own getter's doc comment) and the same one the Settings-screen AdaptiveSwitchPreference exposes -- this is just a quicker toggle path, not a second independent flag. Same activeTtNear()/cancel/notify shape as the two toggles above.</w:t>
            </w:r>
          </w:p>
        </w:tc>
      </w:tr>
      <w:tr>
        <w:tc>
          <w:tcPr>
            <w:tcW w:type="dxa" w:w="500"/>
            <w:vAlign w:val="center"/>
          </w:tcPr>
          <w:p>
            <w:pPr>
              <w:spacing w:before="0" w:after="30"/>
            </w:pPr>
            <w:r>
              <w:rPr>
                <w:sz w:val="14"/>
              </w:rPr>
              <w:t>89</w:t>
            </w:r>
          </w:p>
        </w:tc>
        <w:tc>
          <w:tcPr>
            <w:tcW w:type="dxa" w:w="2050"/>
            <w:vAlign w:val="center"/>
          </w:tcPr>
          <w:p>
            <w:pPr>
              <w:spacing w:before="0" w:after="30"/>
            </w:pPr>
            <w:r>
              <w:rPr>
                <w:sz w:val="14"/>
              </w:rPr>
              <w:t>ProfileBatchRevertCToggleTT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StageAaps333NewestTT: List2 "Stage newest APK (keep 20)". Copy + prune only. Every 15 min on Live and Virtual: stage newest/, then Shizuku-install only if the archive NNN is strictly higher than the running APK and no install started in the last 45 min (persisted — survives the pm-install kill). sh -c still relaunches. Added 2026-08-23: List 2 on/off for Tier 3 "UAM Boost" (ApsAutoIsfUamBoostEnabled), same flag uamBoostActive already reads (see its own getter's doc comment) and the same one the Settings-screen AdaptiveSwitchPreference exposes -- this is just a quicker toggle path, not a second independent flag. Same activeTtNear()/cancel/notify shape as the two toggles above.</w:t>
            </w:r>
          </w:p>
        </w:tc>
      </w:tr>
      <w:tr>
        <w:tc>
          <w:tcPr>
            <w:tcW w:type="dxa" w:w="500"/>
            <w:vAlign w:val="center"/>
          </w:tcPr>
          <w:p>
            <w:pPr>
              <w:spacing w:before="0" w:after="30"/>
            </w:pPr>
            <w:r>
              <w:rPr>
                <w:sz w:val="14"/>
              </w:rPr>
              <w:t>90</w:t>
            </w:r>
          </w:p>
        </w:tc>
        <w:tc>
          <w:tcPr>
            <w:tcW w:type="dxa" w:w="2050"/>
            <w:vAlign w:val="center"/>
          </w:tcPr>
          <w:p>
            <w:pPr>
              <w:spacing w:before="0" w:after="30"/>
            </w:pPr>
            <w:r>
              <w:rPr>
                <w:sz w:val="14"/>
              </w:rPr>
              <w:t>ProfileBatchSetATT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w:t>
            </w:r>
          </w:p>
        </w:tc>
      </w:tr>
      <w:tr>
        <w:tc>
          <w:tcPr>
            <w:tcW w:type="dxa" w:w="500"/>
            <w:vAlign w:val="center"/>
          </w:tcPr>
          <w:p>
            <w:pPr>
              <w:spacing w:before="0" w:after="30"/>
            </w:pPr>
            <w:r>
              <w:rPr>
                <w:sz w:val="14"/>
              </w:rPr>
              <w:t>91</w:t>
            </w:r>
          </w:p>
        </w:tc>
        <w:tc>
          <w:tcPr>
            <w:tcW w:type="dxa" w:w="2050"/>
            <w:vAlign w:val="center"/>
          </w:tcPr>
          <w:p>
            <w:pPr>
              <w:spacing w:before="0" w:after="30"/>
            </w:pPr>
            <w:r>
              <w:rPr>
                <w:sz w:val="14"/>
              </w:rPr>
              <w:t>ProfileBatchSetBTT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w:t>
            </w:r>
          </w:p>
        </w:tc>
      </w:tr>
      <w:tr>
        <w:tc>
          <w:tcPr>
            <w:tcW w:type="dxa" w:w="500"/>
            <w:vAlign w:val="center"/>
          </w:tcPr>
          <w:p>
            <w:pPr>
              <w:spacing w:before="0" w:after="30"/>
            </w:pPr>
            <w:r>
              <w:rPr>
                <w:sz w:val="14"/>
              </w:rPr>
              <w:t>92</w:t>
            </w:r>
          </w:p>
        </w:tc>
        <w:tc>
          <w:tcPr>
            <w:tcW w:type="dxa" w:w="2050"/>
            <w:vAlign w:val="center"/>
          </w:tcPr>
          <w:p>
            <w:pPr>
              <w:spacing w:before="0" w:after="30"/>
            </w:pPr>
            <w:r>
              <w:rPr>
                <w:sz w:val="14"/>
              </w:rPr>
              <w:t>ProfileBatchSetCTT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w:t>
            </w:r>
          </w:p>
        </w:tc>
      </w:tr>
      <w:tr>
        <w:tc>
          <w:tcPr>
            <w:tcW w:type="dxa" w:w="500"/>
            <w:vAlign w:val="center"/>
          </w:tcPr>
          <w:p>
            <w:pPr>
              <w:spacing w:before="0" w:after="30"/>
            </w:pPr>
            <w:r>
              <w:rPr>
                <w:sz w:val="14"/>
              </w:rPr>
              <w:t>93</w:t>
            </w:r>
          </w:p>
        </w:tc>
        <w:tc>
          <w:tcPr>
            <w:tcW w:type="dxa" w:w="2050"/>
            <w:vAlign w:val="center"/>
          </w:tcPr>
          <w:p>
            <w:pPr>
              <w:spacing w:before="0" w:after="30"/>
            </w:pPr>
            <w:r>
              <w:rPr>
                <w:sz w:val="14"/>
              </w:rPr>
              <w:t>Ukf1DosingToggleTT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 Added 2026-08-23: List 2 on/off for ApsAutoIsfUseUkf1ForDosing -- see applyUkf1DosingOverride()'s own doc comment for scope.</w:t>
            </w:r>
          </w:p>
        </w:tc>
      </w:tr>
      <w:tr>
        <w:tc>
          <w:tcPr>
            <w:tcW w:type="dxa" w:w="500"/>
            <w:vAlign w:val="center"/>
          </w:tcPr>
          <w:p>
            <w:pPr>
              <w:spacing w:before="0" w:after="30"/>
            </w:pPr>
            <w:r>
              <w:rPr>
                <w:sz w:val="14"/>
              </w:rPr>
              <w:t>94</w:t>
            </w:r>
          </w:p>
        </w:tc>
        <w:tc>
          <w:tcPr>
            <w:tcW w:type="dxa" w:w="2050"/>
            <w:vAlign w:val="center"/>
          </w:tcPr>
          <w:p>
            <w:pPr>
              <w:spacing w:before="0" w:after="30"/>
            </w:pPr>
            <w:r>
              <w:rPr>
                <w:sz w:val="14"/>
              </w:rPr>
              <w:t>LocationSmsToggleTT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 Added 2026-08-23: List 2 on/off for ApsAutoIsfUseUkf1ForDosing -- see applyUkf1DosingOverride()'s own doc comment for scope.</w:t>
            </w:r>
          </w:p>
        </w:tc>
      </w:tr>
      <w:tr>
        <w:tc>
          <w:tcPr>
            <w:tcW w:type="dxa" w:w="500"/>
            <w:vAlign w:val="center"/>
          </w:tcPr>
          <w:p>
            <w:pPr>
              <w:spacing w:before="0" w:after="30"/>
            </w:pPr>
            <w:r>
              <w:rPr>
                <w:sz w:val="14"/>
              </w:rPr>
              <w:t>95</w:t>
            </w:r>
          </w:p>
        </w:tc>
        <w:tc>
          <w:tcPr>
            <w:tcW w:type="dxa" w:w="2050"/>
            <w:vAlign w:val="center"/>
          </w:tcPr>
          <w:p>
            <w:pPr>
              <w:spacing w:before="0" w:after="30"/>
            </w:pPr>
            <w:r>
              <w:rPr>
                <w:sz w:val="14"/>
              </w:rPr>
              <w:t>LocationSmsThisPhoneTT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List 1 direct tier set (added 2026-09-15, per explicit request): jump Standard+Low to a named rung in one tap, rather than only stepping one rung at a time (ProfileBatchStep, via List2 Toggle1/BtchUp/BtchDn) or holding at the two extremes (List2 Toggle2/Toggle3, TierA/ TierC only -- TierB was previously unreachable except by passing through it during a step). Both roles always move together -- applySharedRoleRung() already writes Standard+Low as one shared rung; this just exposes picking the destination rung directly from List 1. Turns off both hold toggles first: leaving one active would have it revert this pick straight back to A or C on the very next cycle, the same class of fight-every-cycle regression the Toggle2/Toggle3 doc comment above already warns about. Added 2026-08-23: List 2 on/off for ApsAutoIsfUseUkf1ForDosing -- see applyUkf1DosingOverride()'s own doc comment for scope.</w:t>
            </w:r>
          </w:p>
        </w:tc>
      </w:tr>
      <w:tr>
        <w:tc>
          <w:tcPr>
            <w:tcW w:type="dxa" w:w="500"/>
            <w:vAlign w:val="center"/>
          </w:tcPr>
          <w:p>
            <w:pPr>
              <w:spacing w:before="0" w:after="30"/>
            </w:pPr>
            <w:r>
              <w:rPr>
                <w:sz w:val="14"/>
              </w:rPr>
              <w:t>96</w:t>
            </w:r>
          </w:p>
        </w:tc>
        <w:tc>
          <w:tcPr>
            <w:tcW w:type="dxa" w:w="2050"/>
            <w:vAlign w:val="center"/>
          </w:tcPr>
          <w:p>
            <w:pPr>
              <w:spacing w:before="0" w:after="30"/>
            </w:pPr>
            <w:r>
              <w:rPr>
                <w:sz w:val="14"/>
              </w:rPr>
              <w:t>CloudLogsUploadTT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tc>
          <w:tcPr>
            <w:tcW w:type="dxa" w:w="500"/>
            <w:vAlign w:val="center"/>
          </w:tcPr>
          <w:p>
            <w:pPr>
              <w:spacing w:before="0" w:after="30"/>
            </w:pPr>
            <w:r>
              <w:rPr>
                <w:sz w:val="14"/>
              </w:rPr>
              <w:t>97</w:t>
            </w:r>
          </w:p>
        </w:tc>
        <w:tc>
          <w:tcPr>
            <w:tcW w:type="dxa" w:w="2050"/>
            <w:vAlign w:val="center"/>
          </w:tcPr>
          <w:p>
            <w:pPr>
              <w:spacing w:before="0" w:after="30"/>
            </w:pPr>
            <w:r>
              <w:rPr>
                <w:sz w:val="14"/>
              </w:rPr>
              <w:t>DuraWeightDownTT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tc>
          <w:tcPr>
            <w:tcW w:type="dxa" w:w="500"/>
            <w:vAlign w:val="center"/>
          </w:tcPr>
          <w:p>
            <w:pPr>
              <w:spacing w:before="0" w:after="30"/>
            </w:pPr>
            <w:r>
              <w:rPr>
                <w:sz w:val="14"/>
              </w:rPr>
              <w:t>98</w:t>
            </w:r>
          </w:p>
        </w:tc>
        <w:tc>
          <w:tcPr>
            <w:tcW w:type="dxa" w:w="2050"/>
            <w:vAlign w:val="center"/>
          </w:tcPr>
          <w:p>
            <w:pPr>
              <w:spacing w:before="0" w:after="30"/>
            </w:pPr>
            <w:r>
              <w:rPr>
                <w:sz w:val="14"/>
              </w:rPr>
              <w:t>DuraWeightUpTT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DuraWeightUpTT: manually setting a TT of 5.24 mmol is used as a remote +0.1 nudge on ApsAutoIsfDuraWeightNormal, clamped to a max of 3.00. Same pattern as DuraWeightDownTT above.</w:t>
            </w:r>
          </w:p>
        </w:tc>
      </w:tr>
      <w:tr>
        <w:tc>
          <w:tcPr>
            <w:tcW w:type="dxa" w:w="500"/>
            <w:vAlign w:val="center"/>
          </w:tcPr>
          <w:p>
            <w:pPr>
              <w:spacing w:before="0" w:after="30"/>
            </w:pPr>
            <w:r>
              <w:rPr>
                <w:sz w:val="14"/>
              </w:rPr>
              <w:t>99</w:t>
            </w:r>
          </w:p>
        </w:tc>
        <w:tc>
          <w:tcPr>
            <w:tcW w:type="dxa" w:w="2050"/>
            <w:vAlign w:val="center"/>
          </w:tcPr>
          <w:p>
            <w:pPr>
              <w:spacing w:before="0" w:after="30"/>
            </w:pPr>
            <w:r>
              <w:rPr>
                <w:sz w:val="14"/>
              </w:rPr>
              <w:t>SmbOffsetDownTT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tc>
          <w:tcPr>
            <w:tcW w:type="dxa" w:w="500"/>
            <w:vAlign w:val="center"/>
          </w:tcPr>
          <w:p>
            <w:pPr>
              <w:spacing w:before="0" w:after="30"/>
            </w:pPr>
            <w:r>
              <w:rPr>
                <w:sz w:val="14"/>
              </w:rPr>
              <w:t>100</w:t>
            </w:r>
          </w:p>
        </w:tc>
        <w:tc>
          <w:tcPr>
            <w:tcW w:type="dxa" w:w="2050"/>
            <w:vAlign w:val="center"/>
          </w:tcPr>
          <w:p>
            <w:pPr>
              <w:spacing w:before="0" w:after="30"/>
            </w:pPr>
            <w:r>
              <w:rPr>
                <w:sz w:val="14"/>
              </w:rPr>
              <w:t>SmbOffsetUpTT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SmbOffsetUpTT: manually setting a TT of 5.38 mmol is used as a remote +0.1 nudge on ApsAutoIsfSmbOffsetOverride, clamped to a max of 1.50. Same pattern as SmbOffsetDownTT above.</w:t>
            </w:r>
          </w:p>
        </w:tc>
      </w:tr>
      <w:tr>
        <w:tc>
          <w:tcPr>
            <w:tcW w:type="dxa" w:w="500"/>
            <w:vAlign w:val="center"/>
          </w:tcPr>
          <w:p>
            <w:pPr>
              <w:spacing w:before="0" w:after="30"/>
            </w:pPr>
            <w:r>
              <w:rPr>
                <w:sz w:val="14"/>
              </w:rPr>
              <w:t>101</w:t>
            </w:r>
          </w:p>
        </w:tc>
        <w:tc>
          <w:tcPr>
            <w:tcW w:type="dxa" w:w="2050"/>
            <w:vAlign w:val="center"/>
          </w:tcPr>
          <w:p>
            <w:pPr>
              <w:spacing w:before="0" w:after="30"/>
            </w:pPr>
            <w:r>
              <w:rPr>
                <w:sz w:val="14"/>
              </w:rPr>
              <w:t>LibreSlopeDownTT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tc>
          <w:tcPr>
            <w:tcW w:type="dxa" w:w="500"/>
            <w:vAlign w:val="center"/>
          </w:tcPr>
          <w:p>
            <w:pPr>
              <w:spacing w:before="0" w:after="30"/>
            </w:pPr>
            <w:r>
              <w:rPr>
                <w:sz w:val="14"/>
              </w:rPr>
              <w:t>102</w:t>
            </w:r>
          </w:p>
        </w:tc>
        <w:tc>
          <w:tcPr>
            <w:tcW w:type="dxa" w:w="2050"/>
            <w:vAlign w:val="center"/>
          </w:tcPr>
          <w:p>
            <w:pPr>
              <w:spacing w:before="0" w:after="30"/>
            </w:pPr>
            <w:r>
              <w:rPr>
                <w:sz w:val="14"/>
              </w:rPr>
              <w:t>LibreSlopeUpTT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LibreSlopeUpTT: manually setting a TT of 5.028 mmol is used as a remote +0.01 nudge on ApsAutoIsfLibreSlopeOrig, clamped to a max of 1.00. Same pattern as LibreSlopeDownTT above.</w:t>
            </w:r>
          </w:p>
        </w:tc>
      </w:tr>
      <w:tr>
        <w:tc>
          <w:tcPr>
            <w:tcW w:type="dxa" w:w="500"/>
            <w:vAlign w:val="center"/>
          </w:tcPr>
          <w:p>
            <w:pPr>
              <w:spacing w:before="0" w:after="30"/>
            </w:pPr>
            <w:r>
              <w:rPr>
                <w:sz w:val="14"/>
              </w:rPr>
              <w:t>103</w:t>
            </w:r>
          </w:p>
        </w:tc>
        <w:tc>
          <w:tcPr>
            <w:tcW w:type="dxa" w:w="2050"/>
            <w:vAlign w:val="center"/>
          </w:tcPr>
          <w:p>
            <w:pPr>
              <w:spacing w:before="0" w:after="30"/>
            </w:pPr>
            <w:r>
              <w:rPr>
                <w:sz w:val="14"/>
              </w:rPr>
              <w:t>LibreOffsetDownTT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tc>
          <w:tcPr>
            <w:tcW w:type="dxa" w:w="500"/>
            <w:vAlign w:val="center"/>
          </w:tcPr>
          <w:p>
            <w:pPr>
              <w:spacing w:before="0" w:after="30"/>
            </w:pPr>
            <w:r>
              <w:rPr>
                <w:sz w:val="14"/>
              </w:rPr>
              <w:t>104</w:t>
            </w:r>
          </w:p>
        </w:tc>
        <w:tc>
          <w:tcPr>
            <w:tcW w:type="dxa" w:w="2050"/>
            <w:vAlign w:val="center"/>
          </w:tcPr>
          <w:p>
            <w:pPr>
              <w:spacing w:before="0" w:after="30"/>
            </w:pPr>
            <w:r>
              <w:rPr>
                <w:sz w:val="14"/>
              </w:rPr>
              <w:t>LibreOffsetUpTT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LibreOffsetUpTT: manually setting a TT of 5.034 mmol is used as a remote +0.05 nudge on ApsAutoIsfLibreOffsetOrig, clamped to a max of 1.60. Same pattern as LibreOffsetDownTT above.</w:t>
            </w:r>
          </w:p>
        </w:tc>
      </w:tr>
      <w:tr>
        <w:tc>
          <w:tcPr>
            <w:tcW w:type="dxa" w:w="500"/>
            <w:vAlign w:val="center"/>
          </w:tcPr>
          <w:p>
            <w:pPr>
              <w:spacing w:before="0" w:after="30"/>
            </w:pPr>
            <w:r>
              <w:rPr>
                <w:sz w:val="14"/>
              </w:rPr>
              <w:t>105</w:t>
            </w:r>
          </w:p>
        </w:tc>
        <w:tc>
          <w:tcPr>
            <w:tcW w:type="dxa" w:w="2050"/>
            <w:vAlign w:val="center"/>
          </w:tcPr>
          <w:p>
            <w:pPr>
              <w:spacing w:before="0" w:after="30"/>
            </w:pPr>
            <w:r>
              <w:rPr>
                <w:sz w:val="14"/>
              </w:rPr>
              <w:t>CleanGraphTT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tc>
          <w:tcPr>
            <w:tcW w:type="dxa" w:w="500"/>
            <w:vAlign w:val="center"/>
          </w:tcPr>
          <w:p>
            <w:pPr>
              <w:spacing w:before="0" w:after="30"/>
            </w:pPr>
            <w:r>
              <w:rPr>
                <w:sz w:val="14"/>
              </w:rPr>
              <w:t>106</w:t>
            </w:r>
          </w:p>
        </w:tc>
        <w:tc>
          <w:tcPr>
            <w:tcW w:type="dxa" w:w="2050"/>
            <w:vAlign w:val="center"/>
          </w:tcPr>
          <w:p>
            <w:pPr>
              <w:spacing w:before="0" w:after="30"/>
            </w:pPr>
            <w:r>
              <w:rPr>
                <w:sz w:val="14"/>
              </w:rPr>
              <w:t>WizardPctDownTT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tc>
          <w:tcPr>
            <w:tcW w:type="dxa" w:w="500"/>
            <w:vAlign w:val="center"/>
          </w:tcPr>
          <w:p>
            <w:pPr>
              <w:spacing w:before="0" w:after="30"/>
            </w:pPr>
            <w:r>
              <w:rPr>
                <w:sz w:val="14"/>
              </w:rPr>
              <w:t>107</w:t>
            </w:r>
          </w:p>
        </w:tc>
        <w:tc>
          <w:tcPr>
            <w:tcW w:type="dxa" w:w="2050"/>
            <w:vAlign w:val="center"/>
          </w:tcPr>
          <w:p>
            <w:pPr>
              <w:spacing w:before="0" w:after="30"/>
            </w:pPr>
            <w:r>
              <w:rPr>
                <w:sz w:val="14"/>
              </w:rPr>
              <w:t>WizardPctUpTT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WizardPctUpTT: manually setting a TT of 5.048 mmol is used as a remote +5 nudge on OverviewBolusPercentage, clamped to a max of 100. Same pattern as WizardPctDownTT above.</w:t>
            </w:r>
          </w:p>
        </w:tc>
      </w:tr>
      <w:tr>
        <w:tc>
          <w:tcPr>
            <w:tcW w:type="dxa" w:w="500"/>
            <w:vAlign w:val="center"/>
          </w:tcPr>
          <w:p>
            <w:pPr>
              <w:spacing w:before="0" w:after="30"/>
            </w:pPr>
            <w:r>
              <w:rPr>
                <w:sz w:val="14"/>
              </w:rPr>
              <w:t>108</w:t>
            </w:r>
          </w:p>
        </w:tc>
        <w:tc>
          <w:tcPr>
            <w:tcW w:type="dxa" w:w="2050"/>
            <w:vAlign w:val="center"/>
          </w:tcPr>
          <w:p>
            <w:pPr>
              <w:spacing w:before="0" w:after="30"/>
            </w:pPr>
            <w:r>
              <w:rPr>
                <w:sz w:val="14"/>
              </w:rPr>
              <w:t>MildBoostDownTT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MildBoostDownTT: manually setting a TT of 5.052 mmol is used as a remote -0.25 nudge on ApsAutoIsfMildBoostRatio alone (unlike SmbDeliveryDownTT/5.002, which nudges it together with ApsAutoIsfSmbDeliveryBaseline, and stays at its own separate ±0.01 step), clamped to its own min of 0.1 — not a real target. Step widened 0.01 -&gt; 0.05 -&gt; 0.25 on 2026-08-29, alongside the key's own max widening 0.5-&gt;1.0 (see ApsAutoIsfMildBoostRatio in DoubleKey.kt). Same pattern/tight 0.0001mmol tolerance as the other settings-nudge TTs above.</w:t>
            </w:r>
          </w:p>
        </w:tc>
      </w:tr>
      <w:tr>
        <w:tc>
          <w:tcPr>
            <w:tcW w:type="dxa" w:w="500"/>
            <w:vAlign w:val="center"/>
          </w:tcPr>
          <w:p>
            <w:pPr>
              <w:spacing w:before="0" w:after="30"/>
            </w:pPr>
            <w:r>
              <w:rPr>
                <w:sz w:val="14"/>
              </w:rPr>
              <w:t>109</w:t>
            </w:r>
          </w:p>
        </w:tc>
        <w:tc>
          <w:tcPr>
            <w:tcW w:type="dxa" w:w="2050"/>
            <w:vAlign w:val="center"/>
          </w:tcPr>
          <w:p>
            <w:pPr>
              <w:spacing w:before="0" w:after="30"/>
            </w:pPr>
            <w:r>
              <w:rPr>
                <w:sz w:val="14"/>
              </w:rPr>
              <w:t>MildBoostUpTT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MildBoostUpTT: manually setting a TT of 5.054 mmol is used as a remote +0.25 nudge on ApsAutoIsfMildBoostRatio alone, clamped to its own max of 1.0 (widened from 0.5 on 2026-08-29). Same pattern as MildBoostDownTT above.</w:t>
            </w:r>
          </w:p>
        </w:tc>
      </w:tr>
      <w:tr>
        <w:tc>
          <w:tcPr>
            <w:tcW w:type="dxa" w:w="500"/>
            <w:vAlign w:val="center"/>
          </w:tcPr>
          <w:p>
            <w:pPr>
              <w:spacing w:before="0" w:after="30"/>
            </w:pPr>
            <w:r>
              <w:rPr>
                <w:sz w:val="14"/>
              </w:rPr>
              <w:t>110</w:t>
            </w:r>
          </w:p>
        </w:tc>
        <w:tc>
          <w:tcPr>
            <w:tcW w:type="dxa" w:w="2050"/>
            <w:vAlign w:val="center"/>
          </w:tcPr>
          <w:p>
            <w:pPr>
              <w:spacing w:before="0" w:after="30"/>
            </w:pPr>
            <w:r>
              <w:rPr>
                <w:sz w:val="14"/>
              </w:rPr>
              <w:t>BoostScaleDownTT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BoostScaleDownTT / BoostScaleUpTT: remote ±0.25 nudge (widened from ±0.1 -&gt; ±0.05 -&gt; ±0.25, 2026-08-29, per explicit request) on ApsAutoIsfUamBoostScale (Tier 3 UAM Boost's boost_scale multiplier) -- not real targets. Same pattern as MildBoostDownTT/UpTT above. Up is clamped to 2.9, NOT the preference's own nominal max of 3.0: DetermineBasalAutoISF.kt's entry gate requires "boost_scale &lt; 3" -- at exactly 3.0 Tier 3 stops firing entirely, a silent cliff rather than a graceful cap, so 2.9 keeps this control from ever landing on that trap.</w:t>
            </w:r>
          </w:p>
        </w:tc>
      </w:tr>
      <w:tr>
        <w:tc>
          <w:tcPr>
            <w:tcW w:type="dxa" w:w="500"/>
            <w:vAlign w:val="center"/>
          </w:tcPr>
          <w:p>
            <w:pPr>
              <w:spacing w:before="0" w:after="30"/>
            </w:pPr>
            <w:r>
              <w:rPr>
                <w:sz w:val="14"/>
              </w:rPr>
              <w:t>111</w:t>
            </w:r>
          </w:p>
        </w:tc>
        <w:tc>
          <w:tcPr>
            <w:tcW w:type="dxa" w:w="2050"/>
            <w:vAlign w:val="center"/>
          </w:tcPr>
          <w:p>
            <w:pPr>
              <w:spacing w:before="0" w:after="30"/>
            </w:pPr>
            <w:r>
              <w:rPr>
                <w:sz w:val="14"/>
              </w:rPr>
              <w:t>BoostScaleUpTT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BoostScaleDownTT / BoostScaleUpTT: remote ±0.25 nudge (widened from ±0.1 -&gt; ±0.05 -&gt; ±0.25, 2026-08-29, per explicit request) on ApsAutoIsfUamBoostScale (Tier 3 UAM Boost's boost_scale multiplier) -- not real targets. Same pattern as MildBoostDownTT/UpTT above. Up is clamped to 2.9, NOT the preference's own nominal max of 3.0: DetermineBasalAutoISF.kt's entry gate requires "boost_scale &lt; 3" -- at exactly 3.0 Tier 3 stops firing entirely, a silent cliff rather than a graceful cap, so 2.9 keeps this control from ever landing on that trap.</w:t>
            </w:r>
          </w:p>
        </w:tc>
      </w:tr>
      <w:tr>
        <w:tc>
          <w:tcPr>
            <w:tcW w:type="dxa" w:w="500"/>
            <w:vAlign w:val="center"/>
          </w:tcPr>
          <w:p>
            <w:pPr>
              <w:spacing w:before="0" w:after="30"/>
            </w:pPr>
            <w:r>
              <w:rPr>
                <w:sz w:val="14"/>
              </w:rPr>
              <w:t>112</w:t>
            </w:r>
          </w:p>
        </w:tc>
        <w:tc>
          <w:tcPr>
            <w:tcW w:type="dxa" w:w="2050"/>
            <w:vAlign w:val="center"/>
          </w:tcPr>
          <w:p>
            <w:pPr>
              <w:spacing w:before="0" w:after="30"/>
            </w:pPr>
            <w:r>
              <w:rPr>
                <w:sz w:val="14"/>
              </w:rPr>
              <w:t>BoostMaxDownTT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BoostMaxDownTT / BoostMaxUpTT: remote ±0.25U nudge on ApsAutoIsfUamBoostMaxBolus (Tier 3's per-SMB boost_max ceiling, live default 2.5U) -- not real targets. Same pattern as above.</w:t>
            </w:r>
          </w:p>
        </w:tc>
      </w:tr>
      <w:tr>
        <w:tc>
          <w:tcPr>
            <w:tcW w:type="dxa" w:w="500"/>
            <w:vAlign w:val="center"/>
          </w:tcPr>
          <w:p>
            <w:pPr>
              <w:spacing w:before="0" w:after="30"/>
            </w:pPr>
            <w:r>
              <w:rPr>
                <w:sz w:val="14"/>
              </w:rPr>
              <w:t>113</w:t>
            </w:r>
          </w:p>
        </w:tc>
        <w:tc>
          <w:tcPr>
            <w:tcW w:type="dxa" w:w="2050"/>
            <w:vAlign w:val="center"/>
          </w:tcPr>
          <w:p>
            <w:pPr>
              <w:spacing w:before="0" w:after="30"/>
            </w:pPr>
            <w:r>
              <w:rPr>
                <w:sz w:val="14"/>
              </w:rPr>
              <w:t>BoostMaxUpTT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BoostMaxDownTT / BoostMaxUpTT: remote ±0.25U nudge on ApsAutoIsfUamBoostMaxBolus (Tier 3's per-SMB boost_max ceiling, live default 2.5U) -- not real targets. Same pattern as above.</w:t>
            </w:r>
          </w:p>
        </w:tc>
      </w:tr>
      <w:tr>
        <w:tc>
          <w:tcPr>
            <w:tcW w:type="dxa" w:w="500"/>
            <w:vAlign w:val="center"/>
          </w:tcPr>
          <w:p>
            <w:pPr>
              <w:spacing w:before="0" w:after="30"/>
            </w:pPr>
            <w:r>
              <w:rPr>
                <w:sz w:val="14"/>
              </w:rPr>
              <w:t>114</w:t>
            </w:r>
          </w:p>
        </w:tc>
        <w:tc>
          <w:tcPr>
            <w:tcW w:type="dxa" w:w="2050"/>
            <w:vAlign w:val="center"/>
          </w:tcPr>
          <w:p>
            <w:pPr>
              <w:spacing w:before="0" w:after="30"/>
            </w:pPr>
            <w:r>
              <w:rPr>
                <w:sz w:val="14"/>
              </w:rPr>
              <w:t>BoostIobMaxDownTT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BoostIobMaxDownTT / BoostIobMaxUpTT: remote ±5% nudge on ApsAutoIsfUamBoostMaxIobPercent (Tier 3's IOB ceiling, live default 10.0% of max_iob -- e.g. 0.95U at max_iob 9.5) -- not real targets. Same pattern as above. This is the ceiling that was actually binding the 22 Aug 2026 real UamBst firing (see the AIV review checklist's item 06), not boost_max, so this is the more relevant of the two boost-strength controls to reach for first.</w:t>
            </w:r>
          </w:p>
        </w:tc>
      </w:tr>
      <w:tr>
        <w:tc>
          <w:tcPr>
            <w:tcW w:type="dxa" w:w="500"/>
            <w:vAlign w:val="center"/>
          </w:tcPr>
          <w:p>
            <w:pPr>
              <w:spacing w:before="0" w:after="30"/>
            </w:pPr>
            <w:r>
              <w:rPr>
                <w:sz w:val="14"/>
              </w:rPr>
              <w:t>115</w:t>
            </w:r>
          </w:p>
        </w:tc>
        <w:tc>
          <w:tcPr>
            <w:tcW w:type="dxa" w:w="2050"/>
            <w:vAlign w:val="center"/>
          </w:tcPr>
          <w:p>
            <w:pPr>
              <w:spacing w:before="0" w:after="30"/>
            </w:pPr>
            <w:r>
              <w:rPr>
                <w:sz w:val="14"/>
              </w:rPr>
              <w:t>BoostIobMaxUpTT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BoostIobMaxDownTT / BoostIobMaxUpTT: remote ±5% nudge on ApsAutoIsfUamBoostMaxIobPercent (Tier 3's IOB ceiling, live default 10.0% of max_iob -- e.g. 0.95U at max_iob 9.5) -- not real targets. Same pattern as above. This is the ceiling that was actually binding the 22 Aug 2026 real UamBst firing (see the AIV review checklist's item 06), not boost_max, so this is the more relevant of the two boost-strength controls to reach for first.</w:t>
            </w:r>
          </w:p>
        </w:tc>
      </w:tr>
      <w:tr>
        <w:tc>
          <w:tcPr>
            <w:tcW w:type="dxa" w:w="500"/>
            <w:vAlign w:val="center"/>
          </w:tcPr>
          <w:p>
            <w:pPr>
              <w:spacing w:before="0" w:after="30"/>
            </w:pPr>
            <w:r>
              <w:rPr>
                <w:sz w:val="14"/>
              </w:rPr>
              <w:t>116</w:t>
            </w:r>
          </w:p>
        </w:tc>
        <w:tc>
          <w:tcPr>
            <w:tcW w:type="dxa" w:w="2050"/>
            <w:vAlign w:val="center"/>
          </w:tcPr>
          <w:p>
            <w:pPr>
              <w:spacing w:before="0" w:after="30"/>
            </w:pPr>
            <w:r>
              <w:rPr>
                <w:sz w:val="14"/>
              </w:rPr>
              <w:t>GentleHypoRisk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tc>
          <w:tcPr>
            <w:tcW w:type="dxa" w:w="500"/>
            <w:vAlign w:val="center"/>
          </w:tcPr>
          <w:p>
            <w:pPr>
              <w:spacing w:before="0" w:after="30"/>
            </w:pPr>
            <w:r>
              <w:rPr>
                <w:sz w:val="14"/>
              </w:rPr>
              <w:t>117</w:t>
            </w:r>
          </w:p>
        </w:tc>
        <w:tc>
          <w:tcPr>
            <w:tcW w:type="dxa" w:w="2050"/>
            <w:vAlign w:val="center"/>
          </w:tcPr>
          <w:p>
            <w:pPr>
              <w:spacing w:before="0" w:after="30"/>
            </w:pPr>
            <w:r>
              <w:rPr>
                <w:sz w:val="14"/>
              </w:rPr>
              <w:t>PP50Off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tc>
          <w:tcPr>
            <w:tcW w:type="dxa" w:w="500"/>
            <w:vAlign w:val="center"/>
          </w:tcPr>
          <w:p>
            <w:pPr>
              <w:spacing w:before="0" w:after="30"/>
            </w:pPr>
            <w:r>
              <w:rPr>
                <w:sz w:val="14"/>
              </w:rPr>
              <w:t>118</w:t>
            </w:r>
          </w:p>
        </w:tc>
        <w:tc>
          <w:tcPr>
            <w:tcW w:type="dxa" w:w="2050"/>
            <w:vAlign w:val="center"/>
          </w:tcPr>
          <w:p>
            <w:pPr>
              <w:spacing w:before="0" w:after="30"/>
            </w:pPr>
            <w:r>
              <w:rPr>
                <w:sz w:val="14"/>
              </w:rPr>
              <w:t>SkittlesHypoRisk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tc>
          <w:tcPr>
            <w:tcW w:type="dxa" w:w="500"/>
            <w:vAlign w:val="center"/>
          </w:tcPr>
          <w:p>
            <w:pPr>
              <w:spacing w:before="0" w:after="30"/>
            </w:pPr>
            <w:r>
              <w:rPr>
                <w:sz w:val="14"/>
              </w:rPr>
              <w:t>119</w:t>
            </w:r>
          </w:p>
        </w:tc>
        <w:tc>
          <w:tcPr>
            <w:tcW w:type="dxa" w:w="2050"/>
            <w:vAlign w:val="center"/>
          </w:tcPr>
          <w:p>
            <w:pPr>
              <w:spacing w:before="0" w:after="30"/>
            </w:pPr>
            <w:r>
              <w:rPr>
                <w:sz w:val="14"/>
              </w:rPr>
              <w:t>50SetRecent</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tc>
          <w:tcPr>
            <w:tcW w:type="dxa" w:w="500"/>
            <w:vAlign w:val="center"/>
          </w:tcPr>
          <w:p>
            <w:pPr>
              <w:spacing w:before="0" w:after="30"/>
            </w:pPr>
            <w:r>
              <w:rPr>
                <w:sz w:val="14"/>
              </w:rPr>
              <w:t>120</w:t>
            </w:r>
          </w:p>
        </w:tc>
        <w:tc>
          <w:tcPr>
            <w:tcW w:type="dxa" w:w="2050"/>
            <w:vAlign w:val="center"/>
          </w:tcPr>
          <w:p>
            <w:pPr>
              <w:spacing w:before="0" w:after="30"/>
            </w:pPr>
            <w:r>
              <w:rPr>
                <w:sz w:val="14"/>
              </w:rPr>
              <w:t>Not50Recently</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Not50%Recently: clears 50recent flag once profile is back at 100% and BGL rising BG floor added 2026-08-23. Real 4-day pattern (Client, 20-23 Aug): this clears on the very first uptick off a low (delta &gt;=0.1mmol was the only bar), often while BG is still clearly in low/low-normal range (4.2-5.0mmol seen repeatedly) -- not once the low has actually resolved. 5-7 times a day the guard then sits off through an autonomous, often carbless rebound that keeps climbing for another 30-90+ min, so by the time real correction lands (recentLowActive's own 50% SMB halving in DetermineBasalAutoISF.kt), it lands at full strength.</w:t>
            </w:r>
          </w:p>
        </w:tc>
      </w:tr>
      <w:tr>
        <w:tc>
          <w:tcPr>
            <w:tcW w:type="dxa" w:w="500"/>
            <w:vAlign w:val="center"/>
          </w:tcPr>
          <w:p>
            <w:pPr>
              <w:spacing w:before="0" w:after="30"/>
            </w:pPr>
            <w:r>
              <w:rPr>
                <w:sz w:val="14"/>
              </w:rPr>
              <w:t>121</w:t>
            </w:r>
          </w:p>
        </w:tc>
        <w:tc>
          <w:tcPr>
            <w:tcW w:type="dxa" w:w="2050"/>
            <w:vAlign w:val="center"/>
          </w:tcPr>
          <w:p>
            <w:pPr>
              <w:spacing w:before="0" w:after="30"/>
            </w:pPr>
            <w:r>
              <w:rPr>
                <w:sz w:val="14"/>
              </w:rPr>
              <w:t>iobTHDaytimeFloor</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r>
        <w:tc>
          <w:tcPr>
            <w:tcW w:type="dxa" w:w="500"/>
            <w:vAlign w:val="center"/>
          </w:tcPr>
          <w:p>
            <w:pPr>
              <w:spacing w:before="0" w:after="30"/>
            </w:pPr>
            <w:r>
              <w:rPr>
                <w:sz w:val="14"/>
              </w:rPr>
              <w:t>122</w:t>
            </w:r>
          </w:p>
        </w:tc>
        <w:tc>
          <w:tcPr>
            <w:tcW w:type="dxa" w:w="2050"/>
            <w:vAlign w:val="center"/>
          </w:tcPr>
          <w:p>
            <w:pPr>
              <w:spacing w:before="0" w:after="30"/>
            </w:pPr>
            <w:r>
              <w:rPr>
                <w:sz w:val="14"/>
              </w:rPr>
              <w:t>Extra50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Extra50%: deepens hypo protection (acce→0.07, iobTH→50%) when BGL falling on 100% profile 5-min floor throttle added on top of the state guard (see readyToRun() usage note).</w:t>
            </w:r>
          </w:p>
        </w:tc>
      </w:tr>
      <w:tr>
        <w:tc>
          <w:tcPr>
            <w:tcW w:type="dxa" w:w="500"/>
            <w:vAlign w:val="center"/>
          </w:tcPr>
          <w:p>
            <w:pPr>
              <w:spacing w:before="0" w:after="30"/>
            </w:pPr>
            <w:r>
              <w:rPr>
                <w:sz w:val="14"/>
              </w:rPr>
              <w:t>123</w:t>
            </w:r>
          </w:p>
        </w:tc>
        <w:tc>
          <w:tcPr>
            <w:tcW w:type="dxa" w:w="2050"/>
            <w:vAlign w:val="center"/>
          </w:tcPr>
          <w:p>
            <w:pPr>
              <w:spacing w:before="0" w:after="30"/>
            </w:pPr>
            <w:r>
              <w:rPr>
                <w:sz w:val="14"/>
              </w:rPr>
              <w:t>OvernightDuraRescue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OvernightDuraRescue: deep-night duraISF-led correction when Low profile is under-treating a genuine plateaued high. Narrower, one-shot counterpart to what BasalUp used to do before it was blocked 22:00-06:00 this session -- NOT a re-opening of that gap: time-boxed to 60 minutes via switchProfileIfNeeded's own duration (auto-reverts, no extra revert logic needed), gated on duraISF genuinely dominating the other AutoISF adaptation factors, no live stacking, no recent low (excludes rebound-highs), and BOTH short- and long-avg delta sitting flat rather than still moving either way.</w:t>
            </w:r>
          </w:p>
        </w:tc>
      </w:tr>
      <w:tr>
        <w:tc>
          <w:tcPr>
            <w:tcW w:type="dxa" w:w="500"/>
            <w:vAlign w:val="center"/>
          </w:tcPr>
          <w:p>
            <w:pPr>
              <w:spacing w:before="0" w:after="30"/>
            </w:pPr>
            <w:r>
              <w:rPr>
                <w:sz w:val="14"/>
              </w:rPr>
              <w:t>124</w:t>
            </w:r>
          </w:p>
        </w:tc>
        <w:tc>
          <w:tcPr>
            <w:tcW w:type="dxa" w:w="2050"/>
            <w:vAlign w:val="center"/>
          </w:tcPr>
          <w:p>
            <w:pPr>
              <w:spacing w:before="0" w:after="30"/>
            </w:pPr>
            <w:r>
              <w:rPr>
                <w:sz w:val="14"/>
              </w:rPr>
              <w:t>StuckHighRescue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StuckHighRescue: added 2026-09-13, per explicit request, after a real 13 Sep BG=13.0mmol plateau (Client, ~17:50-18:01) where insulinReq had collapsed toward zero despite BG staying high, because the model's own prediction (minPredBG/eventualBG in DetermineBasalAutoISF.kt insulinReq = (min(minPredBG, eventualBG) - target_bg) / sens) was already close to target. HP2 (hypoPrediction2Mmol) is used here as an EARLIER, plugin-side proxy for that same "predicted landing point" concept -- same shape of formula, computed before determine_basal() runs -- NOT the literal minPredBG/eventualBG values, which only exist inside that function.</w:t>
            </w:r>
          </w:p>
        </w:tc>
      </w:tr>
      <w:tr>
        <w:tc>
          <w:tcPr>
            <w:tcW w:type="dxa" w:w="500"/>
            <w:vAlign w:val="center"/>
          </w:tcPr>
          <w:p>
            <w:pPr>
              <w:spacing w:before="0" w:after="30"/>
            </w:pPr>
            <w:r>
              <w:rPr>
                <w:sz w:val="14"/>
              </w:rPr>
              <w:t>125</w:t>
            </w:r>
          </w:p>
        </w:tc>
        <w:tc>
          <w:tcPr>
            <w:tcW w:type="dxa" w:w="2050"/>
            <w:vAlign w:val="center"/>
          </w:tcPr>
          <w:p>
            <w:pPr>
              <w:spacing w:before="0" w:after="30"/>
            </w:pPr>
            <w:r>
              <w:rPr>
                <w:sz w:val="14"/>
              </w:rPr>
              <w:t>BolusGivenMildFailsafe</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PoorResponseRescue: added 2026-09-13, per explicit request, catching the SAME "insulin isn't producing an effect" failure mode as StuckHighRescue above, but anchored to a SPECIFIC recent dose and its actual observed response, rather than a BG-level/HP2 threshold -- built to fire MUCH earlier in a rise (retrospectively, before BG even reached 9.0mmol in the 13 Sep 16:57-18:01 episode this was built from, where BG had already reached 13.0mmol before anything else caught it). A &gt;=0.6U BolusGiven/BMild/UamBst dose should show SOME visible effect within a handful of minutes; if it doesn't, that is a real, event-anchored "this isn't working" signal, available much sooner than watching for a sustained high BG or a long accumulation window.</w:t>
            </w:r>
          </w:p>
        </w:tc>
      </w:tr>
      <w:tr>
        <w:tc>
          <w:tcPr>
            <w:tcW w:type="dxa" w:w="500"/>
            <w:vAlign w:val="center"/>
          </w:tcPr>
          <w:p>
            <w:pPr>
              <w:spacing w:before="0" w:after="30"/>
            </w:pPr>
            <w:r>
              <w:rPr>
                <w:sz w:val="14"/>
              </w:rPr>
              <w:t>126</w:t>
            </w:r>
          </w:p>
        </w:tc>
        <w:tc>
          <w:tcPr>
            <w:tcW w:type="dxa" w:w="2050"/>
            <w:vAlign w:val="center"/>
          </w:tcPr>
          <w:p>
            <w:pPr>
              <w:spacing w:before="0" w:after="30"/>
            </w:pPr>
            <w:r>
              <w:rPr>
                <w:sz w:val="14"/>
              </w:rPr>
              <w:t>PoorResponseRescueStage1</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PoorResponseRescue: added 2026-09-13, per explicit request, catching the SAME "insulin isn't producing an effect" failure mode as StuckHighRescue above, but anchored to a SPECIFIC recent dose and its actual observed response, rather than a BG-level/HP2 threshold -- built to fire MUCH earlier in a rise (retrospectively, before BG even reached 9.0mmol in the 13 Sep 16:57-18:01 episode this was built from, where BG had already reached 13.0mmol before anything else caught it). A &gt;=0.6U BolusGiven/BMild/UamBst dose should show SOME visible effect within a handful of minutes; if it doesn't, that is a real, event-anchored "this isn't working" signal, available much sooner than watching for a sustained high BG or a long accumulation window.</w:t>
            </w:r>
          </w:p>
        </w:tc>
      </w:tr>
      <w:tr>
        <w:tc>
          <w:tcPr>
            <w:tcW w:type="dxa" w:w="500"/>
            <w:vAlign w:val="center"/>
          </w:tcPr>
          <w:p>
            <w:pPr>
              <w:spacing w:before="0" w:after="30"/>
            </w:pPr>
            <w:r>
              <w:rPr>
                <w:sz w:val="14"/>
              </w:rPr>
              <w:t>127</w:t>
            </w:r>
          </w:p>
        </w:tc>
        <w:tc>
          <w:tcPr>
            <w:tcW w:type="dxa" w:w="2050"/>
            <w:vAlign w:val="center"/>
          </w:tcPr>
          <w:p>
            <w:pPr>
              <w:spacing w:before="0" w:after="30"/>
            </w:pPr>
            <w:r>
              <w:rPr>
                <w:sz w:val="14"/>
              </w:rPr>
              <w:t>PoorResponseRescueStage2</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PoorResponseRescue: added 2026-09-13, per explicit request, catching the SAME "insulin isn't producing an effect" failure mode as StuckHighRescue above, but anchored to a SPECIFIC recent dose and its actual observed response, rather than a BG-level/HP2 threshold -- built to fire MUCH earlier in a rise (retrospectively, before BG even reached 9.0mmol in the 13 Sep 16:57-18:01 episode this was built from, where BG had already reached 13.0mmol before anything else caught it). A &gt;=0.6U BolusGiven/BMild/UamBst dose should show SOME visible effect within a handful of minutes; if it doesn't, that is a real, event-anchored "this isn't working" signal, available much sooner than watching for a sustained high BG or a long accumulation window.</w:t>
            </w:r>
          </w:p>
        </w:tc>
      </w:tr>
      <w:tr>
        <w:tc>
          <w:tcPr>
            <w:tcW w:type="dxa" w:w="500"/>
            <w:vAlign w:val="center"/>
          </w:tcPr>
          <w:p>
            <w:pPr>
              <w:spacing w:before="0" w:after="30"/>
            </w:pPr>
            <w:r>
              <w:rPr>
                <w:sz w:val="14"/>
              </w:rPr>
              <w:t>128</w:t>
            </w:r>
          </w:p>
        </w:tc>
        <w:tc>
          <w:tcPr>
            <w:tcW w:type="dxa" w:w="2050"/>
            <w:vAlign w:val="center"/>
          </w:tcPr>
          <w:p>
            <w:pPr>
              <w:spacing w:before="0" w:after="30"/>
            </w:pPr>
            <w:r>
              <w:rPr>
                <w:sz w:val="14"/>
              </w:rPr>
              <w:t>UnexplainedHighTierC</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UnexplainedHighTierC: added 2026-09-13, per explicit request. A THIRD trigger into the SAME escalateToStuckHighTierC()/revert mechanism as StuckHighRescue and PoorResponseRescueStage2 above -- reusing the identical escalation and the identical shared BG&lt;7.5mmol revert (StuckHighTierC run{} block right below) -- but with its own, much simpler condition: BG&gt;8.0mmol continuously for 2h+ WITH NO meal/UAM seen anywhere in that stretch. Where StuckHighRescue/PoorResponseRescue key off HP2/dose-response signals (fast, early, but food-agnostic), this one is a slower backstop aimed specifically at the "no identifiable cause" case (poor pod site, unexpected absorption failure, etc.) -- unlike OldPod's own sustained-high tracker (ApsAutoIsfOldPodHighSinceTs, &gt;10.0mmol), this is pod-age-independent and uses its own 8.0mmol threshold and its own timestamp (ApsAutoIsfUnexplainedHighSinceTs).</w:t>
            </w:r>
          </w:p>
        </w:tc>
      </w:tr>
      <w:tr>
        <w:tc>
          <w:tcPr>
            <w:tcW w:type="dxa" w:w="500"/>
            <w:vAlign w:val="center"/>
          </w:tcPr>
          <w:p>
            <w:pPr>
              <w:spacing w:before="0" w:after="30"/>
            </w:pPr>
            <w:r>
              <w:rPr>
                <w:sz w:val="14"/>
              </w:rPr>
              <w:t>129</w:t>
            </w:r>
          </w:p>
        </w:tc>
        <w:tc>
          <w:tcPr>
            <w:tcW w:type="dxa" w:w="2050"/>
            <w:vAlign w:val="center"/>
          </w:tcPr>
          <w:p>
            <w:pPr>
              <w:spacing w:before="0" w:after="30"/>
            </w:pPr>
            <w:r>
              <w:rPr>
                <w:sz w:val="14"/>
              </w:rPr>
              <w:t>NightFrSkip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NightFrSkip: one-shot 1–2 cycle FastRise skip inside the 00:30-04:00 0.6U/10min cap 4 Sep 2026 03:40-04:02: BG 6.4→8.0 while FastRise 750 chopped Req 0.77-1.11 to 0.05 SMB every ~60s (~0.70U over 18 min). First SMBs at 03:40-03:42 were already ratio×Req (FastRise still "--"); the lag was the later chop, not a stuck Low profile (OffP-1 at 03:02 had expired ~03:32, basal 0.40→0.50). Daytime BMild would skip FastRise for 30 min AND raise the delivery ratio AND trigger Tier 3 -- more insulin, not the same total earlier. This block only restores the already-computed microBolus for this cycle plus the next (~2 min), then FastRise 750 resumes. The 00:30-04:00 0.6U/10min cap in determine_basal() still binds (placed AFTER the skip restore). Named Low profile is NOT a veto and this does NOT switch to Standard.</w:t>
            </w:r>
          </w:p>
        </w:tc>
      </w:tr>
      <w:tr>
        <w:tc>
          <w:tcPr>
            <w:tcW w:type="dxa" w:w="500"/>
            <w:vAlign w:val="center"/>
          </w:tcPr>
          <w:p>
            <w:pPr>
              <w:spacing w:before="0" w:after="30"/>
            </w:pPr>
            <w:r>
              <w:rPr>
                <w:sz w:val="14"/>
              </w:rPr>
              <w:t>130</w:t>
            </w:r>
          </w:p>
        </w:tc>
        <w:tc>
          <w:tcPr>
            <w:tcW w:type="dxa" w:w="2050"/>
            <w:vAlign w:val="center"/>
          </w:tcPr>
          <w:p>
            <w:pPr>
              <w:spacing w:before="0" w:after="30"/>
            </w:pPr>
            <w:r>
              <w:rPr>
                <w:sz w:val="14"/>
              </w:rPr>
              <w:t>OffHighProf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tc>
          <w:tcPr>
            <w:tcW w:type="dxa" w:w="500"/>
            <w:vAlign w:val="center"/>
          </w:tcPr>
          <w:p>
            <w:pPr>
              <w:spacing w:before="0" w:after="30"/>
            </w:pPr>
            <w:r>
              <w:rPr>
                <w:sz w:val="14"/>
              </w:rPr>
              <w:t>131</w:t>
            </w:r>
          </w:p>
        </w:tc>
        <w:tc>
          <w:tcPr>
            <w:tcW w:type="dxa" w:w="2050"/>
            <w:vAlign w:val="center"/>
          </w:tcPr>
          <w:p>
            <w:pPr>
              <w:spacing w:before="0" w:after="30"/>
            </w:pPr>
            <w:r>
              <w:rPr>
                <w:sz w:val="14"/>
              </w:rPr>
              <w:t>Battery1pc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Battery1%: when phone battery drops to &lt;=1%, switch to the configured safety profile and alert Do not restrict this to particular Profile automation states or a 100% profile: a bolus, temporary low/exercise profile, or future state must not suppress the critical 1% warning. Self-guarding: once the configured safety profile is active, this block no longer matches.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tc>
          <w:tcPr>
            <w:tcW w:type="dxa" w:w="500"/>
            <w:vAlign w:val="center"/>
          </w:tcPr>
          <w:p>
            <w:pPr>
              <w:spacing w:before="0" w:after="30"/>
            </w:pPr>
            <w:r>
              <w:rPr>
                <w:sz w:val="14"/>
              </w:rPr>
              <w:t>132</w:t>
            </w:r>
          </w:p>
        </w:tc>
        <w:tc>
          <w:tcPr>
            <w:tcW w:type="dxa" w:w="2050"/>
            <w:vAlign w:val="center"/>
          </w:tcPr>
          <w:p>
            <w:pPr>
              <w:spacing w:before="0" w:after="30"/>
            </w:pPr>
            <w:r>
              <w:rPr>
                <w:sz w:val="14"/>
              </w:rPr>
              <w:t>BatteryOver1pc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BatteryOver1%: when battery recovers above 1%, restore Current ProfileReal Keys on being on the configured safety-profile name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tc>
          <w:tcPr>
            <w:tcW w:type="dxa" w:w="500"/>
            <w:vAlign w:val="center"/>
          </w:tcPr>
          <w:p>
            <w:pPr>
              <w:spacing w:before="0" w:after="30"/>
            </w:pPr>
            <w:r>
              <w:rPr>
                <w:sz w:val="14"/>
              </w:rPr>
              <w:t>133</w:t>
            </w:r>
          </w:p>
        </w:tc>
        <w:tc>
          <w:tcPr>
            <w:tcW w:type="dxa" w:w="2050"/>
            <w:vAlign w:val="center"/>
          </w:tcPr>
          <w:p>
            <w:pPr>
              <w:spacing w:before="0" w:after="30"/>
            </w:pPr>
            <w:r>
              <w:rPr>
                <w:sz w:val="14"/>
              </w:rPr>
              <w:t>ProfileRoleSanityCheck</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ProfileRoleSanityCheck: non-blocking warning if a coded profile role doesn't resolve to a real profile in the current profile store. Added 2026-08-27 per explicit request. Deliberately ignorable -- a NORMAL-level notification only, never blocks dosing or forces a fix -- since the underlying switchProfileIfNeeded()/getProfileName() comparisons this guards are already null-safe (they no-op rather than throw); this exists purely so a name mismatch is surfaced instead of silently doing nothing across the ~30 automations that read these three roles. 6-hour throttle: this is a slow-changing configuration concern, not something worth checking every cycle.</w:t>
            </w:r>
          </w:p>
        </w:tc>
      </w:tr>
      <w:tr>
        <w:tc>
          <w:tcPr>
            <w:tcW w:type="dxa" w:w="500"/>
            <w:vAlign w:val="center"/>
          </w:tcPr>
          <w:p>
            <w:pPr>
              <w:spacing w:before="0" w:after="30"/>
            </w:pPr>
            <w:r>
              <w:rPr>
                <w:sz w:val="14"/>
              </w:rPr>
              <w:t>134</w:t>
            </w:r>
          </w:p>
        </w:tc>
        <w:tc>
          <w:tcPr>
            <w:tcW w:type="dxa" w:w="2050"/>
            <w:vAlign w:val="center"/>
          </w:tcPr>
          <w:p>
            <w:pPr>
              <w:spacing w:before="0" w:after="30"/>
            </w:pPr>
            <w:r>
              <w:rPr>
                <w:sz w:val="14"/>
              </w:rPr>
              <w:t>Shower12</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Shower12: drops iobTH to 12% during quiet morning rise (no steps, no COB, long post-bolus) 5-min floor throttle added on top of the preconditions (see readyToRun() usage note).</w:t>
            </w:r>
          </w:p>
        </w:tc>
      </w:tr>
      <w:tr>
        <w:tc>
          <w:tcPr>
            <w:tcW w:type="dxa" w:w="500"/>
            <w:vAlign w:val="center"/>
          </w:tcPr>
          <w:p>
            <w:pPr>
              <w:spacing w:before="0" w:after="30"/>
            </w:pPr>
            <w:r>
              <w:rPr>
                <w:sz w:val="14"/>
              </w:rPr>
              <w:t>135</w:t>
            </w:r>
          </w:p>
        </w:tc>
        <w:tc>
          <w:tcPr>
            <w:tcW w:type="dxa" w:w="2050"/>
            <w:vAlign w:val="center"/>
          </w:tcPr>
          <w:p>
            <w:pPr>
              <w:spacing w:before="0" w:after="30"/>
            </w:pPr>
            <w:r>
              <w:rPr>
                <w:sz w:val="14"/>
              </w:rPr>
              <w:t>HighNight00AM</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HighNight00AM: overnight rising BGL (&gt;6.5 mmol) -- switch to Standard at current tier Re-enabled 2026-09-16 in a NARROWER form than the original 2026-08/09 design. The original also raised iobTH to 51 and acce to 0.50 to let the higher Standard profile actually correct -- but that directly fought NightIobCeiling (added after the 6-&gt;7 Aug 2026 hypo, which LOWERS the same two knobs across the same hours), so it was disabled outright rather than left to lose that race every ~5 min (see git history for the original disabled block). This version drops the iobTH/acce override entirely -- it ONLY does the Standard-vs-Low profile toggle at the current shared tier (switchToStandardAtSharedTier, the same lever OffHighProf already reverts), so it no longer touches anything NightIobCeiling owns.</w:t>
            </w:r>
          </w:p>
        </w:tc>
      </w:tr>
      <w:tr>
        <w:tc>
          <w:tcPr>
            <w:tcW w:type="dxa" w:w="500"/>
            <w:vAlign w:val="center"/>
          </w:tcPr>
          <w:p>
            <w:pPr>
              <w:spacing w:before="0" w:after="30"/>
            </w:pPr>
            <w:r>
              <w:rPr>
                <w:sz w:val="14"/>
              </w:rPr>
              <w:t>136</w:t>
            </w:r>
          </w:p>
        </w:tc>
        <w:tc>
          <w:tcPr>
            <w:tcW w:type="dxa" w:w="2050"/>
            <w:vAlign w:val="center"/>
          </w:tcPr>
          <w:p>
            <w:pPr>
              <w:spacing w:before="0" w:after="30"/>
            </w:pPr>
            <w:r>
              <w:rPr>
                <w:sz w:val="14"/>
              </w:rPr>
              <w:t>ActivityProf50</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tc>
          <w:tcPr>
            <w:tcW w:type="dxa" w:w="500"/>
            <w:vAlign w:val="center"/>
          </w:tcPr>
          <w:p>
            <w:pPr>
              <w:spacing w:before="0" w:after="30"/>
            </w:pPr>
            <w:r>
              <w:rPr>
                <w:sz w:val="14"/>
              </w:rPr>
              <w:t>137</w:t>
            </w:r>
          </w:p>
        </w:tc>
        <w:tc>
          <w:tcPr>
            <w:tcW w:type="dxa" w:w="2050"/>
            <w:vAlign w:val="center"/>
          </w:tcPr>
          <w:p>
            <w:pPr>
              <w:spacing w:before="0" w:after="30"/>
            </w:pPr>
            <w:r>
              <w:rPr>
                <w:sz w:val="14"/>
              </w:rPr>
              <w:t>ActivityOff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tc>
          <w:tcPr>
            <w:tcW w:type="dxa" w:w="500"/>
            <w:vAlign w:val="center"/>
          </w:tcPr>
          <w:p>
            <w:pPr>
              <w:spacing w:before="0" w:after="30"/>
            </w:pPr>
            <w:r>
              <w:rPr>
                <w:sz w:val="14"/>
              </w:rPr>
              <w:t>138</w:t>
            </w:r>
          </w:p>
        </w:tc>
        <w:tc>
          <w:tcPr>
            <w:tcW w:type="dxa" w:w="2050"/>
            <w:vAlign w:val="center"/>
          </w:tcPr>
          <w:p>
            <w:pPr>
              <w:spacing w:before="0" w:after="30"/>
            </w:pPr>
            <w:r>
              <w:rPr>
                <w:sz w:val="14"/>
              </w:rPr>
              <w:t>BolusGivenBg3BlockNote</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BolusGiven71_0.70: post-bolus response — boosts iobTH to 71%, acce 0.70, 110% for 10 min 5-min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 Snapshot bg3 BEFORE this block's markRun: bg3BasicCriteriaMet() includes readyToRun("BolusGiven"/"BolusGivenBg3"), so a second call after markRun would always be false (same 2026-08-27 BMild bug). Also markRun("BolusGivenBg3") here so the TT-independent Tier 3 path still has a 5-min cadence when BolusGiven's own no-TT outer guard blocks the action-set.</w:t>
            </w:r>
          </w:p>
        </w:tc>
      </w:tr>
      <w:tr>
        <w:tc>
          <w:tcPr>
            <w:tcW w:type="dxa" w:w="500"/>
            <w:vAlign w:val="center"/>
          </w:tcPr>
          <w:p>
            <w:pPr>
              <w:spacing w:before="0" w:after="30"/>
            </w:pPr>
            <w:r>
              <w:rPr>
                <w:sz w:val="14"/>
              </w:rPr>
              <w:t>139</w:t>
            </w:r>
          </w:p>
        </w:tc>
        <w:tc>
          <w:tcPr>
            <w:tcW w:type="dxa" w:w="2050"/>
            <w:vAlign w:val="center"/>
          </w:tcPr>
          <w:p>
            <w:pPr>
              <w:spacing w:before="0" w:after="30"/>
            </w:pPr>
            <w:r>
              <w:rPr>
                <w:sz w:val="14"/>
              </w:rPr>
              <w:t>TT57Reversal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tc>
          <w:tcPr>
            <w:tcW w:type="dxa" w:w="500"/>
            <w:vAlign w:val="center"/>
          </w:tcPr>
          <w:p>
            <w:pPr>
              <w:spacing w:before="0" w:after="30"/>
            </w:pPr>
            <w:r>
              <w:rPr>
                <w:sz w:val="14"/>
              </w:rPr>
              <w:t>140</w:t>
            </w:r>
          </w:p>
        </w:tc>
        <w:tc>
          <w:tcPr>
            <w:tcW w:type="dxa" w:w="2050"/>
            <w:vAlign w:val="center"/>
          </w:tcPr>
          <w:p>
            <w:pPr>
              <w:spacing w:before="0" w:after="30"/>
            </w:pPr>
            <w:r>
              <w:rPr>
                <w:sz w:val="14"/>
              </w:rPr>
              <w:t>PersistentRiseRelease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PersistentRiseRelease: new tier (2026-08-17), addresses a real gap found investigating a live episode -- off1-off5/new2/new3/mildConfirmed above all fire on a SINGLE CYCLE's own snapshot condition (delta/G/IOB crossing a threshold that cycle). A genuinely sustained but individually-mild rise (delta staying just above +0.10mmol for many consecutive minutes, never spiking hard enough to trip any single-cycle bar) can sit in the gap between all of them. Confirmed from real data: 4 separate 10-20 minute zero-SMB-during-sustained-rise episodes in one 6-hour window (2026-08-17). Deliberately standalone, NOT nested inside TT57Reversal's own TT-required guard above: one of those 4 episodes had NO TT active at all (acce weight already back at neutral 0.50) and still saw zero SMB for 12 minutes -- offsetSoZeroSMB/targetBgOffset alone was blocking, independent of any TT.</w:t>
            </w:r>
          </w:p>
        </w:tc>
      </w:tr>
      <w:tr>
        <w:tc>
          <w:tcPr>
            <w:tcW w:type="dxa" w:w="500"/>
            <w:vAlign w:val="center"/>
          </w:tcPr>
          <w:p>
            <w:pPr>
              <w:spacing w:before="0" w:after="30"/>
            </w:pPr>
            <w:r>
              <w:rPr>
                <w:sz w:val="14"/>
              </w:rPr>
              <w:t>141</w:t>
            </w:r>
          </w:p>
        </w:tc>
        <w:tc>
          <w:tcPr>
            <w:tcW w:type="dxa" w:w="2050"/>
            <w:vAlign w:val="center"/>
          </w:tcPr>
          <w:p>
            <w:pPr>
              <w:spacing w:before="0" w:after="30"/>
            </w:pPr>
            <w:r>
              <w:rPr>
                <w:sz w:val="14"/>
              </w:rPr>
              <w:t>ActivityTTReversal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tc>
          <w:tcPr>
            <w:tcW w:type="dxa" w:w="500"/>
            <w:vAlign w:val="center"/>
          </w:tcPr>
          <w:p>
            <w:pPr>
              <w:spacing w:before="0" w:after="30"/>
            </w:pPr>
            <w:r>
              <w:rPr>
                <w:sz w:val="14"/>
              </w:rPr>
              <w:t>142</w:t>
            </w:r>
          </w:p>
        </w:tc>
        <w:tc>
          <w:tcPr>
            <w:tcW w:type="dxa" w:w="2050"/>
            <w:vAlign w:val="center"/>
          </w:tcPr>
          <w:p>
            <w:pPr>
              <w:spacing w:before="0" w:after="30"/>
            </w:pPr>
            <w:r>
              <w:rPr>
                <w:sz w:val="14"/>
              </w:rPr>
              <w:t>T80Off3ok</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tc>
          <w:tcPr>
            <w:tcW w:type="dxa" w:w="500"/>
            <w:vAlign w:val="center"/>
          </w:tcPr>
          <w:p>
            <w:pPr>
              <w:spacing w:before="0" w:after="30"/>
            </w:pPr>
            <w:r>
              <w:rPr>
                <w:sz w:val="14"/>
              </w:rPr>
              <w:t>143</w:t>
            </w:r>
          </w:p>
        </w:tc>
        <w:tc>
          <w:tcPr>
            <w:tcW w:type="dxa" w:w="2050"/>
            <w:vAlign w:val="center"/>
          </w:tcPr>
          <w:p>
            <w:pPr>
              <w:spacing w:before="0" w:after="30"/>
            </w:pPr>
            <w:r>
              <w:rPr>
                <w:sz w:val="14"/>
              </w:rPr>
              <w:t>50pcMakes5.7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tc>
          <w:tcPr>
            <w:tcW w:type="dxa" w:w="500"/>
            <w:vAlign w:val="center"/>
          </w:tcPr>
          <w:p>
            <w:pPr>
              <w:spacing w:before="0" w:after="30"/>
            </w:pPr>
            <w:r>
              <w:rPr>
                <w:sz w:val="14"/>
              </w:rPr>
              <w:t>144</w:t>
            </w:r>
          </w:p>
        </w:tc>
        <w:tc>
          <w:tcPr>
            <w:tcW w:type="dxa" w:w="2050"/>
            <w:vAlign w:val="center"/>
          </w:tcPr>
          <w:p>
            <w:pPr>
              <w:spacing w:before="0" w:after="30"/>
            </w:pPr>
            <w:r>
              <w:rPr>
                <w:sz w:val="14"/>
              </w:rPr>
              <w:t>CarbsStopTT1</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carbsStopTT1ok4.4: cancel very-low TT (&lt;=4.4 mmol) when carbs active and rising Self-guarding: cancels TT so tt&lt;=79.3 is false next cycle. 5-min floor throttle added on top of the self-guard (see readyToRun() usage note).</w:t>
            </w:r>
          </w:p>
        </w:tc>
      </w:tr>
      <w:tr>
        <w:tc>
          <w:tcPr>
            <w:tcW w:type="dxa" w:w="500"/>
            <w:vAlign w:val="center"/>
          </w:tcPr>
          <w:p>
            <w:pPr>
              <w:spacing w:before="0" w:after="30"/>
            </w:pPr>
            <w:r>
              <w:rPr>
                <w:sz w:val="14"/>
              </w:rPr>
              <w:t>145</w:t>
            </w:r>
          </w:p>
        </w:tc>
        <w:tc>
          <w:tcPr>
            <w:tcW w:type="dxa" w:w="2050"/>
            <w:vAlign w:val="center"/>
          </w:tcPr>
          <w:p>
            <w:pPr>
              <w:spacing w:before="0" w:after="30"/>
            </w:pPr>
            <w:r>
              <w:rPr>
                <w:sz w:val="14"/>
              </w:rPr>
              <w:t>CarbsStopTT57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CarbsStopTT5.7: cancel 5.7 mmol TT when carbs up or recent bolus and BGL stable/rising Self-guarding: cancels TT so TT range checks fail next cycle. 5-min floor throttle added on top of the self-guard (see readyToRun() usage note).</w:t>
            </w:r>
          </w:p>
        </w:tc>
      </w:tr>
      <w:tr>
        <w:tc>
          <w:tcPr>
            <w:tcW w:type="dxa" w:w="500"/>
            <w:vAlign w:val="center"/>
          </w:tcPr>
          <w:p>
            <w:pPr>
              <w:spacing w:before="0" w:after="30"/>
            </w:pPr>
            <w:r>
              <w:rPr>
                <w:sz w:val="14"/>
              </w:rPr>
              <w:t>146</w:t>
            </w:r>
          </w:p>
        </w:tc>
        <w:tc>
          <w:tcPr>
            <w:tcW w:type="dxa" w:w="2050"/>
            <w:vAlign w:val="center"/>
          </w:tcPr>
          <w:p>
            <w:pPr>
              <w:spacing w:before="0" w:after="30"/>
            </w:pPr>
            <w:r>
              <w:rPr>
                <w:sz w:val="14"/>
              </w:rPr>
              <w:t>Usual2forTH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tc>
          <w:tcPr>
            <w:tcW w:type="dxa" w:w="500"/>
            <w:vAlign w:val="center"/>
          </w:tcPr>
          <w:p>
            <w:pPr>
              <w:spacing w:before="0" w:after="30"/>
            </w:pPr>
            <w:r>
              <w:rPr>
                <w:sz w:val="14"/>
              </w:rPr>
              <w:t>147</w:t>
            </w:r>
          </w:p>
        </w:tc>
        <w:tc>
          <w:tcPr>
            <w:tcW w:type="dxa" w:w="2050"/>
            <w:vAlign w:val="center"/>
          </w:tcPr>
          <w:p>
            <w:pPr>
              <w:spacing w:before="0" w:after="30"/>
            </w:pPr>
            <w:r>
              <w:rPr>
                <w:sz w:val="14"/>
              </w:rPr>
              <w:t>CarbsTHoff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tc>
          <w:tcPr>
            <w:tcW w:type="dxa" w:w="500"/>
            <w:vAlign w:val="center"/>
          </w:tcPr>
          <w:p>
            <w:pPr>
              <w:spacing w:before="0" w:after="30"/>
            </w:pPr>
            <w:r>
              <w:rPr>
                <w:sz w:val="14"/>
              </w:rPr>
              <w:t>148</w:t>
            </w:r>
          </w:p>
        </w:tc>
        <w:tc>
          <w:tcPr>
            <w:tcW w:type="dxa" w:w="2050"/>
            <w:vAlign w:val="center"/>
          </w:tcPr>
          <w:p>
            <w:pPr>
              <w:spacing w:before="0" w:after="30"/>
            </w:pPr>
            <w:r>
              <w:rPr>
                <w:sz w:val="14"/>
              </w:rPr>
              <w:t>PreSoakSensor24hrs</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tc>
          <w:tcPr>
            <w:tcW w:type="dxa" w:w="500"/>
            <w:vAlign w:val="center"/>
          </w:tcPr>
          <w:p>
            <w:pPr>
              <w:spacing w:before="0" w:after="30"/>
            </w:pPr>
            <w:r>
              <w:rPr>
                <w:sz w:val="14"/>
              </w:rPr>
              <w:t>149</w:t>
            </w:r>
          </w:p>
        </w:tc>
        <w:tc>
          <w:tcPr>
            <w:tcW w:type="dxa" w:w="2050"/>
            <w:vAlign w:val="center"/>
          </w:tcPr>
          <w:p>
            <w:pPr>
              <w:spacing w:before="0" w:after="30"/>
            </w:pPr>
            <w:r>
              <w:rPr>
                <w:sz w:val="14"/>
              </w:rPr>
              <w:t>SensorS1hr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14.9 days": narrow ~0.1h match window, gated on cannula age &lt;=80h. Live-pump-only, matching the original's note.</w:t>
            </w:r>
          </w:p>
        </w:tc>
      </w:tr>
      <w:tr>
        <w:tc>
          <w:tcPr>
            <w:tcW w:type="dxa" w:w="500"/>
            <w:vAlign w:val="center"/>
          </w:tcPr>
          <w:p>
            <w:pPr>
              <w:spacing w:before="0" w:after="30"/>
            </w:pPr>
            <w:r>
              <w:rPr>
                <w:sz w:val="14"/>
              </w:rPr>
              <w:t>150</w:t>
            </w:r>
          </w:p>
        </w:tc>
        <w:tc>
          <w:tcPr>
            <w:tcW w:type="dxa" w:w="2050"/>
            <w:vAlign w:val="center"/>
          </w:tcPr>
          <w:p>
            <w:pPr>
              <w:spacing w:before="0" w:after="30"/>
            </w:pPr>
            <w:r>
              <w:rPr>
                <w:sz w:val="14"/>
              </w:rPr>
              <w:t>SensorS2hr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 days 22 hours due": narrow ~0.1h match window, gated on cannula age &lt;=80h. Live-pump-only, matching the original's note.</w:t>
            </w:r>
          </w:p>
        </w:tc>
      </w:tr>
      <w:tr>
        <w:tc>
          <w:tcPr>
            <w:tcW w:type="dxa" w:w="500"/>
            <w:vAlign w:val="center"/>
          </w:tcPr>
          <w:p>
            <w:pPr>
              <w:spacing w:before="0" w:after="30"/>
            </w:pPr>
            <w:r>
              <w:rPr>
                <w:sz w:val="14"/>
              </w:rPr>
              <w:t>151</w:t>
            </w:r>
          </w:p>
        </w:tc>
        <w:tc>
          <w:tcPr>
            <w:tcW w:type="dxa" w:w="2050"/>
            <w:vAlign w:val="center"/>
          </w:tcPr>
          <w:p>
            <w:pPr>
              <w:spacing w:before="0" w:after="30"/>
            </w:pPr>
            <w:r>
              <w:rPr>
                <w:sz w:val="14"/>
              </w:rPr>
              <w:t>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78 hours": narrow ~0.1h match window during 08:00 AM-11:59 PM, permanently switches to Current ProfileReal and flags Profile state PP130. Live-pump-only, matching the original's note.</w:t>
            </w:r>
          </w:p>
        </w:tc>
      </w:tr>
      <w:tr>
        <w:tc>
          <w:tcPr>
            <w:tcW w:type="dxa" w:w="500"/>
            <w:vAlign w:val="center"/>
          </w:tcPr>
          <w:p>
            <w:pPr>
              <w:spacing w:before="0" w:after="30"/>
            </w:pPr>
            <w:r>
              <w:rPr>
                <w:sz w:val="14"/>
              </w:rPr>
              <w:t>152</w:t>
            </w:r>
          </w:p>
        </w:tc>
        <w:tc>
          <w:tcPr>
            <w:tcW w:type="dxa" w:w="2050"/>
            <w:vAlign w:val="center"/>
          </w:tcPr>
          <w:p>
            <w:pPr>
              <w:spacing w:before="0" w:after="30"/>
            </w:pPr>
            <w:r>
              <w:rPr>
                <w:sz w:val="14"/>
              </w:rPr>
              <w:t>Pod1</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tc>
          <w:tcPr>
            <w:tcW w:type="dxa" w:w="500"/>
            <w:vAlign w:val="center"/>
          </w:tcPr>
          <w:p>
            <w:pPr>
              <w:spacing w:before="0" w:after="30"/>
            </w:pPr>
            <w:r>
              <w:rPr>
                <w:sz w:val="14"/>
              </w:rPr>
              <w:t>153</w:t>
            </w:r>
          </w:p>
        </w:tc>
        <w:tc>
          <w:tcPr>
            <w:tcW w:type="dxa" w:w="2050"/>
            <w:vAlign w:val="center"/>
          </w:tcPr>
          <w:p>
            <w:pPr>
              <w:spacing w:before="0" w:after="30"/>
            </w:pPr>
            <w:r>
              <w:rPr>
                <w:sz w:val="14"/>
              </w:rPr>
              <w:t>MJrecentCurrProfAcce</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tc>
          <w:tcPr>
            <w:tcW w:type="dxa" w:w="500"/>
            <w:vAlign w:val="center"/>
          </w:tcPr>
          <w:p>
            <w:pPr>
              <w:spacing w:before="0" w:after="30"/>
            </w:pPr>
            <w:r>
              <w:rPr>
                <w:sz w:val="14"/>
              </w:rPr>
              <w:t>154</w:t>
            </w:r>
          </w:p>
        </w:tc>
        <w:tc>
          <w:tcPr>
            <w:tcW w:type="dxa" w:w="2050"/>
            <w:vAlign w:val="center"/>
          </w:tcPr>
          <w:p>
            <w:pPr>
              <w:spacing w:before="0" w:after="30"/>
            </w:pPr>
            <w:r>
              <w:rPr>
                <w:sz w:val="14"/>
              </w:rPr>
              <w:t>BasalUp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"BasalUp": raises acce weight back to neutral (0.50) and switches to Standard at the shared A/B/C letter when glucose is stable/rising outside a pod/MJ/ afternoon guard window, low activity, and currently on ANY Low-family profile (Current or ladder A/B/C -- not only Low Current's name). No live-pump gate: the original's Note field was empty.</w:t>
            </w:r>
          </w:p>
        </w:tc>
      </w:tr>
      <w:tr>
        <w:tc>
          <w:tcPr>
            <w:tcW w:type="dxa" w:w="500"/>
            <w:vAlign w:val="center"/>
          </w:tcPr>
          <w:p>
            <w:pPr>
              <w:spacing w:before="0" w:after="30"/>
            </w:pPr>
            <w:r>
              <w:rPr>
                <w:sz w:val="14"/>
              </w:rPr>
              <w:t>155</w:t>
            </w:r>
          </w:p>
        </w:tc>
        <w:tc>
          <w:tcPr>
            <w:tcW w:type="dxa" w:w="2050"/>
            <w:vAlign w:val="center"/>
          </w:tcPr>
          <w:p>
            <w:pPr>
              <w:spacing w:before="0" w:after="30"/>
            </w:pPr>
            <w:r>
              <w:rPr>
                <w:sz w:val="14"/>
              </w:rPr>
              <w:t>MoreMJ</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tc>
          <w:tcPr>
            <w:tcW w:type="dxa" w:w="500"/>
            <w:vAlign w:val="center"/>
          </w:tcPr>
          <w:p>
            <w:pPr>
              <w:spacing w:before="0" w:after="30"/>
            </w:pPr>
            <w:r>
              <w:rPr>
                <w:sz w:val="14"/>
              </w:rPr>
              <w:t>156</w:t>
            </w:r>
          </w:p>
        </w:tc>
        <w:tc>
          <w:tcPr>
            <w:tcW w:type="dxa" w:w="2050"/>
            <w:vAlign w:val="center"/>
          </w:tcPr>
          <w:p>
            <w:pPr>
              <w:spacing w:before="0" w:after="30"/>
            </w:pPr>
            <w:r>
              <w:rPr>
                <w:sz w:val="14"/>
              </w:rPr>
              <w:t>High6PPoff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"High6PPoff": exits the 120% boost when either no TT exists at 120%, or BGL/delta have stabilised in the evening window at 120%. No live-pump gate: the original's Note field was empty.</w:t>
            </w:r>
          </w:p>
        </w:tc>
      </w:tr>
      <w:tr>
        <w:tc>
          <w:tcPr>
            <w:tcW w:type="dxa" w:w="500"/>
            <w:vAlign w:val="center"/>
          </w:tcPr>
          <w:p>
            <w:pPr>
              <w:spacing w:before="0" w:after="30"/>
            </w:pPr>
            <w:r>
              <w:rPr>
                <w:sz w:val="14"/>
              </w:rPr>
              <w:t>157</w:t>
            </w:r>
          </w:p>
        </w:tc>
        <w:tc>
          <w:tcPr>
            <w:tcW w:type="dxa" w:w="2050"/>
            <w:vAlign w:val="center"/>
          </w:tcPr>
          <w:p>
            <w:pPr>
              <w:spacing w:before="0" w:after="30"/>
            </w:pPr>
            <w:r>
              <w:rPr>
                <w:sz w:val="14"/>
              </w:rPr>
              <w:t>HighPP130Off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"HighPP130Off": exits the 130%/110% boost across 3 exit conditions (stabilised no-TT, falling with TT, or simply no-TT at all while boosted). Note: "or 110%".</w:t>
            </w:r>
          </w:p>
        </w:tc>
      </w:tr>
      <w:tr>
        <w:tc>
          <w:tcPr>
            <w:tcW w:type="dxa" w:w="500"/>
            <w:vAlign w:val="center"/>
          </w:tcPr>
          <w:p>
            <w:pPr>
              <w:spacing w:before="0" w:after="30"/>
            </w:pPr>
            <w:r>
              <w:rPr>
                <w:sz w:val="14"/>
              </w:rPr>
              <w:t>158</w:t>
            </w:r>
          </w:p>
        </w:tc>
        <w:tc>
          <w:tcPr>
            <w:tcW w:type="dxa" w:w="2050"/>
            <w:vAlign w:val="center"/>
          </w:tcPr>
          <w:p>
            <w:pPr>
              <w:spacing w:before="0" w:after="30"/>
            </w:pPr>
            <w:r>
              <w:rPr>
                <w:sz w:val="14"/>
              </w:rPr>
              <w:t>AcceUp0.5</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tc>
          <w:tcPr>
            <w:tcW w:type="dxa" w:w="500"/>
            <w:vAlign w:val="center"/>
          </w:tcPr>
          <w:p>
            <w:pPr>
              <w:spacing w:before="0" w:after="30"/>
            </w:pPr>
            <w:r>
              <w:rPr>
                <w:sz w:val="14"/>
              </w:rPr>
              <w:t>159</w:t>
            </w:r>
          </w:p>
        </w:tc>
        <w:tc>
          <w:tcPr>
            <w:tcW w:type="dxa" w:w="2050"/>
            <w:vAlign w:val="center"/>
          </w:tcPr>
          <w:p>
            <w:pPr>
              <w:spacing w:before="0" w:after="30"/>
            </w:pPr>
            <w:r>
              <w:rPr>
                <w:sz w:val="14"/>
              </w:rPr>
              <w:t>RecentPodOff</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tc>
          <w:tcPr>
            <w:tcW w:type="dxa" w:w="500"/>
            <w:vAlign w:val="center"/>
          </w:tcPr>
          <w:p>
            <w:pPr>
              <w:spacing w:before="0" w:after="30"/>
            </w:pPr>
            <w:r>
              <w:rPr>
                <w:sz w:val="14"/>
              </w:rPr>
              <w:t>160</w:t>
            </w:r>
          </w:p>
        </w:tc>
        <w:tc>
          <w:tcPr>
            <w:tcW w:type="dxa" w:w="2050"/>
            <w:vAlign w:val="center"/>
          </w:tcPr>
          <w:p>
            <w:pPr>
              <w:spacing w:before="0" w:after="30"/>
            </w:pPr>
            <w:r>
              <w:rPr>
                <w:sz w:val="14"/>
              </w:rPr>
              <w:t>ExerciseLimitAcce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"Exercise limit Acce": alerts when a fast rise coincides with high recent step activity. No live-pump gate: the original's Note field was empty.</w:t>
            </w:r>
          </w:p>
        </w:tc>
      </w:tr>
      <w:tr>
        <w:tc>
          <w:tcPr>
            <w:tcW w:type="dxa" w:w="500"/>
            <w:vAlign w:val="center"/>
          </w:tcPr>
          <w:p>
            <w:pPr>
              <w:spacing w:before="0" w:after="30"/>
            </w:pPr>
            <w:r>
              <w:rPr>
                <w:sz w:val="14"/>
              </w:rPr>
              <w:t>161</w:t>
            </w:r>
          </w:p>
        </w:tc>
        <w:tc>
          <w:tcPr>
            <w:tcW w:type="dxa" w:w="2050"/>
            <w:vAlign w:val="center"/>
          </w:tcPr>
          <w:p>
            <w:pPr>
              <w:spacing w:before="0" w:after="30"/>
            </w:pPr>
            <w:r>
              <w:rPr>
                <w:sz w:val="14"/>
              </w:rPr>
              <w:t>ExportSettingsPodActivation</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tc>
          <w:tcPr>
            <w:tcW w:type="dxa" w:w="500"/>
            <w:vAlign w:val="center"/>
          </w:tcPr>
          <w:p>
            <w:pPr>
              <w:spacing w:before="0" w:after="30"/>
            </w:pPr>
            <w:r>
              <w:rPr>
                <w:sz w:val="14"/>
              </w:rPr>
              <w:t>162</w:t>
            </w:r>
          </w:p>
        </w:tc>
        <w:tc>
          <w:tcPr>
            <w:tcW w:type="dxa" w:w="2050"/>
            <w:vAlign w:val="center"/>
          </w:tcPr>
          <w:p>
            <w:pPr>
              <w:spacing w:before="0" w:after="30"/>
            </w:pPr>
            <w:r>
              <w:rPr>
                <w:sz w:val="14"/>
              </w:rPr>
              <w:t>EveningIobCeiling</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EveningIobCeiling: caps iobTH at 45% (60% if a real meal's been sustaining COB for 45+ min) from 22:00 to midnight, independent of BGL direction Motivated by 27 Jul 2026 21:48-21:59: nine SMBs ~60s apart took IOB 3.02 -&gt; 4.56 at BG 10.7-11.3, and BG then fell to 3.8 by 04:38. Nothing stopped it -- the iobTH actually in force was 6.65-7.32U (~70-77% of max_iob), roughly 2U above where the harm occurred, and EveningTH could not fire because all its branches gate on a LOW BGL (&lt;=7.5mmol) or on 22:00+. Deliberately separate from EveningTH rather than raising that block's BGL guard: EveningTH also sets acce 0.45 and (HP2-gated) switches to the low profile, and both of those are back-off actions that would be wrong applied to a genuine high -- blunting the acceleration response and weakening basal/ISF while BG is climbing risks trading an overnight low for an overnight high.</w:t>
            </w:r>
          </w:p>
        </w:tc>
      </w:tr>
      <w:tr>
        <w:tc>
          <w:tcPr>
            <w:tcW w:type="dxa" w:w="500"/>
            <w:vAlign w:val="center"/>
          </w:tcPr>
          <w:p>
            <w:pPr>
              <w:spacing w:before="0" w:after="30"/>
            </w:pPr>
            <w:r>
              <w:rPr>
                <w:sz w:val="14"/>
              </w:rPr>
              <w:t>163</w:t>
            </w:r>
          </w:p>
        </w:tc>
        <w:tc>
          <w:tcPr>
            <w:tcW w:type="dxa" w:w="2050"/>
            <w:vAlign w:val="center"/>
          </w:tcPr>
          <w:p>
            <w:pPr>
              <w:spacing w:before="0" w:after="30"/>
            </w:pPr>
            <w:r>
              <w:rPr>
                <w:sz w:val="14"/>
              </w:rPr>
              <w:t>NightIobCeiling</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NightIobCeiling: caps iobTH at 22% (35% if a real meal's been sustaining COB for 45+ min) from midnight to 06:00, independent of BGL Companion to EveningIobCeiling above, same ceiling-not-setter shape (only ever lowers), but a far tighter value because overnight there are no carbs to cover -- IOB that would be routine after a meal is dangerous at 03:00. Zero-COB cap raised 18→22 on 6 Sep 2026 (explicit request). Latch is iobTH &gt; nightCap, so writing 22 still self-latches (22 &gt; 22 is false). NightAcce writes the same 22 when BGL &lt;= 6.0 / COB=0 / 01:00-06:00 (latch &gt;=23 || &lt;=21). Same value, so they cannot ping-pong; this ceiling will not raise a tighter value (e.g. TwilightTH15's 15) back to 22. Motivated by the night of 6-&gt;7 Aug 2026, where BGL reached 3.5 and stayed there 04:00-05:30.</w:t>
            </w:r>
          </w:p>
        </w:tc>
      </w:tr>
      <w:tr>
        <w:tc>
          <w:tcPr>
            <w:tcW w:type="dxa" w:w="500"/>
            <w:vAlign w:val="center"/>
          </w:tcPr>
          <w:p>
            <w:pPr>
              <w:spacing w:before="0" w:after="30"/>
            </w:pPr>
            <w:r>
              <w:rPr>
                <w:sz w:val="14"/>
              </w:rPr>
              <w:t>164</w:t>
            </w:r>
          </w:p>
        </w:tc>
        <w:tc>
          <w:tcPr>
            <w:tcW w:type="dxa" w:w="2050"/>
            <w:vAlign w:val="center"/>
          </w:tcPr>
          <w:p>
            <w:pPr>
              <w:spacing w:before="0" w:after="30"/>
            </w:pPr>
            <w:r>
              <w:rPr>
                <w:sz w:val="14"/>
              </w:rPr>
              <w:t>EarlyDawnSlowRise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EarlyDawnSlowRise: added 2026-09-18 at explicit request. Real 04:30-08:00 device data showed a genuine early climb (~04:15-05:20, 5.3-&gt;7.4mmol) followed by an oscillating 6-8mmol plateau (06:00-08:00) getting almost no correction (Req/SMB near 0 the whole window) because HighDaytimeBrake's own mid band doesn't open until 08:30 -- that start was deliberately pulled there on 7 Sep 2026 after a 06:14 fire once stacked IOB into a later low (see HighDaytimeBrake's own doc comment above), so widening it back was rejected in favor of this separate, narrower trigger instead.</w:t>
            </w:r>
          </w:p>
        </w:tc>
      </w:tr>
      <w:tr>
        <w:tc>
          <w:tcPr>
            <w:tcW w:type="dxa" w:w="500"/>
            <w:vAlign w:val="center"/>
          </w:tcPr>
          <w:p>
            <w:pPr>
              <w:spacing w:before="0" w:after="30"/>
            </w:pPr>
            <w:r>
              <w:rPr>
                <w:sz w:val="14"/>
              </w:rPr>
              <w:t>165</w:t>
            </w:r>
          </w:p>
        </w:tc>
        <w:tc>
          <w:tcPr>
            <w:tcW w:type="dxa" w:w="2050"/>
            <w:vAlign w:val="center"/>
          </w:tcPr>
          <w:p>
            <w:pPr>
              <w:spacing w:before="0" w:after="30"/>
            </w:pPr>
            <w:r>
              <w:rPr>
                <w:sz w:val="14"/>
              </w:rPr>
              <w:t>MorningRoleSwap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MorningRoleSwapHigh / MorningRoleSwapNormal: added 2026-08-30 at explicit request, converted to a STEPPED ladder the same day per explicit follow-up spec. Both re-pick which real profile fills the Standard/Low roles (StringKey.ApsAutoIsfStandardProfileName/ApsAutoIsfLowProfileName the same preferences List1's own "Re-pick coded profiles" action writes), restricted to 03:00-07:00. Per explicit request: switches the ACTIVE running profile immediately too if it currently matches whichever role just got repointed (matching how the manual re-pick action behaves); the new role assignment itself is a standing change, NOT reverted at 07:00 -- stays in effect until something else re-picks it. Own readyToRun/markRun throttle (240 min) -- combined with the 4-hour 03:00-07:00 window, this means at most ONE step per morning, not a same-morning multi-step escalation.</w:t>
            </w:r>
          </w:p>
        </w:tc>
      </w:tr>
      <w:tr>
        <w:tc>
          <w:tcPr>
            <w:tcW w:type="dxa" w:w="500"/>
            <w:vAlign w:val="center"/>
          </w:tcPr>
          <w:p>
            <w:pPr>
              <w:spacing w:before="0" w:after="30"/>
            </w:pPr>
            <w:r>
              <w:rPr>
                <w:sz w:val="14"/>
              </w:rPr>
              <w:t>166</w:t>
            </w:r>
          </w:p>
        </w:tc>
        <w:tc>
          <w:tcPr>
            <w:tcW w:type="dxa" w:w="2050"/>
            <w:vAlign w:val="center"/>
          </w:tcPr>
          <w:p>
            <w:pPr>
              <w:spacing w:before="0" w:after="30"/>
            </w:pPr>
            <w:r>
              <w:rPr>
                <w:sz w:val="14"/>
              </w:rPr>
              <w:t>LowBgTierAResetScan</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LowBgTierAReset: 2026-09-02. Lookback (not live latch): if in the last 12 hours there was a continuous stretch of &gt;10 min with loop BGL &lt; 4.0 OR UKF1 BGL &lt; 4.0, and during that stretch no StepsCount sample had steps60 &gt; 1000, hard-reset both ladders to TierA. Fires even after BG has recovered; no-op if already on A. Scan throttled to 5 min (episode stays visible for up to 12h); action throttle stays 30 min inside resetStandardAndLowTiersToA.</w:t>
            </w:r>
          </w:p>
        </w:tc>
      </w:tr>
      <w:tr>
        <w:tc>
          <w:tcPr>
            <w:tcW w:type="dxa" w:w="500"/>
            <w:vAlign w:val="center"/>
          </w:tcPr>
          <w:p>
            <w:pPr>
              <w:spacing w:before="0" w:after="30"/>
            </w:pPr>
            <w:r>
              <w:rPr>
                <w:sz w:val="14"/>
              </w:rPr>
              <w:t>167</w:t>
            </w:r>
          </w:p>
        </w:tc>
        <w:tc>
          <w:tcPr>
            <w:tcW w:type="dxa" w:w="2050"/>
            <w:vAlign w:val="center"/>
          </w:tcPr>
          <w:p>
            <w:pPr>
              <w:spacing w:before="0" w:after="30"/>
            </w:pPr>
            <w:r>
              <w:rPr>
                <w:sz w:val="14"/>
              </w:rPr>
              <w:t>EveningTH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LowBgTierAReset: 2026-09-02. Lookback (not live latch): if in the last 12 hours there was a continuous stretch of &gt;10 min with loop BGL &lt; 4.0 OR UKF1 BGL &lt; 4.0, and during that stretch no StepsCount sample had steps60 &gt; 1000, hard-reset both ladders to TierA. Fires even after BG has recovered; no-op if already on A. Scan throttled to 5 min (episode stays visible for up to 12h); action throttle stays 30 min inside resetStandardAndLowTiersToA.</w:t>
            </w:r>
          </w:p>
        </w:tc>
      </w:tr>
      <w:tr>
        <w:tc>
          <w:tcPr>
            <w:tcW w:type="dxa" w:w="500"/>
            <w:vAlign w:val="center"/>
          </w:tcPr>
          <w:p>
            <w:pPr>
              <w:spacing w:before="0" w:after="30"/>
            </w:pPr>
            <w:r>
              <w:rPr>
                <w:sz w:val="14"/>
              </w:rPr>
              <w:t>168</w:t>
            </w:r>
          </w:p>
        </w:tc>
        <w:tc>
          <w:tcPr>
            <w:tcW w:type="dxa" w:w="2050"/>
            <w:vAlign w:val="center"/>
          </w:tcPr>
          <w:p>
            <w:pPr>
              <w:spacing w:before="0" w:after="30"/>
            </w:pPr>
            <w:r>
              <w:rPr>
                <w:sz w:val="14"/>
              </w:rPr>
              <w:t>TwilightTH15Acce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"TwilightTH15Acce0.50": drops iobTH to 15% and acce weight to 0.50 during a quiet early morning (low steps, flat/falling BGL) while iobTH sits in the 17-39% band. No live-pump gate: the original's Note field was empty.</w:t>
            </w:r>
          </w:p>
        </w:tc>
      </w:tr>
      <w:tr>
        <w:tc>
          <w:tcPr>
            <w:tcW w:type="dxa" w:w="500"/>
            <w:vAlign w:val="center"/>
          </w:tcPr>
          <w:p>
            <w:pPr>
              <w:spacing w:before="0" w:after="30"/>
            </w:pPr>
            <w:r>
              <w:rPr>
                <w:sz w:val="14"/>
              </w:rPr>
              <w:t>169</w:t>
            </w:r>
          </w:p>
        </w:tc>
        <w:tc>
          <w:tcPr>
            <w:tcW w:type="dxa" w:w="2050"/>
            <w:vAlign w:val="center"/>
          </w:tcPr>
          <w:p>
            <w:pPr>
              <w:spacing w:before="0" w:after="30"/>
            </w:pPr>
            <w:r>
              <w:rPr>
                <w:sz w:val="14"/>
              </w:rPr>
              <w:t>NightAcce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"NightAcce_0.35TH22": overnight iobTH/acce reset to 22%/0.35 (plus a settings-export backup, reusing exportSettingsFor) when iobTH sits outside the 22% band, no carbs are active, and BGL is low. Write + latch raised 18→22 on 6 Sep 2026 to match NightIobCeiling (NtCap). Latch MUST stay a ±1 band around whatever this writes -- leaving (&gt;=19 || &lt;=17) after writing 22 would re-arm every 5 min (22 &gt;= 19). No live-pump gate: the original's Note field was empty.</w:t>
            </w:r>
          </w:p>
        </w:tc>
      </w:tr>
      <w:tr>
        <w:tc>
          <w:tcPr>
            <w:tcW w:type="dxa" w:w="500"/>
            <w:vAlign w:val="center"/>
          </w:tcPr>
          <w:p>
            <w:pPr>
              <w:spacing w:before="0" w:after="30"/>
            </w:pPr>
            <w:r>
              <w:rPr>
                <w:sz w:val="14"/>
              </w:rPr>
              <w:t>170</w:t>
            </w:r>
          </w:p>
        </w:tc>
        <w:tc>
          <w:tcPr>
            <w:tcW w:type="dxa" w:w="2050"/>
            <w:vAlign w:val="center"/>
          </w:tcPr>
          <w:p>
            <w:pPr>
              <w:spacing w:before="0" w:after="30"/>
            </w:pPr>
            <w:r>
              <w:rPr>
                <w:sz w:val="14"/>
              </w:rPr>
              <w:t>SemiTwilightAcce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tc>
          <w:tcPr>
            <w:tcW w:type="dxa" w:w="500"/>
            <w:vAlign w:val="center"/>
          </w:tcPr>
          <w:p>
            <w:pPr>
              <w:spacing w:before="0" w:after="30"/>
            </w:pPr>
            <w:r>
              <w:rPr>
                <w:sz w:val="14"/>
              </w:rPr>
              <w:t>171</w:t>
            </w:r>
          </w:p>
        </w:tc>
        <w:tc>
          <w:tcPr>
            <w:tcW w:type="dxa" w:w="2050"/>
            <w:vAlign w:val="center"/>
          </w:tcPr>
          <w:p>
            <w:pPr>
              <w:spacing w:before="0" w:after="30"/>
            </w:pPr>
            <w:r>
              <w:rPr>
                <w:sz w:val="14"/>
              </w:rPr>
              <w:t>ConnectPod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tc>
          <w:tcPr>
            <w:tcW w:type="dxa" w:w="500"/>
            <w:vAlign w:val="center"/>
          </w:tcPr>
          <w:p>
            <w:pPr>
              <w:spacing w:before="0" w:after="30"/>
            </w:pPr>
            <w:r>
              <w:rPr>
                <w:sz w:val="14"/>
              </w:rPr>
              <w:t>172</w:t>
            </w:r>
          </w:p>
        </w:tc>
        <w:tc>
          <w:tcPr>
            <w:tcW w:type="dxa" w:w="2050"/>
            <w:vAlign w:val="center"/>
          </w:tcPr>
          <w:p>
            <w:pPr>
              <w:spacing w:before="0" w:after="30"/>
            </w:pPr>
            <w:r>
              <w:rPr>
                <w:sz w:val="14"/>
              </w:rPr>
              <w:t>Bolus2</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tc>
          <w:tcPr>
            <w:tcW w:type="dxa" w:w="500"/>
            <w:vAlign w:val="center"/>
          </w:tcPr>
          <w:p>
            <w:pPr>
              <w:spacing w:before="0" w:after="30"/>
            </w:pPr>
            <w:r>
              <w:rPr>
                <w:sz w:val="14"/>
              </w:rPr>
              <w:t>173</w:t>
            </w:r>
          </w:p>
        </w:tc>
        <w:tc>
          <w:tcPr>
            <w:tcW w:type="dxa" w:w="2050"/>
            <w:vAlign w:val="center"/>
          </w:tcPr>
          <w:p>
            <w:pPr>
              <w:spacing w:before="0" w:after="30"/>
            </w:pPr>
            <w:r>
              <w:rPr>
                <w:sz w:val="14"/>
              </w:rPr>
              <w:t>AlarmHypo1</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"AlarmHypo1 0.700.35": hypo alarm — 3 OR-branches (time-gated slow decline, an unconditional emergency floor at 3.0mmol with no time gate, and a steps-driven variant), drops acce weight to 0.10 and sets LowBG=50recent. (Used to also set BGLstate=BGLlastLOW; removed 2026-08-22 as a dead write -- BGLstate was a one-way latch never cleared anywhere, so it carried no information, and nothing read it any more.)</w:t>
            </w:r>
          </w:p>
        </w:tc>
      </w:tr>
      <w:tr>
        <w:tc>
          <w:tcPr>
            <w:tcW w:type="dxa" w:w="500"/>
            <w:vAlign w:val="center"/>
          </w:tcPr>
          <w:p>
            <w:pPr>
              <w:spacing w:before="0" w:after="30"/>
            </w:pPr>
            <w:r>
              <w:rPr>
                <w:sz w:val="14"/>
              </w:rPr>
              <w:t>174</w:t>
            </w:r>
          </w:p>
        </w:tc>
        <w:tc>
          <w:tcPr>
            <w:tcW w:type="dxa" w:w="2050"/>
            <w:vAlign w:val="center"/>
          </w:tcPr>
          <w:p>
            <w:pPr>
              <w:spacing w:before="0" w:after="30"/>
            </w:pPr>
            <w:r>
              <w:rPr>
                <w:sz w:val="14"/>
              </w:rPr>
              <w:t>AlarmHypo2</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"AlarmHypo2 0.700.35": hypo alarm — single AND group, catches either G&lt;=4.3mmol outright or G&lt;=5.5mmol with recent exercise (Steps30&gt;=1000) likely accelerating the drop. Sets LowBG=50recent, feeding the existing 50%-profile state machine (50SetRecent/Not50%Recently/Extra50%/PP50.Off). (Used to also set BGLstate=BGLlastLOW; removed 2026-08-22, see AlarmHypo1's comment above.)</w:t>
            </w:r>
          </w:p>
        </w:tc>
      </w:tr>
      <w:tr>
        <w:tc>
          <w:tcPr>
            <w:tcW w:type="dxa" w:w="500"/>
            <w:vAlign w:val="center"/>
          </w:tcPr>
          <w:p>
            <w:pPr>
              <w:spacing w:before="0" w:after="30"/>
            </w:pPr>
            <w:r>
              <w:rPr>
                <w:sz w:val="14"/>
              </w:rPr>
              <w:t>175</w:t>
            </w:r>
          </w:p>
        </w:tc>
        <w:tc>
          <w:tcPr>
            <w:tcW w:type="dxa" w:w="2050"/>
            <w:vAlign w:val="center"/>
          </w:tcPr>
          <w:p>
            <w:pPr>
              <w:spacing w:before="0" w:after="30"/>
            </w:pPr>
            <w:r>
              <w:rPr>
                <w:sz w:val="14"/>
              </w:rPr>
              <w:t>StepsSteroidsOff</w:t>
            </w:r>
          </w:p>
        </w:tc>
        <w:tc>
          <w:tcPr>
            <w:tcW w:type="dxa" w:w="1600"/>
            <w:vAlign w:val="center"/>
          </w:tcPr>
          <w:p>
            <w:pPr>
              <w:spacing w:before="0" w:after="30"/>
            </w:pPr>
            <w:r>
              <w:rPr>
                <w:sz w:val="14"/>
              </w:rPr>
              <w:t>Steroid state</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tc>
          <w:tcPr>
            <w:tcW w:type="dxa" w:w="500"/>
            <w:vAlign w:val="center"/>
          </w:tcPr>
          <w:p>
            <w:pPr>
              <w:spacing w:before="0" w:after="30"/>
            </w:pPr>
            <w:r>
              <w:rPr>
                <w:sz w:val="14"/>
              </w:rPr>
              <w:t>176</w:t>
            </w:r>
          </w:p>
        </w:tc>
        <w:tc>
          <w:tcPr>
            <w:tcW w:type="dxa" w:w="2050"/>
            <w:vAlign w:val="center"/>
          </w:tcPr>
          <w:p>
            <w:pPr>
              <w:spacing w:before="0" w:after="30"/>
            </w:pPr>
            <w:r>
              <w:rPr>
                <w:sz w:val="14"/>
              </w:rPr>
              <w:t>Sub75HeavyDelivery</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Sub75HeavyDelivery: arms a hard 10-min cooldown once smbSum10Min() exceeds 1.5U (raised from 1.0U 2026-08-31) while glucose is still under 7.5mmol -- see determine_basal()'s sub75HeavyDeliveryCooldown param (DetermineBasalAutoISF.kt) for the two real events (4.4mmol, sustained 4.5mmol) this is anchored on. Deliberately a plain markRun/readyToRun cooldown, not another rolling-window amount cap like smbSum10Min/30Min below it -- this forces a genuine pause instead of re-permitting delivery the instant the oldest minute ages out of its own window, giving already-delivered insulin time to actually show up in BG before more goes in. Careportal note is "sc7.5" (renamed from "Sub75Cap" 2026-08-31); the internal throttle key stays "Sub75HeavyDelivery" (not user-visible, referenced in several places).</w:t>
            </w:r>
          </w:p>
        </w:tc>
      </w:tr>
      <w:tr>
        <w:tc>
          <w:tcPr>
            <w:tcW w:type="dxa" w:w="500"/>
            <w:vAlign w:val="center"/>
          </w:tcPr>
          <w:p>
            <w:pPr>
              <w:spacing w:before="0" w:after="30"/>
            </w:pPr>
            <w:r>
              <w:rPr>
                <w:sz w:val="14"/>
              </w:rPr>
              <w:t>177</w:t>
            </w:r>
          </w:p>
        </w:tc>
        <w:tc>
          <w:tcPr>
            <w:tcW w:type="dxa" w:w="2050"/>
            <w:vAlign w:val="center"/>
          </w:tcPr>
          <w:p>
            <w:pPr>
              <w:spacing w:before="0" w:after="30"/>
            </w:pPr>
            <w:r>
              <w:rPr>
                <w:sz w:val="14"/>
              </w:rPr>
              <w:t>UkfSet1DeltaMetricsLog</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Sub75HeavyDelivery: arms a hard 10-min cooldown once smbSum10Min() exceeds 1.5U (raised from 1.0U 2026-08-31) while glucose is still under 7.5mmol -- see determine_basal()'s sub75HeavyDeliveryCooldown param (DetermineBasalAutoISF.kt) for the two real events (4.4mmol, sustained 4.5mmol) this is anchored on. Deliberately a plain markRun/readyToRun cooldown, not another rolling-window amount cap like smbSum10Min/30Min below it -- this forces a genuine pause instead of re-permitting delivery the instant the oldest minute ages out of its own window, giving already-delivered insulin time to actually show up in BG before more goes in. Careportal note is "sc7.5" (renamed from "Sub75Cap" 2026-08-31); the internal throttle key stays "Sub75HeavyDelivery" (not user-visible, referenced in several places).</w:t>
            </w:r>
          </w:p>
        </w:tc>
      </w:tr>
      <w:tr>
        <w:tc>
          <w:tcPr>
            <w:tcW w:type="dxa" w:w="500"/>
            <w:vAlign w:val="center"/>
          </w:tcPr>
          <w:p>
            <w:pPr>
              <w:spacing w:before="0" w:after="30"/>
            </w:pPr>
            <w:r>
              <w:rPr>
                <w:sz w:val="14"/>
              </w:rPr>
              <w:t>178</w:t>
            </w:r>
          </w:p>
        </w:tc>
        <w:tc>
          <w:tcPr>
            <w:tcW w:type="dxa" w:w="2050"/>
            <w:vAlign w:val="center"/>
          </w:tcPr>
          <w:p>
            <w:pPr>
              <w:spacing w:before="0" w:after="30"/>
            </w:pPr>
            <w:r>
              <w:rPr>
                <w:sz w:val="14"/>
              </w:rPr>
              <w:t>LibreSpecialShadowMetricsLog</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Sub75HeavyDelivery: arms a hard 10-min cooldown once smbSum10Min() exceeds 1.5U (raised from 1.0U 2026-08-31) while glucose is still under 7.5mmol -- see determine_basal()'s sub75HeavyDeliveryCooldown param (DetermineBasalAutoISF.kt) for the two real events (4.4mmol, sustained 4.5mmol) this is anchored on. Deliberately a plain markRun/readyToRun cooldown, not another rolling-window amount cap like smbSum10Min/30Min below it -- this forces a genuine pause instead of re-permitting delivery the instant the oldest minute ages out of its own window, giving already-delivered insulin time to actually show up in BG before more goes in. Careportal note is "sc7.5" (renamed from "Sub75Cap" 2026-08-31); the internal throttle key stays "Sub75HeavyDelivery" (not user-visible, referenced in several places).</w:t>
            </w:r>
          </w:p>
        </w:tc>
      </w:tr>
      <w:tr>
        <w:tc>
          <w:tcPr>
            <w:tcW w:type="dxa" w:w="500"/>
            <w:vAlign w:val="center"/>
          </w:tcPr>
          <w:p>
            <w:pPr>
              <w:spacing w:before="0" w:after="30"/>
            </w:pPr>
            <w:r>
              <w:rPr>
                <w:sz w:val="14"/>
              </w:rPr>
              <w:t>179</w:t>
            </w:r>
          </w:p>
        </w:tc>
        <w:tc>
          <w:tcPr>
            <w:tcW w:type="dxa" w:w="2050"/>
            <w:vAlign w:val="center"/>
          </w:tcPr>
          <w:p>
            <w:pPr>
              <w:spacing w:before="0" w:after="30"/>
            </w:pPr>
            <w:r>
              <w:rPr>
                <w:sz w:val="14"/>
              </w:rPr>
              <w:t>Ukf1DeltaMetricsLog</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Loop drop-crossing every cycle so UKF1's DropDetected lead/lag has a same-phone reference on Live as well as Virtual (was inside the Virtual-only gate above).</w:t>
            </w:r>
          </w:p>
        </w:tc>
      </w:tr>
      <w:tr>
        <w:tc>
          <w:tcPr>
            <w:tcW w:type="dxa" w:w="500"/>
            <w:vAlign w:val="center"/>
          </w:tcPr>
          <w:p>
            <w:pPr>
              <w:spacing w:before="0" w:after="30"/>
            </w:pPr>
            <w:r>
              <w:rPr>
                <w:sz w:val="14"/>
              </w:rPr>
              <w:t>180</w:t>
            </w:r>
          </w:p>
        </w:tc>
        <w:tc>
          <w:tcPr>
            <w:tcW w:type="dxa" w:w="2050"/>
            <w:vAlign w:val="center"/>
          </w:tcPr>
          <w:p>
            <w:pPr>
              <w:spacing w:before="0" w:after="30"/>
            </w:pPr>
            <w:r>
              <w:rPr>
                <w:sz w:val="14"/>
              </w:rPr>
              <w:t>UamBoostHiBrkBlockNote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instead of calling bmildBasicCriteriaMet() fresh here -- see that val's own doc comment for why a second call in the same cycle always returned false. 2026-09-03 after Client 09:08 UamBst 1.10U under HiBrkDayMid's own 4.0 TT + SMBdel 0.24 (BG 6.8, SDelta 0.06, RawUKF15 0.18); restored the same day after a later hypo. Block Tier 3 only while the rise is still modest -- BMild/bg3 action-sets are untouched. Missing UKF-raw 15-min (null) fails open so a sensor gap cannot itself suppress.</w:t>
            </w:r>
          </w:p>
        </w:tc>
      </w:tr>
    </w:tbl>
    <w:sectPr w:rsidR="00851A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CE8"/>
    <w:multiLevelType w:val="hybridMultilevel"/>
    <w:tmpl w:val="DCD6813C"/>
    <w:lvl w:ilvl="0" w:tplc="39D894EE">
      <w:start w:val="1"/>
      <w:numFmt w:val="bullet"/>
      <w:lvlText w:val="●"/>
      <w:lvlJc w:val="left"/>
      <w:pPr>
        <w:ind w:left="720" w:hanging="360"/>
      </w:pPr>
    </w:lvl>
    <w:lvl w:ilvl="1" w:tplc="15CEC850">
      <w:start w:val="1"/>
      <w:numFmt w:val="bullet"/>
      <w:lvlText w:val="○"/>
      <w:lvlJc w:val="left"/>
      <w:pPr>
        <w:ind w:left="1440" w:hanging="360"/>
      </w:pPr>
    </w:lvl>
    <w:lvl w:ilvl="2" w:tplc="332EEBFA">
      <w:start w:val="1"/>
      <w:numFmt w:val="bullet"/>
      <w:lvlText w:val="■"/>
      <w:lvlJc w:val="left"/>
      <w:pPr>
        <w:ind w:left="2160" w:hanging="360"/>
      </w:pPr>
    </w:lvl>
    <w:lvl w:ilvl="3" w:tplc="9C3C35A8">
      <w:start w:val="1"/>
      <w:numFmt w:val="bullet"/>
      <w:lvlText w:val="●"/>
      <w:lvlJc w:val="left"/>
      <w:pPr>
        <w:ind w:left="2880" w:hanging="360"/>
      </w:pPr>
    </w:lvl>
    <w:lvl w:ilvl="4" w:tplc="E5382386">
      <w:start w:val="1"/>
      <w:numFmt w:val="bullet"/>
      <w:lvlText w:val="○"/>
      <w:lvlJc w:val="left"/>
      <w:pPr>
        <w:ind w:left="3600" w:hanging="360"/>
      </w:pPr>
    </w:lvl>
    <w:lvl w:ilvl="5" w:tplc="142891D6">
      <w:start w:val="1"/>
      <w:numFmt w:val="bullet"/>
      <w:lvlText w:val="■"/>
      <w:lvlJc w:val="left"/>
      <w:pPr>
        <w:ind w:left="4320" w:hanging="360"/>
      </w:pPr>
    </w:lvl>
    <w:lvl w:ilvl="6" w:tplc="41EEC5E4">
      <w:start w:val="1"/>
      <w:numFmt w:val="bullet"/>
      <w:lvlText w:val="●"/>
      <w:lvlJc w:val="left"/>
      <w:pPr>
        <w:ind w:left="5040" w:hanging="360"/>
      </w:pPr>
    </w:lvl>
    <w:lvl w:ilvl="7" w:tplc="325EB198">
      <w:start w:val="1"/>
      <w:numFmt w:val="bullet"/>
      <w:lvlText w:val="●"/>
      <w:lvlJc w:val="left"/>
      <w:pPr>
        <w:ind w:left="5760" w:hanging="360"/>
      </w:pPr>
    </w:lvl>
    <w:lvl w:ilvl="8" w:tplc="ABA0B9BC">
      <w:start w:val="1"/>
      <w:numFmt w:val="bullet"/>
      <w:lvlText w:val="●"/>
      <w:lvlJc w:val="left"/>
      <w:pPr>
        <w:ind w:left="6480" w:hanging="360"/>
      </w:pPr>
    </w:lvl>
  </w:abstractNum>
  <w:num w:numId="1" w16cid:durableId="710501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C6"/>
    <w:rsid w:val="001042A2"/>
    <w:rsid w:val="00656408"/>
    <w:rsid w:val="00851AD0"/>
    <w:rsid w:val="009A3A34"/>
    <w:rsid w:val="00EB24C6"/>
    <w:rsid w:val="00EC6DA5"/>
    <w:rsid w:val="00FB05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0264"/>
  <w15:docId w15:val="{60DAECF9-6D28-4219-8C85-266971E8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1163</Words>
  <Characters>6193</Characters>
  <Application>Microsoft Office Word</Application>
  <DocSecurity>0</DocSecurity>
  <Lines>258</Lines>
  <Paragraphs>237</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2026-07-12T02:40:00Z</cp:lastPrinted>
  <dcterms:created xsi:type="dcterms:W3CDTF">2026-07-12T03:35:00Z</dcterms:created>
  <dcterms:modified xsi:type="dcterms:W3CDTF">2026-07-12T03:35:00Z</dcterms:modified>
</cp:coreProperties>
</file>