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u w:val="single"/>
        </w:rPr>
        <w:t>AutoISF Coded Automations - Current Code Registry</w:t>
      </w:r>
    </w:p>
    <w:p>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0"/>
        <w:gridCol w:w="2050"/>
        <w:gridCol w:w="1600"/>
        <w:gridCol w:w="5210"/>
      </w:tblGrid>
      <w:tr>
        <w:trPr>
          <w:tblHeader w:val="true"/>
        </w:trPr>
        <w:tc>
          <w:tcPr>
            <w:tcW w:type="dxa" w:w="500"/>
            <w:vAlign w:val="center"/>
          </w:tcPr>
          <w:p>
            <w:pPr>
              <w:spacing w:before="0" w:after="30"/>
            </w:pPr>
            <w:r>
              <w:rPr>
                <w:b/>
                <w:sz w:val="14"/>
              </w:rPr>
              <w:t>#</w:t>
            </w:r>
          </w:p>
        </w:tc>
        <w:tc>
          <w:tcPr>
            <w:tcW w:type="dxa" w:w="2050"/>
            <w:vAlign w:val="center"/>
          </w:tcPr>
          <w:p>
            <w:pPr>
              <w:spacing w:before="0" w:after="30"/>
            </w:pPr>
            <w:r>
              <w:rPr>
                <w:b/>
                <w:sz w:val="14"/>
              </w:rPr>
              <w:t>Current coded key</w:t>
            </w:r>
          </w:p>
        </w:tc>
        <w:tc>
          <w:tcPr>
            <w:tcW w:type="dxa" w:w="1600"/>
            <w:vAlign w:val="center"/>
          </w:tcPr>
          <w:p>
            <w:pPr>
              <w:spacing w:before="0" w:after="30"/>
            </w:pPr>
            <w:r>
              <w:rPr>
                <w:b/>
                <w:sz w:val="14"/>
              </w:rPr>
              <w:t>Type</w:t>
            </w:r>
          </w:p>
        </w:tc>
        <w:tc>
          <w:tcPr>
            <w:tcW w:type="dxa" w:w="5210"/>
            <w:vAlign w:val="center"/>
          </w:tcPr>
          <w:p>
            <w:pPr>
              <w:spacing w:before="0" w:after="30"/>
            </w:pPr>
            <w:r>
              <w:rPr>
                <w:b/>
                <w:sz w:val="14"/>
              </w:rPr>
              <w:t>Current code definition / criteria and action</w:t>
            </w:r>
          </w:p>
        </w:tc>
      </w:tr>
      <w:tr>
        <w:tc>
          <w:tcPr>
            <w:tcW w:type="dxa" w:w="500"/>
            <w:vAlign w:val="center"/>
          </w:tcPr>
          <w:p>
            <w:pPr>
              <w:spacing w:before="0" w:after="30"/>
            </w:pPr>
            <w:r>
              <w:rPr>
                <w:sz w:val="14"/>
              </w:rPr>
              <w:t>1</w:t>
            </w:r>
          </w:p>
        </w:tc>
        <w:tc>
          <w:tcPr>
            <w:tcW w:type="dxa" w:w="2050"/>
            <w:vAlign w:val="center"/>
          </w:tcPr>
          <w:p>
            <w:pPr>
              <w:spacing w:before="0" w:after="30"/>
            </w:pPr>
            <w:r>
              <w:rPr>
                <w:sz w:val="14"/>
              </w:rPr>
              <w:t>50SetRecent</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tc>
          <w:tcPr>
            <w:tcW w:type="dxa" w:w="500"/>
            <w:vAlign w:val="center"/>
          </w:tcPr>
          <w:p>
            <w:pPr>
              <w:spacing w:before="0" w:after="30"/>
            </w:pPr>
            <w:r>
              <w:rPr>
                <w:sz w:val="14"/>
              </w:rPr>
              <w:t>2</w:t>
            </w:r>
          </w:p>
        </w:tc>
        <w:tc>
          <w:tcPr>
            <w:tcW w:type="dxa" w:w="2050"/>
            <w:vAlign w:val="center"/>
          </w:tcPr>
          <w:p>
            <w:pPr>
              <w:spacing w:before="0" w:after="30"/>
            </w:pPr>
            <w:r>
              <w:rPr>
                <w:sz w:val="14"/>
              </w:rPr>
              <w:t>50pcMakes5.7</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tc>
          <w:tcPr>
            <w:tcW w:type="dxa" w:w="500"/>
            <w:vAlign w:val="center"/>
          </w:tcPr>
          <w:p>
            <w:pPr>
              <w:spacing w:before="0" w:after="30"/>
            </w:pPr>
            <w:r>
              <w:rPr>
                <w:sz w:val="14"/>
              </w:rPr>
              <w:t>3</w:t>
            </w:r>
          </w:p>
        </w:tc>
        <w:tc>
          <w:tcPr>
            <w:tcW w:type="dxa" w:w="2050"/>
            <w:vAlign w:val="center"/>
          </w:tcPr>
          <w:p>
            <w:pPr>
              <w:spacing w:before="0" w:after="30"/>
            </w:pPr>
            <w:r>
              <w:rPr>
                <w:sz w:val="14"/>
              </w:rPr>
              <w:t>AcceUp0.5</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tc>
          <w:tcPr>
            <w:tcW w:type="dxa" w:w="500"/>
            <w:vAlign w:val="center"/>
          </w:tcPr>
          <w:p>
            <w:pPr>
              <w:spacing w:before="0" w:after="30"/>
            </w:pPr>
            <w:r>
              <w:rPr>
                <w:sz w:val="14"/>
              </w:rPr>
              <w:t>4</w:t>
            </w:r>
          </w:p>
        </w:tc>
        <w:tc>
          <w:tcPr>
            <w:tcW w:type="dxa" w:w="2050"/>
            <w:vAlign w:val="center"/>
          </w:tcPr>
          <w:p>
            <w:pPr>
              <w:spacing w:before="0" w:after="30"/>
            </w:pPr>
            <w:r>
              <w:rPr>
                <w:sz w:val="14"/>
              </w:rPr>
              <w:t>AcceWeightDownTT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tc>
          <w:tcPr>
            <w:tcW w:type="dxa" w:w="500"/>
            <w:vAlign w:val="center"/>
          </w:tcPr>
          <w:p>
            <w:pPr>
              <w:spacing w:before="0" w:after="30"/>
            </w:pPr>
            <w:r>
              <w:rPr>
                <w:sz w:val="14"/>
              </w:rPr>
              <w:t>5</w:t>
            </w:r>
          </w:p>
        </w:tc>
        <w:tc>
          <w:tcPr>
            <w:tcW w:type="dxa" w:w="2050"/>
            <w:vAlign w:val="center"/>
          </w:tcPr>
          <w:p>
            <w:pPr>
              <w:spacing w:before="0" w:after="30"/>
            </w:pPr>
            <w:r>
              <w:rPr>
                <w:sz w:val="14"/>
              </w:rPr>
              <w:t>AcceWeightHighDownTT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tc>
          <w:tcPr>
            <w:tcW w:type="dxa" w:w="500"/>
            <w:vAlign w:val="center"/>
          </w:tcPr>
          <w:p>
            <w:pPr>
              <w:spacing w:before="0" w:after="30"/>
            </w:pPr>
            <w:r>
              <w:rPr>
                <w:sz w:val="14"/>
              </w:rPr>
              <w:t>6</w:t>
            </w:r>
          </w:p>
        </w:tc>
        <w:tc>
          <w:tcPr>
            <w:tcW w:type="dxa" w:w="2050"/>
            <w:vAlign w:val="center"/>
          </w:tcPr>
          <w:p>
            <w:pPr>
              <w:spacing w:before="0" w:after="30"/>
            </w:pPr>
            <w:r>
              <w:rPr>
                <w:sz w:val="14"/>
              </w:rPr>
              <w:t>AcceWeightHighUpTT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AcceWeightHighUpTT: manually setting a TT of 5.064 mmol is used as a remote +0.01 nudge on ApsAutoIsfBgAccelWeightHigh, clamped to its own max (1.00). Same pattern as AcceWeightHighDownTT above.</w:t>
            </w:r>
          </w:p>
        </w:tc>
      </w:tr>
      <w:tr>
        <w:tc>
          <w:tcPr>
            <w:tcW w:type="dxa" w:w="500"/>
            <w:vAlign w:val="center"/>
          </w:tcPr>
          <w:p>
            <w:pPr>
              <w:spacing w:before="0" w:after="30"/>
            </w:pPr>
            <w:r>
              <w:rPr>
                <w:sz w:val="14"/>
              </w:rPr>
              <w:t>7</w:t>
            </w:r>
          </w:p>
        </w:tc>
        <w:tc>
          <w:tcPr>
            <w:tcW w:type="dxa" w:w="2050"/>
            <w:vAlign w:val="center"/>
          </w:tcPr>
          <w:p>
            <w:pPr>
              <w:spacing w:before="0" w:after="30"/>
            </w:pPr>
            <w:r>
              <w:rPr>
                <w:sz w:val="14"/>
              </w:rPr>
              <w:t>AcceWeightUpTT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AcceWeightUpTT: manually setting a TT of 5.18 mmol is used as a remote +0.05 nudge on ApsAutoIsfBgAccelWeightNormal, clamped to a max of 1.00. Same pattern as AcceWeightDownTT above.</w:t>
            </w:r>
          </w:p>
        </w:tc>
      </w:tr>
      <w:tr>
        <w:tc>
          <w:tcPr>
            <w:tcW w:type="dxa" w:w="500"/>
            <w:vAlign w:val="center"/>
          </w:tcPr>
          <w:p>
            <w:pPr>
              <w:spacing w:before="0" w:after="30"/>
            </w:pPr>
            <w:r>
              <w:rPr>
                <w:sz w:val="14"/>
              </w:rPr>
              <w:t>8</w:t>
            </w:r>
          </w:p>
        </w:tc>
        <w:tc>
          <w:tcPr>
            <w:tcW w:type="dxa" w:w="2050"/>
            <w:vAlign w:val="center"/>
          </w:tcPr>
          <w:p>
            <w:pPr>
              <w:spacing w:before="0" w:after="30"/>
            </w:pPr>
            <w:r>
              <w:rPr>
                <w:sz w:val="14"/>
              </w:rPr>
              <w:t>ActivityOff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tc>
          <w:tcPr>
            <w:tcW w:type="dxa" w:w="500"/>
            <w:vAlign w:val="center"/>
          </w:tcPr>
          <w:p>
            <w:pPr>
              <w:spacing w:before="0" w:after="30"/>
            </w:pPr>
            <w:r>
              <w:rPr>
                <w:sz w:val="14"/>
              </w:rPr>
              <w:t>9</w:t>
            </w:r>
          </w:p>
        </w:tc>
        <w:tc>
          <w:tcPr>
            <w:tcW w:type="dxa" w:w="2050"/>
            <w:vAlign w:val="center"/>
          </w:tcPr>
          <w:p>
            <w:pPr>
              <w:spacing w:before="0" w:after="30"/>
            </w:pPr>
            <w:r>
              <w:rPr>
                <w:sz w:val="14"/>
              </w:rPr>
              <w:t>ActivityProf50</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tc>
          <w:tcPr>
            <w:tcW w:type="dxa" w:w="500"/>
            <w:vAlign w:val="center"/>
          </w:tcPr>
          <w:p>
            <w:pPr>
              <w:spacing w:before="0" w:after="30"/>
            </w:pPr>
            <w:r>
              <w:rPr>
                <w:sz w:val="14"/>
              </w:rPr>
              <w:t>10</w:t>
            </w:r>
          </w:p>
        </w:tc>
        <w:tc>
          <w:tcPr>
            <w:tcW w:type="dxa" w:w="2050"/>
            <w:vAlign w:val="center"/>
          </w:tcPr>
          <w:p>
            <w:pPr>
              <w:spacing w:before="0" w:after="30"/>
            </w:pPr>
            <w:r>
              <w:rPr>
                <w:sz w:val="14"/>
              </w:rPr>
              <w:t>ActivityTTReversal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tc>
          <w:tcPr>
            <w:tcW w:type="dxa" w:w="500"/>
            <w:vAlign w:val="center"/>
          </w:tcPr>
          <w:p>
            <w:pPr>
              <w:spacing w:before="0" w:after="30"/>
            </w:pPr>
            <w:r>
              <w:rPr>
                <w:sz w:val="14"/>
              </w:rPr>
              <w:t>11</w:t>
            </w:r>
          </w:p>
        </w:tc>
        <w:tc>
          <w:tcPr>
            <w:tcW w:type="dxa" w:w="2050"/>
            <w:vAlign w:val="center"/>
          </w:tcPr>
          <w:p>
            <w:pPr>
              <w:spacing w:before="0" w:after="30"/>
            </w:pPr>
            <w:r>
              <w:rPr>
                <w:sz w:val="14"/>
              </w:rPr>
              <w:t>AlarmHypo1</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tc>
          <w:tcPr>
            <w:tcW w:type="dxa" w:w="500"/>
            <w:vAlign w:val="center"/>
          </w:tcPr>
          <w:p>
            <w:pPr>
              <w:spacing w:before="0" w:after="30"/>
            </w:pPr>
            <w:r>
              <w:rPr>
                <w:sz w:val="14"/>
              </w:rPr>
              <w:t>12</w:t>
            </w:r>
          </w:p>
        </w:tc>
        <w:tc>
          <w:tcPr>
            <w:tcW w:type="dxa" w:w="2050"/>
            <w:vAlign w:val="center"/>
          </w:tcPr>
          <w:p>
            <w:pPr>
              <w:spacing w:before="0" w:after="30"/>
            </w:pPr>
            <w:r>
              <w:rPr>
                <w:sz w:val="14"/>
              </w:rPr>
              <w:t>AlarmHypo2</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tc>
          <w:tcPr>
            <w:tcW w:type="dxa" w:w="500"/>
            <w:vAlign w:val="center"/>
          </w:tcPr>
          <w:p>
            <w:pPr>
              <w:spacing w:before="0" w:after="30"/>
            </w:pPr>
            <w:r>
              <w:rPr>
                <w:sz w:val="14"/>
              </w:rPr>
              <w:t>13</w:t>
            </w:r>
          </w:p>
        </w:tc>
        <w:tc>
          <w:tcPr>
            <w:tcW w:type="dxa" w:w="2050"/>
            <w:vAlign w:val="center"/>
          </w:tcPr>
          <w:p>
            <w:pPr>
              <w:spacing w:before="0" w:after="30"/>
            </w:pPr>
            <w:r>
              <w:rPr>
                <w:sz w:val="14"/>
              </w:rPr>
              <w:t>AutoIsfMaxLowDownTT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tc>
          <w:tcPr>
            <w:tcW w:type="dxa" w:w="500"/>
            <w:vAlign w:val="center"/>
          </w:tcPr>
          <w:p>
            <w:pPr>
              <w:spacing w:before="0" w:after="30"/>
            </w:pPr>
            <w:r>
              <w:rPr>
                <w:sz w:val="14"/>
              </w:rPr>
              <w:t>14</w:t>
            </w:r>
          </w:p>
        </w:tc>
        <w:tc>
          <w:tcPr>
            <w:tcW w:type="dxa" w:w="2050"/>
            <w:vAlign w:val="center"/>
          </w:tcPr>
          <w:p>
            <w:pPr>
              <w:spacing w:before="0" w:after="30"/>
            </w:pPr>
            <w:r>
              <w:rPr>
                <w:sz w:val="14"/>
              </w:rPr>
              <w:t>AutoIsfMaxLowUpTT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AutoIsfMaxLowUpTT: manually setting a TT of 5.082 mmol is used as a remote +0.1 nudge on ApsAutoIsfMaxLow, clamped to a max of 3.0. Same pattern as AutoIsfMaxLowDownTT above.</w:t>
            </w:r>
          </w:p>
        </w:tc>
      </w:tr>
      <w:tr>
        <w:tc>
          <w:tcPr>
            <w:tcW w:type="dxa" w:w="500"/>
            <w:vAlign w:val="center"/>
          </w:tcPr>
          <w:p>
            <w:pPr>
              <w:spacing w:before="0" w:after="30"/>
            </w:pPr>
            <w:r>
              <w:rPr>
                <w:sz w:val="14"/>
              </w:rPr>
              <w:t>15</w:t>
            </w:r>
          </w:p>
        </w:tc>
        <w:tc>
          <w:tcPr>
            <w:tcW w:type="dxa" w:w="2050"/>
            <w:vAlign w:val="center"/>
          </w:tcPr>
          <w:p>
            <w:pPr>
              <w:spacing w:before="0" w:after="30"/>
            </w:pPr>
            <w:r>
              <w:rPr>
                <w:sz w:val="14"/>
              </w:rPr>
              <w:t>AutoIsfMaxNormalDownTT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tc>
          <w:tcPr>
            <w:tcW w:type="dxa" w:w="500"/>
            <w:vAlign w:val="center"/>
          </w:tcPr>
          <w:p>
            <w:pPr>
              <w:spacing w:before="0" w:after="30"/>
            </w:pPr>
            <w:r>
              <w:rPr>
                <w:sz w:val="14"/>
              </w:rPr>
              <w:t>16</w:t>
            </w:r>
          </w:p>
        </w:tc>
        <w:tc>
          <w:tcPr>
            <w:tcW w:type="dxa" w:w="2050"/>
            <w:vAlign w:val="center"/>
          </w:tcPr>
          <w:p>
            <w:pPr>
              <w:spacing w:before="0" w:after="30"/>
            </w:pPr>
            <w:r>
              <w:rPr>
                <w:sz w:val="14"/>
              </w:rPr>
              <w:t>AutoIsfMaxNormalUpTT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AutoIsfMaxNormalUpTT: manually setting a TT of 5.088 mmol is used as a remote +0.1 nudge on ApsAutoIsfMax, clamped to a max of 3.0. Same pattern as AutoIsfMaxNormalDownTT above.</w:t>
            </w:r>
          </w:p>
        </w:tc>
      </w:tr>
      <w:tr>
        <w:tc>
          <w:tcPr>
            <w:tcW w:type="dxa" w:w="500"/>
            <w:vAlign w:val="center"/>
          </w:tcPr>
          <w:p>
            <w:pPr>
              <w:spacing w:before="0" w:after="30"/>
            </w:pPr>
            <w:r>
              <w:rPr>
                <w:sz w:val="14"/>
              </w:rPr>
              <w:t>17</w:t>
            </w:r>
          </w:p>
        </w:tc>
        <w:tc>
          <w:tcPr>
            <w:tcW w:type="dxa" w:w="2050"/>
            <w:vAlign w:val="center"/>
          </w:tcPr>
          <w:p>
            <w:pPr>
              <w:spacing w:before="0" w:after="30"/>
            </w:pPr>
            <w:r>
              <w:rPr>
                <w:sz w:val="14"/>
              </w:rPr>
              <w:t>BasalUp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tc>
          <w:tcPr>
            <w:tcW w:type="dxa" w:w="500"/>
            <w:vAlign w:val="center"/>
          </w:tcPr>
          <w:p>
            <w:pPr>
              <w:spacing w:before="0" w:after="30"/>
            </w:pPr>
            <w:r>
              <w:rPr>
                <w:sz w:val="14"/>
              </w:rPr>
              <w:t>18</w:t>
            </w:r>
          </w:p>
        </w:tc>
        <w:tc>
          <w:tcPr>
            <w:tcW w:type="dxa" w:w="2050"/>
            <w:vAlign w:val="center"/>
          </w:tcPr>
          <w:p>
            <w:pPr>
              <w:spacing w:before="0" w:after="30"/>
            </w:pPr>
            <w:r>
              <w:rPr>
                <w:sz w:val="14"/>
              </w:rPr>
              <w:t>Battery1pc</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tc>
          <w:tcPr>
            <w:tcW w:type="dxa" w:w="500"/>
            <w:vAlign w:val="center"/>
          </w:tcPr>
          <w:p>
            <w:pPr>
              <w:spacing w:before="0" w:after="30"/>
            </w:pPr>
            <w:r>
              <w:rPr>
                <w:sz w:val="14"/>
              </w:rPr>
              <w:t>19</w:t>
            </w:r>
          </w:p>
        </w:tc>
        <w:tc>
          <w:tcPr>
            <w:tcW w:type="dxa" w:w="2050"/>
            <w:vAlign w:val="center"/>
          </w:tcPr>
          <w:p>
            <w:pPr>
              <w:spacing w:before="0" w:after="30"/>
            </w:pPr>
            <w:r>
              <w:rPr>
                <w:sz w:val="14"/>
              </w:rPr>
              <w:t>BatteryOver1pc</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tc>
          <w:tcPr>
            <w:tcW w:type="dxa" w:w="500"/>
            <w:vAlign w:val="center"/>
          </w:tcPr>
          <w:p>
            <w:pPr>
              <w:spacing w:before="0" w:after="30"/>
            </w:pPr>
            <w:r>
              <w:rPr>
                <w:sz w:val="14"/>
              </w:rPr>
              <w:t>20</w:t>
            </w:r>
          </w:p>
        </w:tc>
        <w:tc>
          <w:tcPr>
            <w:tcW w:type="dxa" w:w="2050"/>
            <w:vAlign w:val="center"/>
          </w:tcPr>
          <w:p>
            <w:pPr>
              <w:spacing w:before="0" w:after="30"/>
            </w:pPr>
            <w:r>
              <w:rPr>
                <w:sz w:val="14"/>
              </w:rPr>
              <w:t>Bolus2</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tc>
          <w:tcPr>
            <w:tcW w:type="dxa" w:w="500"/>
            <w:vAlign w:val="center"/>
          </w:tcPr>
          <w:p>
            <w:pPr>
              <w:spacing w:before="0" w:after="30"/>
            </w:pPr>
            <w:r>
              <w:rPr>
                <w:sz w:val="14"/>
              </w:rPr>
              <w:t>21</w:t>
            </w:r>
          </w:p>
        </w:tc>
        <w:tc>
          <w:tcPr>
            <w:tcW w:type="dxa" w:w="2050"/>
            <w:vAlign w:val="center"/>
          </w:tcPr>
          <w:p>
            <w:pPr>
              <w:spacing w:before="0" w:after="30"/>
            </w:pPr>
            <w:r>
              <w:rPr>
                <w:sz w:val="14"/>
              </w:rPr>
              <w:t>BolusGiven</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tc>
          <w:tcPr>
            <w:tcW w:type="dxa" w:w="500"/>
            <w:vAlign w:val="center"/>
          </w:tcPr>
          <w:p>
            <w:pPr>
              <w:spacing w:before="0" w:after="30"/>
            </w:pPr>
            <w:r>
              <w:rPr>
                <w:sz w:val="14"/>
              </w:rPr>
              <w:t>22</w:t>
            </w:r>
          </w:p>
        </w:tc>
        <w:tc>
          <w:tcPr>
            <w:tcW w:type="dxa" w:w="2050"/>
            <w:vAlign w:val="center"/>
          </w:tcPr>
          <w:p>
            <w:pPr>
              <w:spacing w:before="0" w:after="30"/>
            </w:pPr>
            <w:r>
              <w:rPr>
                <w:sz w:val="14"/>
              </w:rPr>
              <w:t>BolusGivenBg3</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tc>
          <w:tcPr>
            <w:tcW w:type="dxa" w:w="500"/>
            <w:vAlign w:val="center"/>
          </w:tcPr>
          <w:p>
            <w:pPr>
              <w:spacing w:before="0" w:after="30"/>
            </w:pPr>
            <w:r>
              <w:rPr>
                <w:sz w:val="14"/>
              </w:rPr>
              <w:t>23</w:t>
            </w:r>
          </w:p>
        </w:tc>
        <w:tc>
          <w:tcPr>
            <w:tcW w:type="dxa" w:w="2050"/>
            <w:vAlign w:val="center"/>
          </w:tcPr>
          <w:p>
            <w:pPr>
              <w:spacing w:before="0" w:after="30"/>
            </w:pPr>
            <w:r>
              <w:rPr>
                <w:sz w:val="14"/>
              </w:rPr>
              <w:t>BolusGivenMild</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tc>
          <w:tcPr>
            <w:tcW w:type="dxa" w:w="500"/>
            <w:vAlign w:val="center"/>
          </w:tcPr>
          <w:p>
            <w:pPr>
              <w:spacing w:before="0" w:after="30"/>
            </w:pPr>
            <w:r>
              <w:rPr>
                <w:sz w:val="14"/>
              </w:rPr>
              <w:t>24</w:t>
            </w:r>
          </w:p>
        </w:tc>
        <w:tc>
          <w:tcPr>
            <w:tcW w:type="dxa" w:w="2050"/>
            <w:vAlign w:val="center"/>
          </w:tcPr>
          <w:p>
            <w:pPr>
              <w:spacing w:before="0" w:after="30"/>
            </w:pPr>
            <w:r>
              <w:rPr>
                <w:sz w:val="14"/>
              </w:rPr>
              <w:t>BolusGivenMildFailsafe</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tc>
          <w:tcPr>
            <w:tcW w:type="dxa" w:w="500"/>
            <w:vAlign w:val="center"/>
          </w:tcPr>
          <w:p>
            <w:pPr>
              <w:spacing w:before="0" w:after="30"/>
            </w:pPr>
            <w:r>
              <w:rPr>
                <w:sz w:val="14"/>
              </w:rPr>
              <w:t>25</w:t>
            </w:r>
          </w:p>
        </w:tc>
        <w:tc>
          <w:tcPr>
            <w:tcW w:type="dxa" w:w="2050"/>
            <w:vAlign w:val="center"/>
          </w:tcPr>
          <w:p>
            <w:pPr>
              <w:spacing w:before="0" w:after="30"/>
            </w:pPr>
            <w:r>
              <w:rPr>
                <w:sz w:val="14"/>
              </w:rPr>
              <w:t>BoostToggleTT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tc>
          <w:tcPr>
            <w:tcW w:type="dxa" w:w="500"/>
            <w:vAlign w:val="center"/>
          </w:tcPr>
          <w:p>
            <w:pPr>
              <w:spacing w:before="0" w:after="30"/>
            </w:pPr>
            <w:r>
              <w:rPr>
                <w:sz w:val="14"/>
              </w:rPr>
              <w:t>26</w:t>
            </w:r>
          </w:p>
        </w:tc>
        <w:tc>
          <w:tcPr>
            <w:tcW w:type="dxa" w:w="2050"/>
            <w:vAlign w:val="center"/>
          </w:tcPr>
          <w:p>
            <w:pPr>
              <w:spacing w:before="0" w:after="30"/>
            </w:pPr>
            <w:r>
              <w:rPr>
                <w:sz w:val="14"/>
              </w:rPr>
              <w:t>CarbsStopTT1</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carbsStopTT1ok4.4: cancel very-low TT (&lt;=4.4 mmol) when carbs active and rising Self-guarding: cancels TT so tt&lt;=79.3 is false next cycle. 5-min floor throttle added on top of the self-guard (see readyToRun() usage note).</w:t>
            </w:r>
          </w:p>
        </w:tc>
      </w:tr>
      <w:tr>
        <w:tc>
          <w:tcPr>
            <w:tcW w:type="dxa" w:w="500"/>
            <w:vAlign w:val="center"/>
          </w:tcPr>
          <w:p>
            <w:pPr>
              <w:spacing w:before="0" w:after="30"/>
            </w:pPr>
            <w:r>
              <w:rPr>
                <w:sz w:val="14"/>
              </w:rPr>
              <w:t>27</w:t>
            </w:r>
          </w:p>
        </w:tc>
        <w:tc>
          <w:tcPr>
            <w:tcW w:type="dxa" w:w="2050"/>
            <w:vAlign w:val="center"/>
          </w:tcPr>
          <w:p>
            <w:pPr>
              <w:spacing w:before="0" w:after="30"/>
            </w:pPr>
            <w:r>
              <w:rPr>
                <w:sz w:val="14"/>
              </w:rPr>
              <w:t>CarbsStopTT57</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CarbsStopTT5.7: cancel 5.7 mmol TT when carbs up or recent bolus and BGL stable/rising Self-guarding: cancels TT so TT range checks fail next cycle. 5-min floor throttle added on top of the self-guard (see readyToRun() usage note).</w:t>
            </w:r>
          </w:p>
        </w:tc>
      </w:tr>
      <w:tr>
        <w:tc>
          <w:tcPr>
            <w:tcW w:type="dxa" w:w="500"/>
            <w:vAlign w:val="center"/>
          </w:tcPr>
          <w:p>
            <w:pPr>
              <w:spacing w:before="0" w:after="30"/>
            </w:pPr>
            <w:r>
              <w:rPr>
                <w:sz w:val="14"/>
              </w:rPr>
              <w:t>28</w:t>
            </w:r>
          </w:p>
        </w:tc>
        <w:tc>
          <w:tcPr>
            <w:tcW w:type="dxa" w:w="2050"/>
            <w:vAlign w:val="center"/>
          </w:tcPr>
          <w:p>
            <w:pPr>
              <w:spacing w:before="0" w:after="30"/>
            </w:pPr>
            <w:r>
              <w:rPr>
                <w:sz w:val="14"/>
              </w:rPr>
              <w:t>CarbsTHoff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tc>
          <w:tcPr>
            <w:tcW w:type="dxa" w:w="500"/>
            <w:vAlign w:val="center"/>
          </w:tcPr>
          <w:p>
            <w:pPr>
              <w:spacing w:before="0" w:after="30"/>
            </w:pPr>
            <w:r>
              <w:rPr>
                <w:sz w:val="14"/>
              </w:rPr>
              <w:t>29</w:t>
            </w:r>
          </w:p>
        </w:tc>
        <w:tc>
          <w:tcPr>
            <w:tcW w:type="dxa" w:w="2050"/>
            <w:vAlign w:val="center"/>
          </w:tcPr>
          <w:p>
            <w:pPr>
              <w:spacing w:before="0" w:after="30"/>
            </w:pPr>
            <w:r>
              <w:rPr>
                <w:sz w:val="14"/>
              </w:rPr>
              <w:t>CleanGraphTT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tc>
          <w:tcPr>
            <w:tcW w:type="dxa" w:w="500"/>
            <w:vAlign w:val="center"/>
          </w:tcPr>
          <w:p>
            <w:pPr>
              <w:spacing w:before="0" w:after="30"/>
            </w:pPr>
            <w:r>
              <w:rPr>
                <w:sz w:val="14"/>
              </w:rPr>
              <w:t>30</w:t>
            </w:r>
          </w:p>
        </w:tc>
        <w:tc>
          <w:tcPr>
            <w:tcW w:type="dxa" w:w="2050"/>
            <w:vAlign w:val="center"/>
          </w:tcPr>
          <w:p>
            <w:pPr>
              <w:spacing w:before="0" w:after="30"/>
            </w:pPr>
            <w:r>
              <w:rPr>
                <w:sz w:val="14"/>
              </w:rPr>
              <w:t>CloudLogsUploadTT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tc>
          <w:tcPr>
            <w:tcW w:type="dxa" w:w="500"/>
            <w:vAlign w:val="center"/>
          </w:tcPr>
          <w:p>
            <w:pPr>
              <w:spacing w:before="0" w:after="30"/>
            </w:pPr>
            <w:r>
              <w:rPr>
                <w:sz w:val="14"/>
              </w:rPr>
              <w:t>31</w:t>
            </w:r>
          </w:p>
        </w:tc>
        <w:tc>
          <w:tcPr>
            <w:tcW w:type="dxa" w:w="2050"/>
            <w:vAlign w:val="center"/>
          </w:tcPr>
          <w:p>
            <w:pPr>
              <w:spacing w:before="0" w:after="30"/>
            </w:pPr>
            <w:r>
              <w:rPr>
                <w:sz w:val="14"/>
              </w:rPr>
              <w:t>ConnectPod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tc>
          <w:tcPr>
            <w:tcW w:type="dxa" w:w="500"/>
            <w:vAlign w:val="center"/>
          </w:tcPr>
          <w:p>
            <w:pPr>
              <w:spacing w:before="0" w:after="30"/>
            </w:pPr>
            <w:r>
              <w:rPr>
                <w:sz w:val="14"/>
              </w:rPr>
              <w:t>32</w:t>
            </w:r>
          </w:p>
        </w:tc>
        <w:tc>
          <w:tcPr>
            <w:tcW w:type="dxa" w:w="2050"/>
            <w:vAlign w:val="center"/>
          </w:tcPr>
          <w:p>
            <w:pPr>
              <w:spacing w:before="0" w:after="30"/>
            </w:pPr>
            <w:r>
              <w:rPr>
                <w:sz w:val="14"/>
              </w:rPr>
              <w:t>DuraWeightDownTT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tc>
          <w:tcPr>
            <w:tcW w:type="dxa" w:w="500"/>
            <w:vAlign w:val="center"/>
          </w:tcPr>
          <w:p>
            <w:pPr>
              <w:spacing w:before="0" w:after="30"/>
            </w:pPr>
            <w:r>
              <w:rPr>
                <w:sz w:val="14"/>
              </w:rPr>
              <w:t>33</w:t>
            </w:r>
          </w:p>
        </w:tc>
        <w:tc>
          <w:tcPr>
            <w:tcW w:type="dxa" w:w="2050"/>
            <w:vAlign w:val="center"/>
          </w:tcPr>
          <w:p>
            <w:pPr>
              <w:spacing w:before="0" w:after="30"/>
            </w:pPr>
            <w:r>
              <w:rPr>
                <w:sz w:val="14"/>
              </w:rPr>
              <w:t>DuraWeightUpTT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DuraWeightUpTT: manually setting a TT of 5.24 mmol is used as a remote +0.1 nudge on ApsAutoIsfDuraWeightNormal, clamped to a max of 3.00. Same pattern as DuraWeightDownTT above.</w:t>
            </w:r>
          </w:p>
        </w:tc>
      </w:tr>
      <w:tr>
        <w:tc>
          <w:tcPr>
            <w:tcW w:type="dxa" w:w="500"/>
            <w:vAlign w:val="center"/>
          </w:tcPr>
          <w:p>
            <w:pPr>
              <w:spacing w:before="0" w:after="30"/>
            </w:pPr>
            <w:r>
              <w:rPr>
                <w:sz w:val="14"/>
              </w:rPr>
              <w:t>34</w:t>
            </w:r>
          </w:p>
        </w:tc>
        <w:tc>
          <w:tcPr>
            <w:tcW w:type="dxa" w:w="2050"/>
            <w:vAlign w:val="center"/>
          </w:tcPr>
          <w:p>
            <w:pPr>
              <w:spacing w:before="0" w:after="30"/>
            </w:pPr>
            <w:r>
              <w:rPr>
                <w:sz w:val="14"/>
              </w:rPr>
              <w:t>EveningTH</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tc>
          <w:tcPr>
            <w:tcW w:type="dxa" w:w="500"/>
            <w:vAlign w:val="center"/>
          </w:tcPr>
          <w:p>
            <w:pPr>
              <w:spacing w:before="0" w:after="30"/>
            </w:pPr>
            <w:r>
              <w:rPr>
                <w:sz w:val="14"/>
              </w:rPr>
              <w:t>35</w:t>
            </w:r>
          </w:p>
        </w:tc>
        <w:tc>
          <w:tcPr>
            <w:tcW w:type="dxa" w:w="2050"/>
            <w:vAlign w:val="center"/>
          </w:tcPr>
          <w:p>
            <w:pPr>
              <w:spacing w:before="0" w:after="30"/>
            </w:pPr>
            <w:r>
              <w:rPr>
                <w:sz w:val="14"/>
              </w:rPr>
              <w:t>ExerciseLimitAcce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"Exercise limit Acce": alerts when a fast rise coincides with high recent step activity. No live-pump gate: the original's Note field was empty.</w:t>
            </w:r>
          </w:p>
        </w:tc>
      </w:tr>
      <w:tr>
        <w:tc>
          <w:tcPr>
            <w:tcW w:type="dxa" w:w="500"/>
            <w:vAlign w:val="center"/>
          </w:tcPr>
          <w:p>
            <w:pPr>
              <w:spacing w:before="0" w:after="30"/>
            </w:pPr>
            <w:r>
              <w:rPr>
                <w:sz w:val="14"/>
              </w:rPr>
              <w:t>36</w:t>
            </w:r>
          </w:p>
        </w:tc>
        <w:tc>
          <w:tcPr>
            <w:tcW w:type="dxa" w:w="2050"/>
            <w:vAlign w:val="center"/>
          </w:tcPr>
          <w:p>
            <w:pPr>
              <w:spacing w:before="0" w:after="30"/>
            </w:pPr>
            <w:r>
              <w:rPr>
                <w:sz w:val="14"/>
              </w:rPr>
              <w:t>ExportSettingsPodActivation</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tc>
          <w:tcPr>
            <w:tcW w:type="dxa" w:w="500"/>
            <w:vAlign w:val="center"/>
          </w:tcPr>
          <w:p>
            <w:pPr>
              <w:spacing w:before="0" w:after="30"/>
            </w:pPr>
            <w:r>
              <w:rPr>
                <w:sz w:val="14"/>
              </w:rPr>
              <w:t>37</w:t>
            </w:r>
          </w:p>
        </w:tc>
        <w:tc>
          <w:tcPr>
            <w:tcW w:type="dxa" w:w="2050"/>
            <w:vAlign w:val="center"/>
          </w:tcPr>
          <w:p>
            <w:pPr>
              <w:spacing w:before="0" w:after="30"/>
            </w:pPr>
            <w:r>
              <w:rPr>
                <w:sz w:val="14"/>
              </w:rPr>
              <w:t>Extra50</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Extra50%: deepens hypo protection (acce→0.07, iobTH→50%) when BGL falling on 100% profile 5-min floor throttle added on top of the state guard (see readyToRun() usage note).</w:t>
            </w:r>
          </w:p>
        </w:tc>
      </w:tr>
      <w:tr>
        <w:tc>
          <w:tcPr>
            <w:tcW w:type="dxa" w:w="500"/>
            <w:vAlign w:val="center"/>
          </w:tcPr>
          <w:p>
            <w:pPr>
              <w:spacing w:before="0" w:after="30"/>
            </w:pPr>
            <w:r>
              <w:rPr>
                <w:sz w:val="14"/>
              </w:rPr>
              <w:t>38</w:t>
            </w:r>
          </w:p>
        </w:tc>
        <w:tc>
          <w:tcPr>
            <w:tcW w:type="dxa" w:w="2050"/>
            <w:vAlign w:val="center"/>
          </w:tcPr>
          <w:p>
            <w:pPr>
              <w:spacing w:before="0" w:after="30"/>
            </w:pPr>
            <w:r>
              <w:rPr>
                <w:sz w:val="14"/>
              </w:rPr>
              <w:t>GentleHypoRisk</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tc>
          <w:tcPr>
            <w:tcW w:type="dxa" w:w="500"/>
            <w:vAlign w:val="center"/>
          </w:tcPr>
          <w:p>
            <w:pPr>
              <w:spacing w:before="0" w:after="30"/>
            </w:pPr>
            <w:r>
              <w:rPr>
                <w:sz w:val="14"/>
              </w:rPr>
              <w:t>39</w:t>
            </w:r>
          </w:p>
        </w:tc>
        <w:tc>
          <w:tcPr>
            <w:tcW w:type="dxa" w:w="2050"/>
            <w:vAlign w:val="center"/>
          </w:tcPr>
          <w:p>
            <w:pPr>
              <w:spacing w:before="0" w:after="30"/>
            </w:pPr>
            <w:r>
              <w:rPr>
                <w:sz w:val="14"/>
              </w:rPr>
              <w:t>Graph2ToggleTT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tc>
          <w:tcPr>
            <w:tcW w:type="dxa" w:w="500"/>
            <w:vAlign w:val="center"/>
          </w:tcPr>
          <w:p>
            <w:pPr>
              <w:spacing w:before="0" w:after="30"/>
            </w:pPr>
            <w:r>
              <w:rPr>
                <w:sz w:val="14"/>
              </w:rPr>
              <w:t>40</w:t>
            </w:r>
          </w:p>
        </w:tc>
        <w:tc>
          <w:tcPr>
            <w:tcW w:type="dxa" w:w="2050"/>
            <w:vAlign w:val="center"/>
          </w:tcPr>
          <w:p>
            <w:pPr>
              <w:spacing w:before="0" w:after="30"/>
            </w:pPr>
            <w:r>
              <w:rPr>
                <w:sz w:val="14"/>
              </w:rPr>
              <w:t>Graph5ToggleTT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tc>
          <w:tcPr>
            <w:tcW w:type="dxa" w:w="500"/>
            <w:vAlign w:val="center"/>
          </w:tcPr>
          <w:p>
            <w:pPr>
              <w:spacing w:before="0" w:after="30"/>
            </w:pPr>
            <w:r>
              <w:rPr>
                <w:sz w:val="14"/>
              </w:rPr>
              <w:t>41</w:t>
            </w:r>
          </w:p>
        </w:tc>
        <w:tc>
          <w:tcPr>
            <w:tcW w:type="dxa" w:w="2050"/>
            <w:vAlign w:val="center"/>
          </w:tcPr>
          <w:p>
            <w:pPr>
              <w:spacing w:before="0" w:after="30"/>
            </w:pPr>
            <w:r>
              <w:rPr>
                <w:sz w:val="14"/>
              </w:rPr>
              <w:t>High6PP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tc>
          <w:tcPr>
            <w:tcW w:type="dxa" w:w="500"/>
            <w:vAlign w:val="center"/>
          </w:tcPr>
          <w:p>
            <w:pPr>
              <w:spacing w:before="0" w:after="30"/>
            </w:pPr>
            <w:r>
              <w:rPr>
                <w:sz w:val="14"/>
              </w:rPr>
              <w:t>42</w:t>
            </w:r>
          </w:p>
        </w:tc>
        <w:tc>
          <w:tcPr>
            <w:tcW w:type="dxa" w:w="2050"/>
            <w:vAlign w:val="center"/>
          </w:tcPr>
          <w:p>
            <w:pPr>
              <w:spacing w:before="0" w:after="30"/>
            </w:pPr>
            <w:r>
              <w:rPr>
                <w:sz w:val="14"/>
              </w:rPr>
              <w:t>High6PPoff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"High6PPoff": exits the 120% boost when either no TT exists at 120%, or BGL/delta have stabilised in the evening window at 120%. No live-pump gate: the original's Note field was empty.</w:t>
            </w:r>
          </w:p>
        </w:tc>
      </w:tr>
      <w:tr>
        <w:tc>
          <w:tcPr>
            <w:tcW w:type="dxa" w:w="500"/>
            <w:vAlign w:val="center"/>
          </w:tcPr>
          <w:p>
            <w:pPr>
              <w:spacing w:before="0" w:after="30"/>
            </w:pPr>
            <w:r>
              <w:rPr>
                <w:sz w:val="14"/>
              </w:rPr>
              <w:t>43</w:t>
            </w:r>
          </w:p>
        </w:tc>
        <w:tc>
          <w:tcPr>
            <w:tcW w:type="dxa" w:w="2050"/>
            <w:vAlign w:val="center"/>
          </w:tcPr>
          <w:p>
            <w:pPr>
              <w:spacing w:before="0" w:after="30"/>
            </w:pPr>
            <w:r>
              <w:rPr>
                <w:sz w:val="14"/>
              </w:rPr>
              <w:t>HighNight00AM</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tc>
          <w:tcPr>
            <w:tcW w:type="dxa" w:w="500"/>
            <w:vAlign w:val="center"/>
          </w:tcPr>
          <w:p>
            <w:pPr>
              <w:spacing w:before="0" w:after="30"/>
            </w:pPr>
            <w:r>
              <w:rPr>
                <w:sz w:val="14"/>
              </w:rPr>
              <w:t>44</w:t>
            </w:r>
          </w:p>
        </w:tc>
        <w:tc>
          <w:tcPr>
            <w:tcW w:type="dxa" w:w="2050"/>
            <w:vAlign w:val="center"/>
          </w:tcPr>
          <w:p>
            <w:pPr>
              <w:spacing w:before="0" w:after="30"/>
            </w:pPr>
            <w:r>
              <w:rPr>
                <w:sz w:val="14"/>
              </w:rPr>
              <w:t>HighOldPod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tc>
          <w:tcPr>
            <w:tcW w:type="dxa" w:w="500"/>
            <w:vAlign w:val="center"/>
          </w:tcPr>
          <w:p>
            <w:pPr>
              <w:spacing w:before="0" w:after="30"/>
            </w:pPr>
            <w:r>
              <w:rPr>
                <w:sz w:val="14"/>
              </w:rPr>
              <w:t>45</w:t>
            </w:r>
          </w:p>
        </w:tc>
        <w:tc>
          <w:tcPr>
            <w:tcW w:type="dxa" w:w="2050"/>
            <w:vAlign w:val="center"/>
          </w:tcPr>
          <w:p>
            <w:pPr>
              <w:spacing w:before="0" w:after="30"/>
            </w:pPr>
            <w:r>
              <w:rPr>
                <w:sz w:val="14"/>
              </w:rPr>
              <w:t>HighPP130Off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"HighPP130Off": exits the 130%/110% boost across 3 exit conditions (stabilised no-TT, falling with TT, or simply no-TT at all while boosted). Note: "or 110%".</w:t>
            </w:r>
          </w:p>
        </w:tc>
      </w:tr>
      <w:tr>
        <w:tc>
          <w:tcPr>
            <w:tcW w:type="dxa" w:w="500"/>
            <w:vAlign w:val="center"/>
          </w:tcPr>
          <w:p>
            <w:pPr>
              <w:spacing w:before="0" w:after="30"/>
            </w:pPr>
            <w:r>
              <w:rPr>
                <w:sz w:val="14"/>
              </w:rPr>
              <w:t>46</w:t>
            </w:r>
          </w:p>
        </w:tc>
        <w:tc>
          <w:tcPr>
            <w:tcW w:type="dxa" w:w="2050"/>
            <w:vAlign w:val="center"/>
          </w:tcPr>
          <w:p>
            <w:pPr>
              <w:spacing w:before="0" w:after="30"/>
            </w:pPr>
            <w:r>
              <w:rPr>
                <w:sz w:val="14"/>
              </w:rPr>
              <w:t>HigherIsfRangeWeightDownTT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tc>
          <w:tcPr>
            <w:tcW w:type="dxa" w:w="500"/>
            <w:vAlign w:val="center"/>
          </w:tcPr>
          <w:p>
            <w:pPr>
              <w:spacing w:before="0" w:after="30"/>
            </w:pPr>
            <w:r>
              <w:rPr>
                <w:sz w:val="14"/>
              </w:rPr>
              <w:t>47</w:t>
            </w:r>
          </w:p>
        </w:tc>
        <w:tc>
          <w:tcPr>
            <w:tcW w:type="dxa" w:w="2050"/>
            <w:vAlign w:val="center"/>
          </w:tcPr>
          <w:p>
            <w:pPr>
              <w:spacing w:before="0" w:after="30"/>
            </w:pPr>
            <w:r>
              <w:rPr>
                <w:sz w:val="14"/>
              </w:rPr>
              <w:t>HigherIsfRangeWeightUpTT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HigherIsfRangeWeightUpTT: manually setting a TT of 5.070 mmol is used as a remote +0.1 nudge on ApsAutoIsfHighBgWeight, clamped to a max of 2.0. Same pattern as HigherIsfRangeWeightDownTT above.</w:t>
            </w:r>
          </w:p>
        </w:tc>
      </w:tr>
      <w:tr>
        <w:tc>
          <w:tcPr>
            <w:tcW w:type="dxa" w:w="500"/>
            <w:vAlign w:val="center"/>
          </w:tcPr>
          <w:p>
            <w:pPr>
              <w:spacing w:before="0" w:after="30"/>
            </w:pPr>
            <w:r>
              <w:rPr>
                <w:sz w:val="14"/>
              </w:rPr>
              <w:t>48</w:t>
            </w:r>
          </w:p>
        </w:tc>
        <w:tc>
          <w:tcPr>
            <w:tcW w:type="dxa" w:w="2050"/>
            <w:vAlign w:val="center"/>
          </w:tcPr>
          <w:p>
            <w:pPr>
              <w:spacing w:before="0" w:after="30"/>
            </w:pPr>
            <w:r>
              <w:rPr>
                <w:sz w:val="14"/>
              </w:rPr>
              <w:t>LibreOffsetDownTT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tc>
          <w:tcPr>
            <w:tcW w:type="dxa" w:w="500"/>
            <w:vAlign w:val="center"/>
          </w:tcPr>
          <w:p>
            <w:pPr>
              <w:spacing w:before="0" w:after="30"/>
            </w:pPr>
            <w:r>
              <w:rPr>
                <w:sz w:val="14"/>
              </w:rPr>
              <w:t>49</w:t>
            </w:r>
          </w:p>
        </w:tc>
        <w:tc>
          <w:tcPr>
            <w:tcW w:type="dxa" w:w="2050"/>
            <w:vAlign w:val="center"/>
          </w:tcPr>
          <w:p>
            <w:pPr>
              <w:spacing w:before="0" w:after="30"/>
            </w:pPr>
            <w:r>
              <w:rPr>
                <w:sz w:val="14"/>
              </w:rPr>
              <w:t>LibreOffsetUpTT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LibreOffsetUpTT: manually setting a TT of 5.034 mmol is used as a remote +0.05 nudge on ApsAutoIsfLibreOffsetOrig, clamped to a max of 1.60. Same pattern as LibreOffsetDownTT above.</w:t>
            </w:r>
          </w:p>
        </w:tc>
      </w:tr>
      <w:tr>
        <w:tc>
          <w:tcPr>
            <w:tcW w:type="dxa" w:w="500"/>
            <w:vAlign w:val="center"/>
          </w:tcPr>
          <w:p>
            <w:pPr>
              <w:spacing w:before="0" w:after="30"/>
            </w:pPr>
            <w:r>
              <w:rPr>
                <w:sz w:val="14"/>
              </w:rPr>
              <w:t>50</w:t>
            </w:r>
          </w:p>
        </w:tc>
        <w:tc>
          <w:tcPr>
            <w:tcW w:type="dxa" w:w="2050"/>
            <w:vAlign w:val="center"/>
          </w:tcPr>
          <w:p>
            <w:pPr>
              <w:spacing w:before="0" w:after="30"/>
            </w:pPr>
            <w:r>
              <w:rPr>
                <w:sz w:val="14"/>
              </w:rPr>
              <w:t>LibreUkf1ToggleTT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tc>
          <w:tcPr>
            <w:tcW w:type="dxa" w:w="500"/>
            <w:vAlign w:val="center"/>
          </w:tcPr>
          <w:p>
            <w:pPr>
              <w:spacing w:before="0" w:after="30"/>
            </w:pPr>
            <w:r>
              <w:rPr>
                <w:sz w:val="14"/>
              </w:rPr>
              <w:t>51</w:t>
            </w:r>
          </w:p>
        </w:tc>
        <w:tc>
          <w:tcPr>
            <w:tcW w:type="dxa" w:w="2050"/>
            <w:vAlign w:val="center"/>
          </w:tcPr>
          <w:p>
            <w:pPr>
              <w:spacing w:before="0" w:after="30"/>
            </w:pPr>
            <w:r>
              <w:rPr>
                <w:sz w:val="14"/>
              </w:rPr>
              <w:t>LibreUkf2ToggleTT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tc>
          <w:tcPr>
            <w:tcW w:type="dxa" w:w="500"/>
            <w:vAlign w:val="center"/>
          </w:tcPr>
          <w:p>
            <w:pPr>
              <w:spacing w:before="0" w:after="30"/>
            </w:pPr>
            <w:r>
              <w:rPr>
                <w:sz w:val="14"/>
              </w:rPr>
              <w:t>52</w:t>
            </w:r>
          </w:p>
        </w:tc>
        <w:tc>
          <w:tcPr>
            <w:tcW w:type="dxa" w:w="2050"/>
            <w:vAlign w:val="center"/>
          </w:tcPr>
          <w:p>
            <w:pPr>
              <w:spacing w:before="0" w:after="30"/>
            </w:pPr>
            <w:r>
              <w:rPr>
                <w:sz w:val="14"/>
              </w:rPr>
              <w:t>LibreSlopeDownTT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tc>
          <w:tcPr>
            <w:tcW w:type="dxa" w:w="500"/>
            <w:vAlign w:val="center"/>
          </w:tcPr>
          <w:p>
            <w:pPr>
              <w:spacing w:before="0" w:after="30"/>
            </w:pPr>
            <w:r>
              <w:rPr>
                <w:sz w:val="14"/>
              </w:rPr>
              <w:t>53</w:t>
            </w:r>
          </w:p>
        </w:tc>
        <w:tc>
          <w:tcPr>
            <w:tcW w:type="dxa" w:w="2050"/>
            <w:vAlign w:val="center"/>
          </w:tcPr>
          <w:p>
            <w:pPr>
              <w:spacing w:before="0" w:after="30"/>
            </w:pPr>
            <w:r>
              <w:rPr>
                <w:sz w:val="14"/>
              </w:rPr>
              <w:t>LibreSlopeUpTT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LibreSlopeUpTT: manually setting a TT of 5.028 mmol is used as a remote +0.01 nudge on ApsAutoIsfLibreSlopeOrig, clamped to a max of 1.00. Same pattern as LibreSlopeDownTT above.</w:t>
            </w:r>
          </w:p>
        </w:tc>
      </w:tr>
      <w:tr>
        <w:tc>
          <w:tcPr>
            <w:tcW w:type="dxa" w:w="500"/>
            <w:vAlign w:val="center"/>
          </w:tcPr>
          <w:p>
            <w:pPr>
              <w:spacing w:before="0" w:after="30"/>
            </w:pPr>
            <w:r>
              <w:rPr>
                <w:sz w:val="14"/>
              </w:rPr>
              <w:t>54</w:t>
            </w:r>
          </w:p>
        </w:tc>
        <w:tc>
          <w:tcPr>
            <w:tcW w:type="dxa" w:w="2050"/>
            <w:vAlign w:val="center"/>
          </w:tcPr>
          <w:p>
            <w:pPr>
              <w:spacing w:before="0" w:after="30"/>
            </w:pPr>
            <w:r>
              <w:rPr>
                <w:sz w:val="14"/>
              </w:rPr>
              <w:t>MJ2old</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MJ2 old: advances MJ state from "MJ active" → MJ2 at 02:10–03:10 AM</w:t>
            </w:r>
          </w:p>
        </w:tc>
      </w:tr>
      <w:tr>
        <w:tc>
          <w:tcPr>
            <w:tcW w:type="dxa" w:w="500"/>
            <w:vAlign w:val="center"/>
          </w:tcPr>
          <w:p>
            <w:pPr>
              <w:spacing w:before="0" w:after="30"/>
            </w:pPr>
            <w:r>
              <w:rPr>
                <w:sz w:val="14"/>
              </w:rPr>
              <w:t>55</w:t>
            </w:r>
          </w:p>
        </w:tc>
        <w:tc>
          <w:tcPr>
            <w:tcW w:type="dxa" w:w="2050"/>
            <w:vAlign w:val="center"/>
          </w:tcPr>
          <w:p>
            <w:pPr>
              <w:spacing w:before="0" w:after="30"/>
            </w:pPr>
            <w:r>
              <w:rPr>
                <w:sz w:val="14"/>
              </w:rPr>
              <w:t>MJ3old</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MJ3 old: advances MJ state from MJ2 → MJ3 at 01:05–02:05 AM</w:t>
            </w:r>
          </w:p>
        </w:tc>
      </w:tr>
      <w:tr>
        <w:tc>
          <w:tcPr>
            <w:tcW w:type="dxa" w:w="500"/>
            <w:vAlign w:val="center"/>
          </w:tcPr>
          <w:p>
            <w:pPr>
              <w:spacing w:before="0" w:after="30"/>
            </w:pPr>
            <w:r>
              <w:rPr>
                <w:sz w:val="14"/>
              </w:rPr>
              <w:t>56</w:t>
            </w:r>
          </w:p>
        </w:tc>
        <w:tc>
          <w:tcPr>
            <w:tcW w:type="dxa" w:w="2050"/>
            <w:vAlign w:val="center"/>
          </w:tcPr>
          <w:p>
            <w:pPr>
              <w:spacing w:before="0" w:after="30"/>
            </w:pPr>
            <w:r>
              <w:rPr>
                <w:sz w:val="14"/>
              </w:rPr>
              <w:t>MJ4</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 automation (MJ=MJ4). Self-guarding: state change prevents re-fire. 5-min floor throttle (see readyToRun() usage note near its declaration).</w:t>
            </w:r>
          </w:p>
        </w:tc>
      </w:tr>
      <w:tr>
        <w:tc>
          <w:tcPr>
            <w:tcW w:type="dxa" w:w="500"/>
            <w:vAlign w:val="center"/>
          </w:tcPr>
          <w:p>
            <w:pPr>
              <w:spacing w:before="0" w:after="30"/>
            </w:pPr>
            <w:r>
              <w:rPr>
                <w:sz w:val="14"/>
              </w:rPr>
              <w:t>57</w:t>
            </w:r>
          </w:p>
        </w:tc>
        <w:tc>
          <w:tcPr>
            <w:tcW w:type="dxa" w:w="2050"/>
            <w:vAlign w:val="center"/>
          </w:tcPr>
          <w:p>
            <w:pPr>
              <w:spacing w:before="0" w:after="30"/>
            </w:pPr>
            <w:r>
              <w:rPr>
                <w:sz w:val="14"/>
              </w:rPr>
              <w:t>MJ5</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"Test2" automation (MJ=MJ5): also switches to Current ProfileReal for 30 min.</w:t>
            </w:r>
          </w:p>
        </w:tc>
      </w:tr>
      <w:tr>
        <w:tc>
          <w:tcPr>
            <w:tcW w:type="dxa" w:w="500"/>
            <w:vAlign w:val="center"/>
          </w:tcPr>
          <w:p>
            <w:pPr>
              <w:spacing w:before="0" w:after="30"/>
            </w:pPr>
            <w:r>
              <w:rPr>
                <w:sz w:val="14"/>
              </w:rPr>
              <w:t>58</w:t>
            </w:r>
          </w:p>
        </w:tc>
        <w:tc>
          <w:tcPr>
            <w:tcW w:type="dxa" w:w="2050"/>
            <w:vAlign w:val="center"/>
          </w:tcPr>
          <w:p>
            <w:pPr>
              <w:spacing w:before="0" w:after="30"/>
            </w:pPr>
            <w:r>
              <w:rPr>
                <w:sz w:val="14"/>
              </w:rPr>
              <w:t>MJoff</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MJoff old: exits MJ cycle when MJ3 active Block 1: 12:00–21:04 with BGL &gt;= 10.5 mmol. Block 2: midnight 00:00–01:00.</w:t>
            </w:r>
          </w:p>
        </w:tc>
      </w:tr>
      <w:tr>
        <w:tc>
          <w:tcPr>
            <w:tcW w:type="dxa" w:w="500"/>
            <w:vAlign w:val="center"/>
          </w:tcPr>
          <w:p>
            <w:pPr>
              <w:spacing w:before="0" w:after="30"/>
            </w:pPr>
            <w:r>
              <w:rPr>
                <w:sz w:val="14"/>
              </w:rPr>
              <w:t>59</w:t>
            </w:r>
          </w:p>
        </w:tc>
        <w:tc>
          <w:tcPr>
            <w:tcW w:type="dxa" w:w="2050"/>
            <w:vAlign w:val="center"/>
          </w:tcPr>
          <w:p>
            <w:pPr>
              <w:spacing w:before="0" w:after="30"/>
            </w:pPr>
            <w:r>
              <w:rPr>
                <w:sz w:val="14"/>
              </w:rPr>
              <w:t>MJrecentCurrProfAcce</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tc>
          <w:tcPr>
            <w:tcW w:type="dxa" w:w="500"/>
            <w:vAlign w:val="center"/>
          </w:tcPr>
          <w:p>
            <w:pPr>
              <w:spacing w:before="0" w:after="30"/>
            </w:pPr>
            <w:r>
              <w:rPr>
                <w:sz w:val="14"/>
              </w:rPr>
              <w:t>60</w:t>
            </w:r>
          </w:p>
        </w:tc>
        <w:tc>
          <w:tcPr>
            <w:tcW w:type="dxa" w:w="2050"/>
            <w:vAlign w:val="center"/>
          </w:tcPr>
          <w:p>
            <w:pPr>
              <w:spacing w:before="0" w:after="30"/>
            </w:pPr>
            <w:r>
              <w:rPr>
                <w:sz w:val="14"/>
              </w:rPr>
              <w:t>MildBoostDownTT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tc>
          <w:tcPr>
            <w:tcW w:type="dxa" w:w="500"/>
            <w:vAlign w:val="center"/>
          </w:tcPr>
          <w:p>
            <w:pPr>
              <w:spacing w:before="0" w:after="30"/>
            </w:pPr>
            <w:r>
              <w:rPr>
                <w:sz w:val="14"/>
              </w:rPr>
              <w:t>61</w:t>
            </w:r>
          </w:p>
        </w:tc>
        <w:tc>
          <w:tcPr>
            <w:tcW w:type="dxa" w:w="2050"/>
            <w:vAlign w:val="center"/>
          </w:tcPr>
          <w:p>
            <w:pPr>
              <w:spacing w:before="0" w:after="30"/>
            </w:pPr>
            <w:r>
              <w:rPr>
                <w:sz w:val="14"/>
              </w:rPr>
              <w:t>MildBoostUpTT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MildBoostUpTT: manually setting a TT of 5.054 mmol is used as a remote +0.01 nudge on ApsAutoIsfMildBoostRatio alone, clamped to its own max of 0.5. Same pattern as MildBoostDownTT above.</w:t>
            </w:r>
          </w:p>
        </w:tc>
      </w:tr>
      <w:tr>
        <w:tc>
          <w:tcPr>
            <w:tcW w:type="dxa" w:w="500"/>
            <w:vAlign w:val="center"/>
          </w:tcPr>
          <w:p>
            <w:pPr>
              <w:spacing w:before="0" w:after="30"/>
            </w:pPr>
            <w:r>
              <w:rPr>
                <w:sz w:val="14"/>
              </w:rPr>
              <w:t>62</w:t>
            </w:r>
          </w:p>
        </w:tc>
        <w:tc>
          <w:tcPr>
            <w:tcW w:type="dxa" w:w="2050"/>
            <w:vAlign w:val="center"/>
          </w:tcPr>
          <w:p>
            <w:pPr>
              <w:spacing w:before="0" w:after="30"/>
            </w:pPr>
            <w:r>
              <w:rPr>
                <w:sz w:val="14"/>
              </w:rPr>
              <w:t>MoreMJ</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tc>
          <w:tcPr>
            <w:tcW w:type="dxa" w:w="500"/>
            <w:vAlign w:val="center"/>
          </w:tcPr>
          <w:p>
            <w:pPr>
              <w:spacing w:before="0" w:after="30"/>
            </w:pPr>
            <w:r>
              <w:rPr>
                <w:sz w:val="14"/>
              </w:rPr>
              <w:t>63</w:t>
            </w:r>
          </w:p>
        </w:tc>
        <w:tc>
          <w:tcPr>
            <w:tcW w:type="dxa" w:w="2050"/>
            <w:vAlign w:val="center"/>
          </w:tcPr>
          <w:p>
            <w:pPr>
              <w:spacing w:before="0" w:after="30"/>
            </w:pPr>
            <w:r>
              <w:rPr>
                <w:sz w:val="14"/>
              </w:rPr>
              <w:t>NightAcce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tc>
          <w:tcPr>
            <w:tcW w:type="dxa" w:w="500"/>
            <w:vAlign w:val="center"/>
          </w:tcPr>
          <w:p>
            <w:pPr>
              <w:spacing w:before="0" w:after="30"/>
            </w:pPr>
            <w:r>
              <w:rPr>
                <w:sz w:val="14"/>
              </w:rPr>
              <w:t>64</w:t>
            </w:r>
          </w:p>
        </w:tc>
        <w:tc>
          <w:tcPr>
            <w:tcW w:type="dxa" w:w="2050"/>
            <w:vAlign w:val="center"/>
          </w:tcPr>
          <w:p>
            <w:pPr>
              <w:spacing w:before="0" w:after="30"/>
            </w:pPr>
            <w:r>
              <w:rPr>
                <w:sz w:val="14"/>
              </w:rPr>
              <w:t>Not50Recently</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Not50%Recently: clears 50recent flag once profile is back at 100% and BGL rising</w:t>
            </w:r>
          </w:p>
        </w:tc>
      </w:tr>
      <w:tr>
        <w:tc>
          <w:tcPr>
            <w:tcW w:type="dxa" w:w="500"/>
            <w:vAlign w:val="center"/>
          </w:tcPr>
          <w:p>
            <w:pPr>
              <w:spacing w:before="0" w:after="30"/>
            </w:pPr>
            <w:r>
              <w:rPr>
                <w:sz w:val="14"/>
              </w:rPr>
              <w:t>65</w:t>
            </w:r>
          </w:p>
        </w:tc>
        <w:tc>
          <w:tcPr>
            <w:tcW w:type="dxa" w:w="2050"/>
            <w:vAlign w:val="center"/>
          </w:tcPr>
          <w:p>
            <w:pPr>
              <w:spacing w:before="0" w:after="30"/>
            </w:pPr>
            <w:r>
              <w:rPr>
                <w:sz w:val="14"/>
              </w:rPr>
              <w:t>OffHighProf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tc>
          <w:tcPr>
            <w:tcW w:type="dxa" w:w="500"/>
            <w:vAlign w:val="center"/>
          </w:tcPr>
          <w:p>
            <w:pPr>
              <w:spacing w:before="0" w:after="30"/>
            </w:pPr>
            <w:r>
              <w:rPr>
                <w:sz w:val="14"/>
              </w:rPr>
              <w:t>66</w:t>
            </w:r>
          </w:p>
        </w:tc>
        <w:tc>
          <w:tcPr>
            <w:tcW w:type="dxa" w:w="2050"/>
            <w:vAlign w:val="center"/>
          </w:tcPr>
          <w:p>
            <w:pPr>
              <w:spacing w:before="0" w:after="30"/>
            </w:pPr>
            <w:r>
              <w:rPr>
                <w:sz w:val="14"/>
              </w:rPr>
              <w:t>OldPod2</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tc>
          <w:tcPr>
            <w:tcW w:type="dxa" w:w="500"/>
            <w:vAlign w:val="center"/>
          </w:tcPr>
          <w:p>
            <w:pPr>
              <w:spacing w:before="0" w:after="30"/>
            </w:pPr>
            <w:r>
              <w:rPr>
                <w:sz w:val="14"/>
              </w:rPr>
              <w:t>67</w:t>
            </w:r>
          </w:p>
        </w:tc>
        <w:tc>
          <w:tcPr>
            <w:tcW w:type="dxa" w:w="2050"/>
            <w:vAlign w:val="center"/>
          </w:tcPr>
          <w:p>
            <w:pPr>
              <w:spacing w:before="0" w:after="30"/>
            </w:pPr>
            <w:r>
              <w:rPr>
                <w:sz w:val="14"/>
              </w:rPr>
              <w:t>PP50Off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tc>
          <w:tcPr>
            <w:tcW w:type="dxa" w:w="500"/>
            <w:vAlign w:val="center"/>
          </w:tcPr>
          <w:p>
            <w:pPr>
              <w:spacing w:before="0" w:after="30"/>
            </w:pPr>
            <w:r>
              <w:rPr>
                <w:sz w:val="14"/>
              </w:rPr>
              <w:t>68</w:t>
            </w:r>
          </w:p>
        </w:tc>
        <w:tc>
          <w:tcPr>
            <w:tcW w:type="dxa" w:w="2050"/>
            <w:vAlign w:val="center"/>
          </w:tcPr>
          <w:p>
            <w:pPr>
              <w:spacing w:before="0" w:after="30"/>
            </w:pPr>
            <w:r>
              <w:rPr>
                <w:sz w:val="14"/>
              </w:rPr>
              <w:t>PeakInsulinTimeDownTT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tc>
          <w:tcPr>
            <w:tcW w:type="dxa" w:w="500"/>
            <w:vAlign w:val="center"/>
          </w:tcPr>
          <w:p>
            <w:pPr>
              <w:spacing w:before="0" w:after="30"/>
            </w:pPr>
            <w:r>
              <w:rPr>
                <w:sz w:val="14"/>
              </w:rPr>
              <w:t>69</w:t>
            </w:r>
          </w:p>
        </w:tc>
        <w:tc>
          <w:tcPr>
            <w:tcW w:type="dxa" w:w="2050"/>
            <w:vAlign w:val="center"/>
          </w:tcPr>
          <w:p>
            <w:pPr>
              <w:spacing w:before="0" w:after="30"/>
            </w:pPr>
            <w:r>
              <w:rPr>
                <w:sz w:val="14"/>
              </w:rPr>
              <w:t>PeakInsulinTimeUpTT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PeakInsulinTimeUpTT: manually setting a TT of 5.076 mmol is used as a remote +5 nudge on InsulinOrefPeak, clamped to its own max (120). Same pattern as PeakInsulinTimeDownTT above.</w:t>
            </w:r>
          </w:p>
        </w:tc>
      </w:tr>
      <w:tr>
        <w:tc>
          <w:tcPr>
            <w:tcW w:type="dxa" w:w="500"/>
            <w:vAlign w:val="center"/>
          </w:tcPr>
          <w:p>
            <w:pPr>
              <w:spacing w:before="0" w:after="30"/>
            </w:pPr>
            <w:r>
              <w:rPr>
                <w:sz w:val="14"/>
              </w:rPr>
              <w:t>70</w:t>
            </w:r>
          </w:p>
        </w:tc>
        <w:tc>
          <w:tcPr>
            <w:tcW w:type="dxa" w:w="2050"/>
            <w:vAlign w:val="center"/>
          </w:tcPr>
          <w:p>
            <w:pPr>
              <w:spacing w:before="0" w:after="30"/>
            </w:pPr>
            <w:r>
              <w:rPr>
                <w:sz w:val="14"/>
              </w:rPr>
              <w:t>Pod1</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tc>
          <w:tcPr>
            <w:tcW w:type="dxa" w:w="500"/>
            <w:vAlign w:val="center"/>
          </w:tcPr>
          <w:p>
            <w:pPr>
              <w:spacing w:before="0" w:after="30"/>
            </w:pPr>
            <w:r>
              <w:rPr>
                <w:sz w:val="14"/>
              </w:rPr>
              <w:t>71</w:t>
            </w:r>
          </w:p>
        </w:tc>
        <w:tc>
          <w:tcPr>
            <w:tcW w:type="dxa" w:w="2050"/>
            <w:vAlign w:val="center"/>
          </w:tcPr>
          <w:p>
            <w:pPr>
              <w:spacing w:before="0" w:after="30"/>
            </w:pPr>
            <w:r>
              <w:rPr>
                <w:sz w:val="14"/>
              </w:rPr>
              <w:t>Pod2</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 78 hours": narrow ~0.1h match window during 08:00 AM-11:59 PM, permanently switches to Current ProfileReal and flags Profile state PP130. Live-pump-only, matching the original's note.</w:t>
            </w:r>
          </w:p>
        </w:tc>
      </w:tr>
      <w:tr>
        <w:tc>
          <w:tcPr>
            <w:tcW w:type="dxa" w:w="500"/>
            <w:vAlign w:val="center"/>
          </w:tcPr>
          <w:p>
            <w:pPr>
              <w:spacing w:before="0" w:after="30"/>
            </w:pPr>
            <w:r>
              <w:rPr>
                <w:sz w:val="14"/>
              </w:rPr>
              <w:t>72</w:t>
            </w:r>
          </w:p>
        </w:tc>
        <w:tc>
          <w:tcPr>
            <w:tcW w:type="dxa" w:w="2050"/>
            <w:vAlign w:val="center"/>
          </w:tcPr>
          <w:p>
            <w:pPr>
              <w:spacing w:before="0" w:after="30"/>
            </w:pPr>
            <w:r>
              <w:rPr>
                <w:sz w:val="14"/>
              </w:rPr>
              <w:t>PodChangeHighPP130</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tc>
          <w:tcPr>
            <w:tcW w:type="dxa" w:w="500"/>
            <w:vAlign w:val="center"/>
          </w:tcPr>
          <w:p>
            <w:pPr>
              <w:spacing w:before="0" w:after="30"/>
            </w:pPr>
            <w:r>
              <w:rPr>
                <w:sz w:val="14"/>
              </w:rPr>
              <w:t>73</w:t>
            </w:r>
          </w:p>
        </w:tc>
        <w:tc>
          <w:tcPr>
            <w:tcW w:type="dxa" w:w="2050"/>
            <w:vAlign w:val="center"/>
          </w:tcPr>
          <w:p>
            <w:pPr>
              <w:spacing w:before="0" w:after="30"/>
            </w:pPr>
            <w:r>
              <w:rPr>
                <w:sz w:val="14"/>
              </w:rPr>
              <w:t>PpWeightDownTT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tc>
          <w:tcPr>
            <w:tcW w:type="dxa" w:w="500"/>
            <w:vAlign w:val="center"/>
          </w:tcPr>
          <w:p>
            <w:pPr>
              <w:spacing w:before="0" w:after="30"/>
            </w:pPr>
            <w:r>
              <w:rPr>
                <w:sz w:val="14"/>
              </w:rPr>
              <w:t>74</w:t>
            </w:r>
          </w:p>
        </w:tc>
        <w:tc>
          <w:tcPr>
            <w:tcW w:type="dxa" w:w="2050"/>
            <w:vAlign w:val="center"/>
          </w:tcPr>
          <w:p>
            <w:pPr>
              <w:spacing w:before="0" w:after="30"/>
            </w:pPr>
            <w:r>
              <w:rPr>
                <w:sz w:val="14"/>
              </w:rPr>
              <w:t>PpWeightHighDownTT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tc>
          <w:tcPr>
            <w:tcW w:type="dxa" w:w="500"/>
            <w:vAlign w:val="center"/>
          </w:tcPr>
          <w:p>
            <w:pPr>
              <w:spacing w:before="0" w:after="30"/>
            </w:pPr>
            <w:r>
              <w:rPr>
                <w:sz w:val="14"/>
              </w:rPr>
              <w:t>75</w:t>
            </w:r>
          </w:p>
        </w:tc>
        <w:tc>
          <w:tcPr>
            <w:tcW w:type="dxa" w:w="2050"/>
            <w:vAlign w:val="center"/>
          </w:tcPr>
          <w:p>
            <w:pPr>
              <w:spacing w:before="0" w:after="30"/>
            </w:pPr>
            <w:r>
              <w:rPr>
                <w:sz w:val="14"/>
              </w:rPr>
              <w:t>PpWeightHighUpTT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PpWeightHighUpTT: manually setting a TT of 5.058 mmol is used as a remote +0.01 nudge on ApsAutoIsfPpWeightHigh, clamped to its own max (0.15). Same pattern as PpWeightHighDownTT above.</w:t>
            </w:r>
          </w:p>
        </w:tc>
      </w:tr>
      <w:tr>
        <w:tc>
          <w:tcPr>
            <w:tcW w:type="dxa" w:w="500"/>
            <w:vAlign w:val="center"/>
          </w:tcPr>
          <w:p>
            <w:pPr>
              <w:spacing w:before="0" w:after="30"/>
            </w:pPr>
            <w:r>
              <w:rPr>
                <w:sz w:val="14"/>
              </w:rPr>
              <w:t>76</w:t>
            </w:r>
          </w:p>
        </w:tc>
        <w:tc>
          <w:tcPr>
            <w:tcW w:type="dxa" w:w="2050"/>
            <w:vAlign w:val="center"/>
          </w:tcPr>
          <w:p>
            <w:pPr>
              <w:spacing w:before="0" w:after="30"/>
            </w:pPr>
            <w:r>
              <w:rPr>
                <w:sz w:val="14"/>
              </w:rPr>
              <w:t>PpWeightRevertUnder8_5</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tc>
          <w:tcPr>
            <w:tcW w:type="dxa" w:w="500"/>
            <w:vAlign w:val="center"/>
          </w:tcPr>
          <w:p>
            <w:pPr>
              <w:spacing w:before="0" w:after="30"/>
            </w:pPr>
            <w:r>
              <w:rPr>
                <w:sz w:val="14"/>
              </w:rPr>
              <w:t>77</w:t>
            </w:r>
          </w:p>
        </w:tc>
        <w:tc>
          <w:tcPr>
            <w:tcW w:type="dxa" w:w="2050"/>
            <w:vAlign w:val="center"/>
          </w:tcPr>
          <w:p>
            <w:pPr>
              <w:spacing w:before="0" w:after="30"/>
            </w:pPr>
            <w:r>
              <w:rPr>
                <w:sz w:val="14"/>
              </w:rPr>
              <w:t>PpWeightUpTT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PpWeightUpTT: manually setting a TT of 5.14 mmol is used as a remote +0.01 nudge on ApsAutoIsfPpWeightNormal, clamped to its own max (0.15). Same pattern as PpWeightDownTT above.</w:t>
            </w:r>
          </w:p>
        </w:tc>
      </w:tr>
      <w:tr>
        <w:tc>
          <w:tcPr>
            <w:tcW w:type="dxa" w:w="500"/>
            <w:vAlign w:val="center"/>
          </w:tcPr>
          <w:p>
            <w:pPr>
              <w:spacing w:before="0" w:after="30"/>
            </w:pPr>
            <w:r>
              <w:rPr>
                <w:sz w:val="14"/>
              </w:rPr>
              <w:t>78</w:t>
            </w:r>
          </w:p>
        </w:tc>
        <w:tc>
          <w:tcPr>
            <w:tcW w:type="dxa" w:w="2050"/>
            <w:vAlign w:val="center"/>
          </w:tcPr>
          <w:p>
            <w:pPr>
              <w:spacing w:before="0" w:after="30"/>
            </w:pPr>
            <w:r>
              <w:rPr>
                <w:sz w:val="14"/>
              </w:rPr>
              <w:t>PreSoakSensor24hrs</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tc>
          <w:tcPr>
            <w:tcW w:type="dxa" w:w="500"/>
            <w:vAlign w:val="center"/>
          </w:tcPr>
          <w:p>
            <w:pPr>
              <w:spacing w:before="0" w:after="30"/>
            </w:pPr>
            <w:r>
              <w:rPr>
                <w:sz w:val="14"/>
              </w:rPr>
              <w:t>79</w:t>
            </w:r>
          </w:p>
        </w:tc>
        <w:tc>
          <w:tcPr>
            <w:tcW w:type="dxa" w:w="2050"/>
            <w:vAlign w:val="center"/>
          </w:tcPr>
          <w:p>
            <w:pPr>
              <w:spacing w:before="0" w:after="30"/>
            </w:pPr>
            <w:r>
              <w:rPr>
                <w:sz w:val="14"/>
              </w:rPr>
              <w:t>PrepareSet50</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tc>
          <w:tcPr>
            <w:tcW w:type="dxa" w:w="500"/>
            <w:vAlign w:val="center"/>
          </w:tcPr>
          <w:p>
            <w:pPr>
              <w:spacing w:before="0" w:after="30"/>
            </w:pPr>
            <w:r>
              <w:rPr>
                <w:sz w:val="14"/>
              </w:rPr>
              <w:t>80</w:t>
            </w:r>
          </w:p>
        </w:tc>
        <w:tc>
          <w:tcPr>
            <w:tcW w:type="dxa" w:w="2050"/>
            <w:vAlign w:val="center"/>
          </w:tcPr>
          <w:p>
            <w:pPr>
              <w:spacing w:before="0" w:after="30"/>
            </w:pPr>
            <w:r>
              <w:rPr>
                <w:sz w:val="14"/>
              </w:rPr>
              <w:t>RecentPod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tc>
          <w:tcPr>
            <w:tcW w:type="dxa" w:w="500"/>
            <w:vAlign w:val="center"/>
          </w:tcPr>
          <w:p>
            <w:pPr>
              <w:spacing w:before="0" w:after="30"/>
            </w:pPr>
            <w:r>
              <w:rPr>
                <w:sz w:val="14"/>
              </w:rPr>
              <w:t>81</w:t>
            </w:r>
          </w:p>
        </w:tc>
        <w:tc>
          <w:tcPr>
            <w:tcW w:type="dxa" w:w="2050"/>
            <w:vAlign w:val="center"/>
          </w:tcPr>
          <w:p>
            <w:pPr>
              <w:spacing w:before="0" w:after="30"/>
            </w:pPr>
            <w:r>
              <w:rPr>
                <w:sz w:val="14"/>
              </w:rPr>
              <w:t>RecentPodOff</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tc>
          <w:tcPr>
            <w:tcW w:type="dxa" w:w="500"/>
            <w:vAlign w:val="center"/>
          </w:tcPr>
          <w:p>
            <w:pPr>
              <w:spacing w:before="0" w:after="30"/>
            </w:pPr>
            <w:r>
              <w:rPr>
                <w:sz w:val="14"/>
              </w:rPr>
              <w:t>82</w:t>
            </w:r>
          </w:p>
        </w:tc>
        <w:tc>
          <w:tcPr>
            <w:tcW w:type="dxa" w:w="2050"/>
            <w:vAlign w:val="center"/>
          </w:tcPr>
          <w:p>
            <w:pPr>
              <w:spacing w:before="0" w:after="30"/>
            </w:pPr>
            <w:r>
              <w:rPr>
                <w:sz w:val="14"/>
              </w:rPr>
              <w:t>SemiTwilightAcce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tc>
          <w:tcPr>
            <w:tcW w:type="dxa" w:w="500"/>
            <w:vAlign w:val="center"/>
          </w:tcPr>
          <w:p>
            <w:pPr>
              <w:spacing w:before="0" w:after="30"/>
            </w:pPr>
            <w:r>
              <w:rPr>
                <w:sz w:val="14"/>
              </w:rPr>
              <w:t>83</w:t>
            </w:r>
          </w:p>
        </w:tc>
        <w:tc>
          <w:tcPr>
            <w:tcW w:type="dxa" w:w="2050"/>
            <w:vAlign w:val="center"/>
          </w:tcPr>
          <w:p>
            <w:pPr>
              <w:spacing w:before="0" w:after="30"/>
            </w:pPr>
            <w:r>
              <w:rPr>
                <w:sz w:val="14"/>
              </w:rPr>
              <w:t>SensorAgeCodeToggleTT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w:t>
            </w:r>
          </w:p>
        </w:tc>
      </w:tr>
      <w:tr>
        <w:tc>
          <w:tcPr>
            <w:tcW w:type="dxa" w:w="500"/>
            <w:vAlign w:val="center"/>
          </w:tcPr>
          <w:p>
            <w:pPr>
              <w:spacing w:before="0" w:after="30"/>
            </w:pPr>
            <w:r>
              <w:rPr>
                <w:sz w:val="14"/>
              </w:rPr>
              <w:t>84</w:t>
            </w:r>
          </w:p>
        </w:tc>
        <w:tc>
          <w:tcPr>
            <w:tcW w:type="dxa" w:w="2050"/>
            <w:vAlign w:val="center"/>
          </w:tcPr>
          <w:p>
            <w:pPr>
              <w:spacing w:before="0" w:after="30"/>
            </w:pPr>
            <w:r>
              <w:rPr>
                <w:sz w:val="14"/>
              </w:rPr>
              <w:t>SensorAgeToggleTT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tc>
          <w:tcPr>
            <w:tcW w:type="dxa" w:w="500"/>
            <w:vAlign w:val="center"/>
          </w:tcPr>
          <w:p>
            <w:pPr>
              <w:spacing w:before="0" w:after="30"/>
            </w:pPr>
            <w:r>
              <w:rPr>
                <w:sz w:val="14"/>
              </w:rPr>
              <w:t>85</w:t>
            </w:r>
          </w:p>
        </w:tc>
        <w:tc>
          <w:tcPr>
            <w:tcW w:type="dxa" w:w="2050"/>
            <w:vAlign w:val="center"/>
          </w:tcPr>
          <w:p>
            <w:pPr>
              <w:spacing w:before="0" w:after="30"/>
            </w:pPr>
            <w:r>
              <w:rPr>
                <w:sz w:val="14"/>
              </w:rPr>
              <w:t>SensorS1hr</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"SENSOR at 14.9 days": narrow ~0.1h match window, gated on cannula age &lt;=80h. Live-pump-only, matching the original's note.</w:t>
            </w:r>
          </w:p>
        </w:tc>
      </w:tr>
      <w:tr>
        <w:tc>
          <w:tcPr>
            <w:tcW w:type="dxa" w:w="500"/>
            <w:vAlign w:val="center"/>
          </w:tcPr>
          <w:p>
            <w:pPr>
              <w:spacing w:before="0" w:after="30"/>
            </w:pPr>
            <w:r>
              <w:rPr>
                <w:sz w:val="14"/>
              </w:rPr>
              <w:t>86</w:t>
            </w:r>
          </w:p>
        </w:tc>
        <w:tc>
          <w:tcPr>
            <w:tcW w:type="dxa" w:w="2050"/>
            <w:vAlign w:val="center"/>
          </w:tcPr>
          <w:p>
            <w:pPr>
              <w:spacing w:before="0" w:after="30"/>
            </w:pPr>
            <w:r>
              <w:rPr>
                <w:sz w:val="14"/>
              </w:rPr>
              <w:t>SensorS2hr</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"SENSOR at 14 days 22 hours due": narrow ~0.1h match window, gated on cannula age &lt;=80h. Live-pump-only, matching the original's note.</w:t>
            </w:r>
          </w:p>
        </w:tc>
      </w:tr>
      <w:tr>
        <w:tc>
          <w:tcPr>
            <w:tcW w:type="dxa" w:w="500"/>
            <w:vAlign w:val="center"/>
          </w:tcPr>
          <w:p>
            <w:pPr>
              <w:spacing w:before="0" w:after="30"/>
            </w:pPr>
            <w:r>
              <w:rPr>
                <w:sz w:val="14"/>
              </w:rPr>
              <w:t>87</w:t>
            </w:r>
          </w:p>
        </w:tc>
        <w:tc>
          <w:tcPr>
            <w:tcW w:type="dxa" w:w="2050"/>
            <w:vAlign w:val="center"/>
          </w:tcPr>
          <w:p>
            <w:pPr>
              <w:spacing w:before="0" w:after="30"/>
            </w:pPr>
            <w:r>
              <w:rPr>
                <w:sz w:val="14"/>
              </w:rPr>
              <w:t>Shower12</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Shower12: drops iobTH to 12% during quiet morning rise (no steps, no COB, long post-bolus) 5-min floor throttle added on top of the preconditions (see readyToRun() usage note).</w:t>
            </w:r>
          </w:p>
        </w:tc>
      </w:tr>
      <w:tr>
        <w:tc>
          <w:tcPr>
            <w:tcW w:type="dxa" w:w="500"/>
            <w:vAlign w:val="center"/>
          </w:tcPr>
          <w:p>
            <w:pPr>
              <w:spacing w:before="0" w:after="30"/>
            </w:pPr>
            <w:r>
              <w:rPr>
                <w:sz w:val="14"/>
              </w:rPr>
              <w:t>88</w:t>
            </w:r>
          </w:p>
        </w:tc>
        <w:tc>
          <w:tcPr>
            <w:tcW w:type="dxa" w:w="2050"/>
            <w:vAlign w:val="center"/>
          </w:tcPr>
          <w:p>
            <w:pPr>
              <w:spacing w:before="0" w:after="30"/>
            </w:pPr>
            <w:r>
              <w:rPr>
                <w:sz w:val="14"/>
              </w:rPr>
              <w:t>SkittlesHypoRisk</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tc>
          <w:tcPr>
            <w:tcW w:type="dxa" w:w="500"/>
            <w:vAlign w:val="center"/>
          </w:tcPr>
          <w:p>
            <w:pPr>
              <w:spacing w:before="0" w:after="30"/>
            </w:pPr>
            <w:r>
              <w:rPr>
                <w:sz w:val="14"/>
              </w:rPr>
              <w:t>89</w:t>
            </w:r>
          </w:p>
        </w:tc>
        <w:tc>
          <w:tcPr>
            <w:tcW w:type="dxa" w:w="2050"/>
            <w:vAlign w:val="center"/>
          </w:tcPr>
          <w:p>
            <w:pPr>
              <w:spacing w:before="0" w:after="30"/>
            </w:pPr>
            <w:r>
              <w:rPr>
                <w:sz w:val="14"/>
              </w:rPr>
              <w:t>SmbDeliveryDownTT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tc>
          <w:tcPr>
            <w:tcW w:type="dxa" w:w="500"/>
            <w:vAlign w:val="center"/>
          </w:tcPr>
          <w:p>
            <w:pPr>
              <w:spacing w:before="0" w:after="30"/>
            </w:pPr>
            <w:r>
              <w:rPr>
                <w:sz w:val="14"/>
              </w:rPr>
              <w:t>90</w:t>
            </w:r>
          </w:p>
        </w:tc>
        <w:tc>
          <w:tcPr>
            <w:tcW w:type="dxa" w:w="2050"/>
            <w:vAlign w:val="center"/>
          </w:tcPr>
          <w:p>
            <w:pPr>
              <w:spacing w:before="0" w:after="30"/>
            </w:pPr>
            <w:r>
              <w:rPr>
                <w:sz w:val="14"/>
              </w:rPr>
              <w:t>SmbDeliveryUpTT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SmbDeliveryUpTT: manually setting a TT of 5.04 mmol is used as a remote +0.01 nudge on both SMB delivery settings, clamped to each key's own max (0.5 for both). Same pattern and same tight 0.001mmol tolerance as SmbDeliveryDownTT above.</w:t>
            </w:r>
          </w:p>
        </w:tc>
      </w:tr>
      <w:tr>
        <w:tc>
          <w:tcPr>
            <w:tcW w:type="dxa" w:w="500"/>
            <w:vAlign w:val="center"/>
          </w:tcPr>
          <w:p>
            <w:pPr>
              <w:spacing w:before="0" w:after="30"/>
            </w:pPr>
            <w:r>
              <w:rPr>
                <w:sz w:val="14"/>
              </w:rPr>
              <w:t>91</w:t>
            </w:r>
          </w:p>
        </w:tc>
        <w:tc>
          <w:tcPr>
            <w:tcW w:type="dxa" w:w="2050"/>
            <w:vAlign w:val="center"/>
          </w:tcPr>
          <w:p>
            <w:pPr>
              <w:spacing w:before="0" w:after="30"/>
            </w:pPr>
            <w:r>
              <w:rPr>
                <w:sz w:val="14"/>
              </w:rPr>
              <w:t>SmbOffsetDownTT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tc>
          <w:tcPr>
            <w:tcW w:type="dxa" w:w="500"/>
            <w:vAlign w:val="center"/>
          </w:tcPr>
          <w:p>
            <w:pPr>
              <w:spacing w:before="0" w:after="30"/>
            </w:pPr>
            <w:r>
              <w:rPr>
                <w:sz w:val="14"/>
              </w:rPr>
              <w:t>92</w:t>
            </w:r>
          </w:p>
        </w:tc>
        <w:tc>
          <w:tcPr>
            <w:tcW w:type="dxa" w:w="2050"/>
            <w:vAlign w:val="center"/>
          </w:tcPr>
          <w:p>
            <w:pPr>
              <w:spacing w:before="0" w:after="30"/>
            </w:pPr>
            <w:r>
              <w:rPr>
                <w:sz w:val="14"/>
              </w:rPr>
              <w:t>SmbOffsetUpTT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SmbOffsetUpTT: manually setting a TT of 5.38 mmol is used as a remote +0.1 nudge on ApsAutoIsfSmbOffsetOverride, clamped to a max of 1.50. Same pattern as SmbOffsetDownTT above.</w:t>
            </w:r>
          </w:p>
        </w:tc>
      </w:tr>
      <w:tr>
        <w:tc>
          <w:tcPr>
            <w:tcW w:type="dxa" w:w="500"/>
            <w:vAlign w:val="center"/>
          </w:tcPr>
          <w:p>
            <w:pPr>
              <w:spacing w:before="0" w:after="30"/>
            </w:pPr>
            <w:r>
              <w:rPr>
                <w:sz w:val="14"/>
              </w:rPr>
              <w:t>93</w:t>
            </w:r>
          </w:p>
        </w:tc>
        <w:tc>
          <w:tcPr>
            <w:tcW w:type="dxa" w:w="2050"/>
            <w:vAlign w:val="center"/>
          </w:tcPr>
          <w:p>
            <w:pPr>
              <w:spacing w:before="0" w:after="30"/>
            </w:pPr>
            <w:r>
              <w:rPr>
                <w:sz w:val="14"/>
              </w:rPr>
              <w:t>StepsSteroidsOff</w:t>
            </w:r>
          </w:p>
        </w:tc>
        <w:tc>
          <w:tcPr>
            <w:tcW w:type="dxa" w:w="1600"/>
            <w:vAlign w:val="center"/>
          </w:tcPr>
          <w:p>
            <w:pPr>
              <w:spacing w:before="0" w:after="30"/>
            </w:pPr>
            <w:r>
              <w:rPr>
                <w:sz w:val="14"/>
              </w:rPr>
              <w:t>Steroid state</w:t>
            </w:r>
          </w:p>
        </w:tc>
        <w:tc>
          <w:tcPr>
            <w:tcW w:type="dxa" w:w="5210"/>
            <w:vAlign w:val="center"/>
          </w:tcPr>
          <w:p>
            <w:pPr>
              <w:spacing w:before="0" w:after="30"/>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tc>
          <w:tcPr>
            <w:tcW w:type="dxa" w:w="500"/>
            <w:vAlign w:val="center"/>
          </w:tcPr>
          <w:p>
            <w:pPr>
              <w:spacing w:before="0" w:after="30"/>
            </w:pPr>
            <w:r>
              <w:rPr>
                <w:sz w:val="14"/>
              </w:rPr>
              <w:t>94</w:t>
            </w:r>
          </w:p>
        </w:tc>
        <w:tc>
          <w:tcPr>
            <w:tcW w:type="dxa" w:w="2050"/>
            <w:vAlign w:val="center"/>
          </w:tcPr>
          <w:p>
            <w:pPr>
              <w:spacing w:before="0" w:after="30"/>
            </w:pPr>
            <w:r>
              <w:rPr>
                <w:sz w:val="14"/>
              </w:rPr>
              <w:t>T80Off3ok</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tc>
          <w:tcPr>
            <w:tcW w:type="dxa" w:w="500"/>
            <w:vAlign w:val="center"/>
          </w:tcPr>
          <w:p>
            <w:pPr>
              <w:spacing w:before="0" w:after="30"/>
            </w:pPr>
            <w:r>
              <w:rPr>
                <w:sz w:val="14"/>
              </w:rPr>
              <w:t>95</w:t>
            </w:r>
          </w:p>
        </w:tc>
        <w:tc>
          <w:tcPr>
            <w:tcW w:type="dxa" w:w="2050"/>
            <w:vAlign w:val="center"/>
          </w:tcPr>
          <w:p>
            <w:pPr>
              <w:spacing w:before="0" w:after="30"/>
            </w:pPr>
            <w:r>
              <w:rPr>
                <w:sz w:val="14"/>
              </w:rPr>
              <w:t>TT57Reversal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tc>
          <w:tcPr>
            <w:tcW w:type="dxa" w:w="500"/>
            <w:vAlign w:val="center"/>
          </w:tcPr>
          <w:p>
            <w:pPr>
              <w:spacing w:before="0" w:after="30"/>
            </w:pPr>
            <w:r>
              <w:rPr>
                <w:sz w:val="14"/>
              </w:rPr>
              <w:t>96</w:t>
            </w:r>
          </w:p>
        </w:tc>
        <w:tc>
          <w:tcPr>
            <w:tcW w:type="dxa" w:w="2050"/>
            <w:vAlign w:val="center"/>
          </w:tcPr>
          <w:p>
            <w:pPr>
              <w:spacing w:before="0" w:after="30"/>
            </w:pPr>
            <w:r>
              <w:rPr>
                <w:sz w:val="14"/>
              </w:rPr>
              <w:t>Test3</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tc>
          <w:tcPr>
            <w:tcW w:type="dxa" w:w="500"/>
            <w:vAlign w:val="center"/>
          </w:tcPr>
          <w:p>
            <w:pPr>
              <w:spacing w:before="0" w:after="30"/>
            </w:pPr>
            <w:r>
              <w:rPr>
                <w:sz w:val="14"/>
              </w:rPr>
              <w:t>97</w:t>
            </w:r>
          </w:p>
        </w:tc>
        <w:tc>
          <w:tcPr>
            <w:tcW w:type="dxa" w:w="2050"/>
            <w:vAlign w:val="center"/>
          </w:tcPr>
          <w:p>
            <w:pPr>
              <w:spacing w:before="0" w:after="30"/>
            </w:pPr>
            <w:r>
              <w:rPr>
                <w:sz w:val="14"/>
              </w:rPr>
              <w:t>TodOffset0002DownTT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98</w:t>
            </w:r>
          </w:p>
        </w:tc>
        <w:tc>
          <w:tcPr>
            <w:tcW w:type="dxa" w:w="2050"/>
            <w:vAlign w:val="center"/>
          </w:tcPr>
          <w:p>
            <w:pPr>
              <w:spacing w:before="0" w:after="30"/>
            </w:pPr>
            <w:r>
              <w:rPr>
                <w:sz w:val="14"/>
              </w:rPr>
              <w:t>TodOffset0002UpTT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99</w:t>
            </w:r>
          </w:p>
        </w:tc>
        <w:tc>
          <w:tcPr>
            <w:tcW w:type="dxa" w:w="2050"/>
            <w:vAlign w:val="center"/>
          </w:tcPr>
          <w:p>
            <w:pPr>
              <w:spacing w:before="0" w:after="30"/>
            </w:pPr>
            <w:r>
              <w:rPr>
                <w:sz w:val="14"/>
              </w:rPr>
              <w:t>TodOffset0204DownTT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100</w:t>
            </w:r>
          </w:p>
        </w:tc>
        <w:tc>
          <w:tcPr>
            <w:tcW w:type="dxa" w:w="2050"/>
            <w:vAlign w:val="center"/>
          </w:tcPr>
          <w:p>
            <w:pPr>
              <w:spacing w:before="0" w:after="30"/>
            </w:pPr>
            <w:r>
              <w:rPr>
                <w:sz w:val="14"/>
              </w:rPr>
              <w:t>TodOffset0204UpTT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101</w:t>
            </w:r>
          </w:p>
        </w:tc>
        <w:tc>
          <w:tcPr>
            <w:tcW w:type="dxa" w:w="2050"/>
            <w:vAlign w:val="center"/>
          </w:tcPr>
          <w:p>
            <w:pPr>
              <w:spacing w:before="0" w:after="30"/>
            </w:pPr>
            <w:r>
              <w:rPr>
                <w:sz w:val="14"/>
              </w:rPr>
              <w:t>TodOffset0406DownTT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102</w:t>
            </w:r>
          </w:p>
        </w:tc>
        <w:tc>
          <w:tcPr>
            <w:tcW w:type="dxa" w:w="2050"/>
            <w:vAlign w:val="center"/>
          </w:tcPr>
          <w:p>
            <w:pPr>
              <w:spacing w:before="0" w:after="30"/>
            </w:pPr>
            <w:r>
              <w:rPr>
                <w:sz w:val="14"/>
              </w:rPr>
              <w:t>TodOffset0406UpTT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103</w:t>
            </w:r>
          </w:p>
        </w:tc>
        <w:tc>
          <w:tcPr>
            <w:tcW w:type="dxa" w:w="2050"/>
            <w:vAlign w:val="center"/>
          </w:tcPr>
          <w:p>
            <w:pPr>
              <w:spacing w:before="0" w:after="30"/>
            </w:pPr>
            <w:r>
              <w:rPr>
                <w:sz w:val="14"/>
              </w:rPr>
              <w:t>TodOffset0609DownTT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104</w:t>
            </w:r>
          </w:p>
        </w:tc>
        <w:tc>
          <w:tcPr>
            <w:tcW w:type="dxa" w:w="2050"/>
            <w:vAlign w:val="center"/>
          </w:tcPr>
          <w:p>
            <w:pPr>
              <w:spacing w:before="0" w:after="30"/>
            </w:pPr>
            <w:r>
              <w:rPr>
                <w:sz w:val="14"/>
              </w:rPr>
              <w:t>TodOffset0609UpTT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105</w:t>
            </w:r>
          </w:p>
        </w:tc>
        <w:tc>
          <w:tcPr>
            <w:tcW w:type="dxa" w:w="2050"/>
            <w:vAlign w:val="center"/>
          </w:tcPr>
          <w:p>
            <w:pPr>
              <w:spacing w:before="0" w:after="30"/>
            </w:pPr>
            <w:r>
              <w:rPr>
                <w:sz w:val="14"/>
              </w:rPr>
              <w:t>TodOffset0912DownTT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106</w:t>
            </w:r>
          </w:p>
        </w:tc>
        <w:tc>
          <w:tcPr>
            <w:tcW w:type="dxa" w:w="2050"/>
            <w:vAlign w:val="center"/>
          </w:tcPr>
          <w:p>
            <w:pPr>
              <w:spacing w:before="0" w:after="30"/>
            </w:pPr>
            <w:r>
              <w:rPr>
                <w:sz w:val="14"/>
              </w:rPr>
              <w:t>TodOffset0912UpTT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107</w:t>
            </w:r>
          </w:p>
        </w:tc>
        <w:tc>
          <w:tcPr>
            <w:tcW w:type="dxa" w:w="2050"/>
            <w:vAlign w:val="center"/>
          </w:tcPr>
          <w:p>
            <w:pPr>
              <w:spacing w:before="0" w:after="30"/>
            </w:pPr>
            <w:r>
              <w:rPr>
                <w:sz w:val="14"/>
              </w:rPr>
              <w:t>TodOffset1218DownTT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108</w:t>
            </w:r>
          </w:p>
        </w:tc>
        <w:tc>
          <w:tcPr>
            <w:tcW w:type="dxa" w:w="2050"/>
            <w:vAlign w:val="center"/>
          </w:tcPr>
          <w:p>
            <w:pPr>
              <w:spacing w:before="0" w:after="30"/>
            </w:pPr>
            <w:r>
              <w:rPr>
                <w:sz w:val="14"/>
              </w:rPr>
              <w:t>TodOffset1218UpTT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109</w:t>
            </w:r>
          </w:p>
        </w:tc>
        <w:tc>
          <w:tcPr>
            <w:tcW w:type="dxa" w:w="2050"/>
            <w:vAlign w:val="center"/>
          </w:tcPr>
          <w:p>
            <w:pPr>
              <w:spacing w:before="0" w:after="30"/>
            </w:pPr>
            <w:r>
              <w:rPr>
                <w:sz w:val="14"/>
              </w:rPr>
              <w:t>TodOffset1822DownTT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110</w:t>
            </w:r>
          </w:p>
        </w:tc>
        <w:tc>
          <w:tcPr>
            <w:tcW w:type="dxa" w:w="2050"/>
            <w:vAlign w:val="center"/>
          </w:tcPr>
          <w:p>
            <w:pPr>
              <w:spacing w:before="0" w:after="30"/>
            </w:pPr>
            <w:r>
              <w:rPr>
                <w:sz w:val="14"/>
              </w:rPr>
              <w:t>TodOffset1822UpTT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111</w:t>
            </w:r>
          </w:p>
        </w:tc>
        <w:tc>
          <w:tcPr>
            <w:tcW w:type="dxa" w:w="2050"/>
            <w:vAlign w:val="center"/>
          </w:tcPr>
          <w:p>
            <w:pPr>
              <w:spacing w:before="0" w:after="30"/>
            </w:pPr>
            <w:r>
              <w:rPr>
                <w:sz w:val="14"/>
              </w:rPr>
              <w:t>TodOffset2200DownTT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112</w:t>
            </w:r>
          </w:p>
        </w:tc>
        <w:tc>
          <w:tcPr>
            <w:tcW w:type="dxa" w:w="2050"/>
            <w:vAlign w:val="center"/>
          </w:tcPr>
          <w:p>
            <w:pPr>
              <w:spacing w:before="0" w:after="30"/>
            </w:pPr>
            <w:r>
              <w:rPr>
                <w:sz w:val="14"/>
              </w:rPr>
              <w:t>TodOffset2200UpTT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113</w:t>
            </w:r>
          </w:p>
        </w:tc>
        <w:tc>
          <w:tcPr>
            <w:tcW w:type="dxa" w:w="2050"/>
            <w:vAlign w:val="center"/>
          </w:tcPr>
          <w:p>
            <w:pPr>
              <w:spacing w:before="0" w:after="30"/>
            </w:pPr>
            <w:r>
              <w:rPr>
                <w:sz w:val="14"/>
              </w:rPr>
              <w:t>TwilightTH15Acce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"TwilightTH15Acce0.50": drops iobTH to 15% and acce weight to 0.50 during a quiet early morning (low steps, flat/falling BGL) while iobTH sits in the 17-39% band. No live-pump gate: the original's Note field was empty.</w:t>
            </w:r>
          </w:p>
        </w:tc>
      </w:tr>
      <w:tr>
        <w:tc>
          <w:tcPr>
            <w:tcW w:type="dxa" w:w="500"/>
            <w:vAlign w:val="center"/>
          </w:tcPr>
          <w:p>
            <w:pPr>
              <w:spacing w:before="0" w:after="30"/>
            </w:pPr>
            <w:r>
              <w:rPr>
                <w:sz w:val="14"/>
              </w:rPr>
              <w:t>114</w:t>
            </w:r>
          </w:p>
        </w:tc>
        <w:tc>
          <w:tcPr>
            <w:tcW w:type="dxa" w:w="2050"/>
            <w:vAlign w:val="center"/>
          </w:tcPr>
          <w:p>
            <w:pPr>
              <w:spacing w:before="0" w:after="30"/>
            </w:pPr>
            <w:r>
              <w:rPr>
                <w:sz w:val="14"/>
              </w:rPr>
              <w:t>Usual2forTH</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tc>
          <w:tcPr>
            <w:tcW w:type="dxa" w:w="500"/>
            <w:vAlign w:val="center"/>
          </w:tcPr>
          <w:p>
            <w:pPr>
              <w:spacing w:before="0" w:after="30"/>
            </w:pPr>
            <w:r>
              <w:rPr>
                <w:sz w:val="14"/>
              </w:rPr>
              <w:t>115</w:t>
            </w:r>
          </w:p>
        </w:tc>
        <w:tc>
          <w:tcPr>
            <w:tcW w:type="dxa" w:w="2050"/>
            <w:vAlign w:val="center"/>
          </w:tcPr>
          <w:p>
            <w:pPr>
              <w:spacing w:before="0" w:after="30"/>
            </w:pPr>
            <w:r>
              <w:rPr>
                <w:sz w:val="14"/>
              </w:rPr>
              <w:t>VirtualPseudoWizard</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before queueing) so installing this branch on a real-pump build cannot deliver it. It runs the normal constrained Wizard in the background with a pseudo-COB input, but records carbs=0: no fake carb treatment is made.</w:t>
            </w:r>
          </w:p>
        </w:tc>
      </w:tr>
      <w:tr>
        <w:tc>
          <w:tcPr>
            <w:tcW w:type="dxa" w:w="500"/>
            <w:vAlign w:val="center"/>
          </w:tcPr>
          <w:p>
            <w:pPr>
              <w:spacing w:before="0" w:after="30"/>
            </w:pPr>
            <w:r>
              <w:rPr>
                <w:sz w:val="14"/>
              </w:rPr>
              <w:t>116</w:t>
            </w:r>
          </w:p>
        </w:tc>
        <w:tc>
          <w:tcPr>
            <w:tcW w:type="dxa" w:w="2050"/>
            <w:vAlign w:val="center"/>
          </w:tcPr>
          <w:p>
            <w:pPr>
              <w:spacing w:before="0" w:after="30"/>
            </w:pPr>
            <w:r>
              <w:rPr>
                <w:sz w:val="14"/>
              </w:rPr>
              <w:t>WizardPctDownTT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tc>
          <w:tcPr>
            <w:tcW w:type="dxa" w:w="500"/>
            <w:vAlign w:val="center"/>
          </w:tcPr>
          <w:p>
            <w:pPr>
              <w:spacing w:before="0" w:after="30"/>
            </w:pPr>
            <w:r>
              <w:rPr>
                <w:sz w:val="14"/>
              </w:rPr>
              <w:t>117</w:t>
            </w:r>
          </w:p>
        </w:tc>
        <w:tc>
          <w:tcPr>
            <w:tcW w:type="dxa" w:w="2050"/>
            <w:vAlign w:val="center"/>
          </w:tcPr>
          <w:p>
            <w:pPr>
              <w:spacing w:before="0" w:after="30"/>
            </w:pPr>
            <w:r>
              <w:rPr>
                <w:sz w:val="14"/>
              </w:rPr>
              <w:t>WizardPctUpTT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WizardPctUpTT: manually setting a TT of 5.048 mmol is used as a remote +5 nudge on OverviewBolusPercentage, clamped to a max of 100. Same pattern as WizardPctDownTT above.</w:t>
            </w:r>
          </w:p>
        </w:tc>
      </w:tr>
      <w:tr>
        <w:tc>
          <w:tcPr>
            <w:tcW w:type="dxa" w:w="500"/>
            <w:vAlign w:val="center"/>
          </w:tcPr>
          <w:p>
            <w:pPr>
              <w:spacing w:before="0" w:after="30"/>
            </w:pPr>
            <w:r>
              <w:rPr>
                <w:sz w:val="14"/>
              </w:rPr>
              <w:t>118</w:t>
            </w:r>
          </w:p>
        </w:tc>
        <w:tc>
          <w:tcPr>
            <w:tcW w:type="dxa" w:w="2050"/>
            <w:vAlign w:val="center"/>
          </w:tcPr>
          <w:p>
            <w:pPr>
              <w:spacing w:before="0" w:after="30"/>
            </w:pPr>
            <w:r>
              <w:rPr>
                <w:sz w:val="14"/>
              </w:rPr>
              <w:t>iobTHDaytimeFloor</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sectPr w:rsidR="00851AD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CE8"/>
    <w:multiLevelType w:val="hybridMultilevel"/>
    <w:tmpl w:val="DCD6813C"/>
    <w:lvl w:ilvl="0" w:tplc="39D894EE">
      <w:start w:val="1"/>
      <w:numFmt w:val="bullet"/>
      <w:lvlText w:val="●"/>
      <w:lvlJc w:val="left"/>
      <w:pPr>
        <w:ind w:left="720" w:hanging="360"/>
      </w:pPr>
    </w:lvl>
    <w:lvl w:ilvl="1" w:tplc="15CEC850">
      <w:start w:val="1"/>
      <w:numFmt w:val="bullet"/>
      <w:lvlText w:val="○"/>
      <w:lvlJc w:val="left"/>
      <w:pPr>
        <w:ind w:left="1440" w:hanging="360"/>
      </w:pPr>
    </w:lvl>
    <w:lvl w:ilvl="2" w:tplc="332EEBFA">
      <w:start w:val="1"/>
      <w:numFmt w:val="bullet"/>
      <w:lvlText w:val="■"/>
      <w:lvlJc w:val="left"/>
      <w:pPr>
        <w:ind w:left="2160" w:hanging="360"/>
      </w:pPr>
    </w:lvl>
    <w:lvl w:ilvl="3" w:tplc="9C3C35A8">
      <w:start w:val="1"/>
      <w:numFmt w:val="bullet"/>
      <w:lvlText w:val="●"/>
      <w:lvlJc w:val="left"/>
      <w:pPr>
        <w:ind w:left="2880" w:hanging="360"/>
      </w:pPr>
    </w:lvl>
    <w:lvl w:ilvl="4" w:tplc="E5382386">
      <w:start w:val="1"/>
      <w:numFmt w:val="bullet"/>
      <w:lvlText w:val="○"/>
      <w:lvlJc w:val="left"/>
      <w:pPr>
        <w:ind w:left="3600" w:hanging="360"/>
      </w:pPr>
    </w:lvl>
    <w:lvl w:ilvl="5" w:tplc="142891D6">
      <w:start w:val="1"/>
      <w:numFmt w:val="bullet"/>
      <w:lvlText w:val="■"/>
      <w:lvlJc w:val="left"/>
      <w:pPr>
        <w:ind w:left="4320" w:hanging="360"/>
      </w:pPr>
    </w:lvl>
    <w:lvl w:ilvl="6" w:tplc="41EEC5E4">
      <w:start w:val="1"/>
      <w:numFmt w:val="bullet"/>
      <w:lvlText w:val="●"/>
      <w:lvlJc w:val="left"/>
      <w:pPr>
        <w:ind w:left="5040" w:hanging="360"/>
      </w:pPr>
    </w:lvl>
    <w:lvl w:ilvl="7" w:tplc="325EB198">
      <w:start w:val="1"/>
      <w:numFmt w:val="bullet"/>
      <w:lvlText w:val="●"/>
      <w:lvlJc w:val="left"/>
      <w:pPr>
        <w:ind w:left="5760" w:hanging="360"/>
      </w:pPr>
    </w:lvl>
    <w:lvl w:ilvl="8" w:tplc="ABA0B9BC">
      <w:start w:val="1"/>
      <w:numFmt w:val="bullet"/>
      <w:lvlText w:val="●"/>
      <w:lvlJc w:val="left"/>
      <w:pPr>
        <w:ind w:left="6480" w:hanging="360"/>
      </w:pPr>
    </w:lvl>
  </w:abstractNum>
  <w:num w:numId="1" w16cid:durableId="710501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C6"/>
    <w:rsid w:val="001042A2"/>
    <w:rsid w:val="00656408"/>
    <w:rsid w:val="00851AD0"/>
    <w:rsid w:val="009A3A34"/>
    <w:rsid w:val="00EB24C6"/>
    <w:rsid w:val="00EC6DA5"/>
    <w:rsid w:val="00FB05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0264"/>
  <w15:docId w15:val="{60DAECF9-6D28-4219-8C85-266971E88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1163</Words>
  <Characters>6193</Characters>
  <Application>Microsoft Office Word</Application>
  <DocSecurity>0</DocSecurity>
  <Lines>258</Lines>
  <Paragraphs>237</Paragraphs>
  <ScaleCrop>false</ScaleCrop>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2026-07-12T02:40:00Z</cp:lastPrinted>
  <dcterms:created xsi:type="dcterms:W3CDTF">2026-07-12T03:35:00Z</dcterms:created>
  <dcterms:modified xsi:type="dcterms:W3CDTF">2026-07-12T03:35:00Z</dcterms:modified>
</cp:coreProperties>
</file>