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0B97" w14:textId="77777777" w:rsidR="00F16DB1" w:rsidRDefault="001E64C6">
      <w:pPr>
        <w:pStyle w:val="Title"/>
        <w:spacing w:after="100"/>
      </w:pPr>
      <w:r>
        <w:t>AutoISF Fork — Idiosyncrasies &amp; Operations Manual</w:t>
      </w:r>
    </w:p>
    <w:p w14:paraId="2986799F"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2FA5673C" w14:textId="77777777" w:rsidR="003D38EE" w:rsidRDefault="00A44A8D">
      <w:pPr>
        <w:pStyle w:val="Heading1"/>
        <w:spacing w:after="160"/>
      </w:pPr>
      <w:bookmarkStart w:id="0" w:name="sec001"/>
      <w:r>
        <w:rPr>
          <w:b/>
          <w:sz w:val="40"/>
        </w:rPr>
        <w:t>Introduction: Most significant new features</w:t>
      </w:r>
      <w:bookmarkEnd w:id="0"/>
    </w:p>
    <w:p w14:paraId="77763B37" w14:textId="77777777" w:rsidR="003D38EE" w:rsidRDefault="00A44A8D">
      <w:pPr>
        <w:spacing w:after="120"/>
      </w:pPr>
      <w:r>
        <w:rPr>
          <w:sz w:val="24"/>
        </w:rPr>
        <w:t>This manual concentrates on the operational changes that most distinguish this AutoISF fork from stock AAPS and that are most likely to affect daily use:</w:t>
      </w:r>
    </w:p>
    <w:p w14:paraId="0DCAA5B1" w14:textId="1D993E1C" w:rsidR="003D38EE" w:rsidRDefault="00A44A8D">
      <w:pPr>
        <w:numPr>
          <w:ilvl w:val="0"/>
          <w:numId w:val="1"/>
        </w:numPr>
        <w:spacing w:after="60"/>
      </w:pPr>
      <w:hyperlink w:anchor="sec034">
        <w:r>
          <w:rPr>
            <w:color w:val="0563C1"/>
            <w:sz w:val="24"/>
            <w:szCs w:val="24"/>
            <w:u w:val="single"/>
          </w:rPr>
          <w:t>Full description of the bolus calculator changes.</w:t>
        </w:r>
      </w:hyperlink>
    </w:p>
    <w:p w14:paraId="324342C1" w14:textId="167AF8AB" w:rsidR="003D38EE" w:rsidRDefault="00A44A8D">
      <w:pPr>
        <w:numPr>
          <w:ilvl w:val="0"/>
          <w:numId w:val="1"/>
        </w:numPr>
        <w:spacing w:after="60"/>
      </w:pPr>
      <w:hyperlink w:anchor="sec035">
        <w:r>
          <w:rPr>
            <w:color w:val="0563C1"/>
            <w:sz w:val="24"/>
            <w:szCs w:val="24"/>
            <w:u w:val="single"/>
          </w:rPr>
          <w:t>Lists 1 and 2: full descriptions.</w:t>
        </w:r>
      </w:hyperlink>
    </w:p>
    <w:p w14:paraId="5964BC94" w14:textId="1ED5EBF7" w:rsidR="003D38EE" w:rsidRDefault="00A44A8D">
      <w:pPr>
        <w:numPr>
          <w:ilvl w:val="0"/>
          <w:numId w:val="1"/>
        </w:numPr>
        <w:spacing w:after="60"/>
      </w:pPr>
      <w:hyperlink w:anchor="sec006">
        <w:r>
          <w:rPr>
            <w:color w:val="0563C1"/>
            <w:sz w:val="24"/>
            <w:szCs w:val="24"/>
            <w:u w:val="single"/>
          </w:rPr>
          <w:t>Settings Import Features — Especially With States.</w:t>
        </w:r>
      </w:hyperlink>
    </w:p>
    <w:p w14:paraId="08A36B23" w14:textId="58EAA818" w:rsidR="003D38EE" w:rsidRDefault="00A44A8D">
      <w:pPr>
        <w:numPr>
          <w:ilvl w:val="0"/>
          <w:numId w:val="1"/>
        </w:numPr>
        <w:spacing w:after="60"/>
      </w:pPr>
      <w:hyperlink w:anchor="sec036">
        <w:r>
          <w:rPr>
            <w:color w:val="0563C1"/>
            <w:sz w:val="24"/>
            <w:szCs w:val="24"/>
            <w:u w:val="single"/>
          </w:rPr>
          <w:t>AIV table.</w:t>
        </w:r>
      </w:hyperlink>
    </w:p>
    <w:p w14:paraId="0051CA60" w14:textId="49643991" w:rsidR="003D38EE" w:rsidRDefault="00A44A8D">
      <w:pPr>
        <w:numPr>
          <w:ilvl w:val="0"/>
          <w:numId w:val="1"/>
        </w:numPr>
        <w:spacing w:after="60"/>
      </w:pPr>
      <w:hyperlink w:anchor="sec025">
        <w:r>
          <w:rPr>
            <w:color w:val="0563C1"/>
            <w:sz w:val="24"/>
            <w:szCs w:val="24"/>
            <w:u w:val="single"/>
          </w:rPr>
          <w:t>Mechanism For Ignoring Or Invoking Native Automations.</w:t>
        </w:r>
      </w:hyperlink>
    </w:p>
    <w:p w14:paraId="5CCD823D" w14:textId="3D799E1C" w:rsidR="003D38EE" w:rsidRDefault="00A44A8D">
      <w:pPr>
        <w:numPr>
          <w:ilvl w:val="0"/>
          <w:numId w:val="1"/>
        </w:numPr>
        <w:spacing w:after="60"/>
      </w:pPr>
      <w:hyperlink w:anchor="sec004">
        <w:r>
          <w:rPr>
            <w:color w:val="0563C1"/>
            <w:sz w:val="24"/>
            <w:szCs w:val="24"/>
            <w:u w:val="single"/>
          </w:rPr>
          <w:t>This is now self-healing for the coded automations' own states.</w:t>
        </w:r>
      </w:hyperlink>
    </w:p>
    <w:p w14:paraId="530A554C" w14:textId="65A00BFD" w:rsidR="003D38EE" w:rsidRDefault="00A44A8D">
      <w:pPr>
        <w:numPr>
          <w:ilvl w:val="0"/>
          <w:numId w:val="1"/>
        </w:numPr>
        <w:spacing w:after="60"/>
      </w:pPr>
      <w:hyperlink w:anchor="sec012">
        <w:r>
          <w:rPr>
            <w:color w:val="0563C1"/>
            <w:sz w:val="24"/>
            <w:szCs w:val="24"/>
            <w:u w:val="single"/>
          </w:rPr>
          <w:t>Tier 3 UAM Boost criteria, output limits and duration.</w:t>
        </w:r>
      </w:hyperlink>
    </w:p>
    <w:p w14:paraId="4E77257E" w14:textId="2EDAFFD6" w:rsidR="003D38EE" w:rsidRDefault="00A44A8D">
      <w:pPr>
        <w:numPr>
          <w:ilvl w:val="0"/>
          <w:numId w:val="1"/>
        </w:numPr>
        <w:spacing w:after="60"/>
      </w:pPr>
      <w:hyperlink w:anchor="sec012">
        <w:r>
          <w:rPr>
            <w:color w:val="0563C1"/>
            <w:sz w:val="24"/>
            <w:szCs w:val="24"/>
            <w:u w:val="single"/>
          </w:rPr>
          <w:t>BolusGiven strong-boost effects.</w:t>
        </w:r>
      </w:hyperlink>
    </w:p>
    <w:p w14:paraId="4BE6274B" w14:textId="5AF9A4ED" w:rsidR="003D38EE" w:rsidRDefault="00A44A8D">
      <w:pPr>
        <w:numPr>
          <w:ilvl w:val="0"/>
          <w:numId w:val="1"/>
        </w:numPr>
        <w:spacing w:after="60"/>
      </w:pPr>
      <w:hyperlink w:anchor="sec012">
        <w:r>
          <w:rPr>
            <w:color w:val="0563C1"/>
            <w:sz w:val="24"/>
            <w:szCs w:val="24"/>
            <w:u w:val="single"/>
          </w:rPr>
          <w:t>BolusGivenMild and Mild Failsafe behavior.</w:t>
        </w:r>
      </w:hyperlink>
    </w:p>
    <w:p w14:paraId="577E3DE3" w14:textId="4280CC08" w:rsidR="003D38EE" w:rsidRDefault="00A44A8D">
      <w:pPr>
        <w:numPr>
          <w:ilvl w:val="0"/>
          <w:numId w:val="1"/>
        </w:numPr>
        <w:spacing w:after="60"/>
      </w:pPr>
      <w:hyperlink w:anchor="sec016">
        <w:r>
          <w:rPr>
            <w:color w:val="0563C1"/>
            <w:sz w:val="24"/>
            <w:szCs w:val="24"/>
            <w:u w:val="single"/>
          </w:rPr>
          <w:t>Steroid-management initiation and escalation.</w:t>
        </w:r>
      </w:hyperlink>
    </w:p>
    <w:p w14:paraId="21191EE9" w14:textId="05C544B4" w:rsidR="003D38EE" w:rsidRDefault="00A44A8D">
      <w:pPr>
        <w:numPr>
          <w:ilvl w:val="0"/>
          <w:numId w:val="1"/>
        </w:numPr>
        <w:spacing w:after="60"/>
      </w:pPr>
      <w:hyperlink w:anchor="sec019">
        <w:r>
          <w:rPr>
            <w:color w:val="0563C1"/>
            <w:sz w:val="24"/>
            <w:szCs w:val="24"/>
            <w:u w:val="single"/>
          </w:rPr>
          <w:t>The Mounjaro three-day reduced-insulin cycle.</w:t>
        </w:r>
      </w:hyperlink>
    </w:p>
    <w:p w14:paraId="5BC38445" w14:textId="413C0D15" w:rsidR="003D38EE" w:rsidRDefault="00A44A8D">
      <w:pPr>
        <w:numPr>
          <w:ilvl w:val="0"/>
          <w:numId w:val="1"/>
        </w:numPr>
        <w:spacing w:after="60"/>
      </w:pPr>
      <w:hyperlink w:anchor="sec023">
        <w:r>
          <w:rPr>
            <w:color w:val="0563C1"/>
            <w:sz w:val="24"/>
            <w:szCs w:val="24"/>
            <w:u w:val="single"/>
          </w:rPr>
          <w:t>Hypoglycaemia warnings and protective overrides.</w:t>
        </w:r>
      </w:hyperlink>
    </w:p>
    <w:p w14:paraId="76B62AAC" w14:textId="0FF22BFE" w:rsidR="003D38EE" w:rsidRDefault="00A44A8D">
      <w:pPr>
        <w:numPr>
          <w:ilvl w:val="0"/>
          <w:numId w:val="1"/>
        </w:numPr>
        <w:spacing w:after="60"/>
      </w:pPr>
      <w:hyperlink w:anchor="sec037">
        <w:r>
          <w:rPr>
            <w:color w:val="0563C1"/>
            <w:sz w:val="24"/>
            <w:szCs w:val="24"/>
            <w:u w:val="single"/>
          </w:rPr>
          <w:t>GUI display changes.</w:t>
        </w:r>
      </w:hyperlink>
    </w:p>
    <w:p>
      <w:pPr>
        <w:numPr>
          <w:ilvl w:val="0"/>
          <w:numId w:val="1"/>
        </w:numPr>
        <w:spacing w:after="60"/>
      </w:pPr>
      <w:hyperlink w:anchor="sec10_hypo_causes_outcomes">
        <w:r>
          <w:rPr>
            <w:color w:val="0563C1"/>
            <w:u w:val="single"/>
            <w:sz w:val="24"/>
            <w:szCs w:val="24"/>
          </w:rPr>
          <w:t>Hypoglycaemia warning causes and outcomes.</w:t>
        </w:r>
      </w:hyperlink>
    </w:p>
    <w:p>
      <w:pPr>
        <w:numPr>
          <w:ilvl w:val="0"/>
          <w:numId w:val="1"/>
        </w:numPr>
        <w:spacing w:after="60"/>
      </w:pPr>
      <w:hyperlink w:anchor="sec11_ukf">
        <w:r>
          <w:rPr>
            <w:color w:val="0563C1"/>
            <w:u w:val="single"/>
            <w:sz w:val="24"/>
            <w:szCs w:val="24"/>
          </w:rPr>
          <w:t>UKF formulas, roles and initial comparison assessment.</w:t>
        </w:r>
      </w:hyperlink>
    </w:p>
    <w:p>
      <w:pPr>
        <w:numPr>
          <w:ilvl w:val="0"/>
          <w:numId w:val="1"/>
        </w:numPr>
        <w:spacing w:after="60"/>
      </w:pPr>
      <w:hyperlink w:anchor="sec12_battery">
        <w:r>
          <w:rPr>
            <w:color w:val="0563C1"/>
            <w:u w:val="single"/>
            <w:sz w:val="24"/>
            <w:szCs w:val="24"/>
          </w:rPr>
          <w:t>Battery 1% automation and profile recovery.</w:t>
        </w:r>
      </w:hyperlink>
    </w:p>
    <w:p w14:paraId="458FFFFF" w14:textId="77777777" w:rsidR="00F16DB1" w:rsidRDefault="001E64C6">
      <w:pPr>
        <w:pStyle w:val="Heading1"/>
        <w:spacing w:before="400" w:after="200"/>
      </w:pPr>
      <w:bookmarkStart w:id="1" w:name="sec002"/>
      <w:r>
        <w:t>1. Requirements for “Automation States”</w:t>
      </w:r>
      <w:bookmarkEnd w:id="1"/>
    </w:p>
    <w:p w14:paraId="405CA8B0"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DC0339E" w14:textId="77777777" w:rsidR="00F16DB1" w:rsidRDefault="001E64C6">
      <w:pPr>
        <w:pStyle w:val="Heading2"/>
        <w:spacing w:before="280" w:after="120"/>
      </w:pPr>
      <w:bookmarkStart w:id="2" w:name="sec003"/>
      <w:r>
        <w:t>a. It has a master on/off switch, and things silently do nothing when it's off</w:t>
      </w:r>
      <w:bookmarkEnd w:id="2"/>
    </w:p>
    <w:p w14:paraId="1188F969" w14:textId="77777777" w:rsidR="00F16DB1" w:rsidRDefault="001E64C6">
      <w:pPr>
        <w:spacing w:after="160"/>
        <w:ind w:left="36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4ED4EFC9" w14:textId="77777777" w:rsidR="00F16DB1" w:rsidRDefault="001E64C6">
      <w:pPr>
        <w:spacing w:after="160"/>
        <w:ind w:left="360"/>
      </w:pPr>
      <w:r>
        <w:t>A state (e.g. “Steroids”, “MJ”) has a name and a fixed list of allowed value-strings (e.g. “Steroids Off” / “SteroidsON”). AutomationStateService.setState() enforces this at runtime with a hard require() — calling setAutomationState() from code with a state name or value that hasn't been declared first throws an IllegalStateException rather than silently creating it. Historically the only way to declare one was manually, on the in-app “States” tab (AutomationStateFragment, “+” to add a state).</w:t>
      </w:r>
    </w:p>
    <w:p w14:paraId="59FFC62A" w14:textId="77777777" w:rsidR="00F16DB1" w:rsidRDefault="001E64C6">
      <w:pPr>
        <w:pStyle w:val="Heading2"/>
        <w:spacing w:before="280" w:after="120"/>
      </w:pPr>
      <w:bookmarkStart w:id="3" w:name="sec004"/>
      <w:r>
        <w:t>b. Fixed 2026-08-19: this is now self-healing for the coded automations' own states</w:t>
      </w:r>
      <w:bookmarkEnd w:id="3"/>
    </w:p>
    <w:p w14:paraId="4462126C" w14:textId="77777777" w:rsidR="00F16DB1" w:rsidRDefault="001E64C6">
      <w:pPr>
        <w:spacing w:after="160"/>
        <w:ind w:left="360"/>
      </w:pPr>
      <w:r>
        <w:lastRenderedPageBreak/>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016998EC" w14:textId="77777777" w:rsidR="00F16DB1" w:rsidRDefault="001E64C6">
      <w:pPr>
        <w:spacing w:after="160"/>
        <w:ind w:left="36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4B1C477D" w14:textId="77777777" w:rsidR="00F16DB1" w:rsidRDefault="001E64C6">
      <w:pPr>
        <w:pStyle w:val="Heading2"/>
        <w:spacing w:before="280" w:after="120"/>
      </w:pPr>
      <w:bookmarkStart w:id="4" w:name="sec005"/>
      <w:r>
        <w:t>c. A second, related gap: declaring the value list still isn't the same as the state having a value</w:t>
      </w:r>
      <w:bookmarkEnd w:id="4"/>
    </w:p>
    <w:p w14:paraId="16EF5144" w14:textId="77777777" w:rsidR="00F16DB1" w:rsidRDefault="001E64C6">
      <w:pPr>
        <w:spacing w:after="160"/>
        <w:ind w:left="360"/>
      </w:pPr>
      <w:r>
        <w:t>Even with the fix above, a brand-new state's value LIST existing doesn't mean it has a CURRENT value — AutomationStateService only assigns one the first time something calls setState()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(checkAutomationState(name, someValue)) just silently reads false — no crash, but no default either, and nothing on screen tells you this is why an automation isn't firing.</w:t>
      </w:r>
    </w:p>
    <w:p w14:paraId="760D6E40" w14:textId="77777777" w:rsidR="00F16DB1" w:rsidRDefault="001E64C6">
      <w:pPr>
        <w:spacing w:after="160"/>
        <w:ind w:left="36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7C4B7133" w14:textId="77777777" w:rsidR="00F16DB1" w:rsidRDefault="001E64C6">
      <w:pPr>
        <w:pStyle w:val="Heading1"/>
        <w:spacing w:before="400" w:after="200"/>
      </w:pPr>
      <w:bookmarkStart w:id="5" w:name="sec006"/>
      <w:r>
        <w:t>2. Settings Import Features — Especially With States</w:t>
      </w:r>
      <w:bookmarkEnd w:id="5"/>
    </w:p>
    <w:p w14:paraId="7542BDB7"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1C750FFE" w14:textId="77777777" w:rsidR="00F16DB1" w:rsidRDefault="001E64C6">
      <w:pPr>
        <w:pStyle w:val="Heading2"/>
        <w:spacing w:before="280" w:after="120"/>
      </w:pPr>
      <w:bookmarkStart w:id="6" w:name="sec007"/>
      <w:r>
        <w:t>a. Automation States are force-disabled after every import — by design, not a bug</w:t>
      </w:r>
      <w:bookmarkEnd w:id="6"/>
    </w:p>
    <w:p w14:paraId="51F33626" w14:textId="77777777" w:rsidR="00F16DB1" w:rsidRDefault="001E64C6">
      <w:pPr>
        <w:spacing w:after="160"/>
        <w:ind w:left="360"/>
      </w:pPr>
      <w:r>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7A713674" w14:textId="77777777" w:rsidR="00F16DB1" w:rsidRDefault="001E64C6">
      <w:pPr>
        <w:spacing w:after="160"/>
        <w:ind w:left="360"/>
      </w:pPr>
      <w:r>
        <w:t>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sp.clear() still wipes automation_state_service/automation_state_values down to their empty defaults, silently, because nothing in the file exists to restore them. If you're about to import a file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6442FA7F" w14:textId="77777777" w:rsidR="00F16DB1" w:rsidRDefault="001E64C6">
      <w:pPr>
        <w:pStyle w:val="Heading2"/>
        <w:spacing w:before="280" w:after="120"/>
      </w:pPr>
      <w:bookmarkStart w:id="7" w:name="sec008"/>
      <w:r>
        <w:t>b. Import restores states wholesale — where “states I never made myself” can come from</w:t>
      </w:r>
      <w:bookmarkEnd w:id="7"/>
    </w:p>
    <w:p w14:paraId="7890CBCD" w14:textId="77777777" w:rsidR="00F16DB1" w:rsidRDefault="001E64C6">
      <w:pPr>
        <w:spacing w:after="160"/>
        <w:ind w:left="360"/>
      </w:pPr>
      <w:r>
        <w:t xml:space="preserve">Both halves of the States system — automation_state_service (which value each state is currently set to) and automation_state_values (each state's declared allowed-value list) — are ordinary exportable SharedPreferences keys, </w:t>
      </w:r>
      <w:r>
        <w:lastRenderedPageBreak/>
        <w:t>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65E7665D" w14:textId="77777777" w:rsidR="00F16DB1" w:rsidRDefault="001E64C6">
      <w:pPr>
        <w:pStyle w:val="Heading2"/>
        <w:spacing w:before="280" w:after="120"/>
      </w:pPr>
      <w:bookmarkStart w:id="8" w:name="sec009"/>
      <w:r>
        <w:t>c. Four “Keep current…” checkboxes not present in stock AAPS</w:t>
      </w:r>
      <w:bookmarkEnd w:id="8"/>
    </w:p>
    <w:p w14:paraId="794EF764" w14:textId="77777777" w:rsidR="00F16DB1" w:rsidRDefault="001E64C6">
      <w:pPr>
        <w:spacing w:after="160"/>
        <w:ind w:left="360"/>
      </w:pPr>
      <w:r>
        <w:t>Because importing an older backup would otherwise silently clobber live, device-specific state, the import summary dialog can show up to four independent “preserve this device's current value instead of the file's” checkboxes:</w:t>
      </w:r>
      <w:bookmarkStart w:id="9" w:name="here"/>
      <w:bookmarkEnd w:id="9"/>
    </w:p>
    <w:p w14:paraId="243611B5" w14:textId="77777777" w:rsidR="00F16DB1" w:rsidRDefault="001E64C6">
      <w:pPr>
        <w:spacing w:after="160"/>
        <w:ind w:left="360"/>
      </w:pPr>
      <w:r>
        <w:t>The Virtual-Pump gating on the last three exists because they matter most for Client-style mirror phones — importing a backup onto a Client shouldn't normally overwrite which real device it's mirroring, its own BG source, or its own NS connection, even though the rest of the imported settings (therapy/dosing preferences) should still apply.</w:t>
      </w:r>
    </w:p>
    <w:p w14:paraId="495211B0" w14:textId="77777777" w:rsidR="00F16DB1" w:rsidRDefault="001E64C6">
      <w:pPr>
        <w:spacing w:after="160"/>
        <w:ind w:left="360"/>
      </w:pPr>
      <w:r>
        <w:rPr>
          <w:i/>
          <w:iCs/>
        </w:rPr>
        <w:t>A separate, older precedent for the same “keep one thing across the clear()” pattern: StringKey.AapsDirectoryUri (the AAPS working-folder URI) is always snapshotted and restored automatically, with no checkbox — it's considered device plumbing, never something a backup file should be allowed to move.</w:t>
      </w:r>
    </w:p>
    <w:p w14:paraId="6C7D6AF8" w14:textId="77777777" w:rsidR="00F16DB1" w:rsidRDefault="001E64C6">
      <w:pPr>
        <w:pStyle w:val="Heading1"/>
        <w:spacing w:before="400" w:after="200"/>
      </w:pPr>
      <w:bookmarkStart w:id="10" w:name="sec010"/>
      <w:r>
        <w:t>3. Settings That Materially Affect Day-to-Day Function</w:t>
      </w:r>
      <w:bookmarkEnd w:id="10"/>
    </w:p>
    <w:p w14:paraId="227DAABA"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4A0B5426" w14:textId="77777777" w:rsidR="00F16DB1" w:rsidRDefault="001E64C6">
      <w:pPr>
        <w:pStyle w:val="Heading2"/>
        <w:spacing w:before="280" w:after="120"/>
      </w:pPr>
      <w:bookmarkStart w:id="11" w:name="sec011"/>
      <w:r>
        <w:t>a. The SMB delivery brake</w:t>
      </w:r>
      <w:bookmarkEnd w:id="11"/>
    </w:p>
    <w:p w14:paraId="2FA80096" w14:textId="77777777" w:rsidR="00F16DB1" w:rsidRDefault="001E64C6">
      <w:pPr>
        <w:spacing w:after="100"/>
        <w:ind w:left="36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5B2B389B" w14:textId="77777777" w:rsidR="00F16DB1" w:rsidRDefault="001E64C6">
      <w:pPr>
        <w:spacing w:after="100"/>
        <w:ind w:left="360"/>
      </w:pPr>
      <w:r>
        <w:t>• maxIOB threshold percent for SMB (iob_threshold_percent) — defaults to 100% (effectively off, governed only by the hard max-IOB cap). Lowering it adds a second, earlier IOB-based SMB cutoff that's easy to forget is active once set.</w:t>
      </w:r>
    </w:p>
    <w:p w14:paraId="24278267" w14:textId="77777777" w:rsidR="003D38EE" w:rsidRDefault="00A44A8D">
      <w:pPr>
        <w:pStyle w:val="Heading2"/>
      </w:pPr>
      <w:bookmarkStart w:id="12" w:name="sec012"/>
      <w:r>
        <w:t>b. Tier 3 UAM Boost: criteria, output, and duration</w:t>
      </w:r>
      <w:bookmarkEnd w:id="12"/>
    </w:p>
    <w:p w14:paraId="1AC27912" w14:textId="77777777" w:rsidR="003D38EE" w:rsidRDefault="00A44A8D">
      <w:pPr>
        <w:ind w:left="36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14:paraId="31AB5E3D" w14:textId="77777777" w:rsidR="003D38EE" w:rsidRDefault="00A44A8D">
      <w:pPr>
        <w:ind w:left="36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w:t>
      </w:r>
      <w:r>
        <w:t>ng delta makes its ratio zero and prevents entry. Tier 3 has no direct HP or HP2 criterion.</w:t>
      </w:r>
    </w:p>
    <w:p w14:paraId="164B1491" w14:textId="77777777" w:rsidR="003D38EE" w:rsidRDefault="00A44A8D">
      <w:pPr>
        <w:ind w:left="36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14:paraId="5960C050" w14:textId="77777777" w:rsidR="003D38EE" w:rsidRDefault="00A44A8D">
      <w:pPr>
        <w:ind w:left="36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14:paraId="6FBE9B65" w14:textId="77777777" w:rsidR="003D38EE" w:rsidRDefault="00A44A8D">
      <w:pPr>
        <w:ind w:left="360"/>
      </w:pPr>
      <w:r>
        <w:t xml:space="preserve">The Tier 3 candidate still passes through all shared SMB protections. These include stacking reductions, recent-low rebound reduction, late-fast-rise tapering, rolling 30-minute and 10-minute SMB limits, sub-7.5 mmol/L heavy-delivery </w:t>
      </w:r>
      <w:r>
        <w:lastRenderedPageBreak/>
        <w:t>cooldown, offset-based SMB zeroing, final rounding, and the ordinary SMB delivery-interval gate. Any of these can reduce the Tier 3 candidate or cancel delivery.</w:t>
      </w:r>
    </w:p>
    <w:p w14:paraId="7E5C65D4" w14:textId="77777777" w:rsidR="003D38EE" w:rsidRDefault="00A44A8D">
      <w:pPr>
        <w:ind w:left="36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14:paraId="39BB64D6" w14:textId="77777777" w:rsidR="003D38EE" w:rsidRDefault="00A44A8D">
      <w:pPr>
        <w:ind w:left="36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65183218" w14:textId="77777777" w:rsidR="003D38EE" w:rsidRDefault="00A44A8D">
      <w:pPr>
        <w:ind w:left="36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w:t>
      </w:r>
      <w:r>
        <w:t>r 1.5 U/30 min and 50% after 1.9 U/30 min; rapid spacing and the sub-7.5 mmol/L heavy-delivery cooldown may further reduce or zero the candidate.</w:t>
      </w:r>
    </w:p>
    <w:p w14:paraId="6C46A014" w14:textId="77777777" w:rsidR="003D38EE" w:rsidRDefault="00A44A8D">
      <w:pPr>
        <w:ind w:left="36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w:t>
      </w:r>
      <w:r>
        <w:t>aw-signal bypass when recent SMB delivery was suppressed despite a strong continuing rise.</w:t>
      </w:r>
    </w:p>
    <w:p w14:paraId="6C78058A" w14:textId="77777777" w:rsidR="003D38EE" w:rsidRDefault="00A44A8D">
      <w:pPr>
        <w:ind w:left="36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w:t>
      </w:r>
      <w:r>
        <w:t xml:space="preserve"> final cumulative-delivery protections run afterward and still take precedence.</w:t>
      </w:r>
    </w:p>
    <w:p w14:paraId="53797D16" w14:textId="77777777" w:rsidR="003D38EE" w:rsidRDefault="00A44A8D">
      <w:pPr>
        <w:ind w:left="36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w:t>
      </w:r>
      <w:r>
        <w:t>fe applies similar effects when BG is above 6.5 mmol/L, the rise is confirmed across delta horizons, IOB is at most 0.20 U, and no SMB has been delivered for 20 minutes.</w:t>
      </w:r>
    </w:p>
    <w:p w14:paraId="76C09BDE" w14:textId="77777777" w:rsidR="003D38EE" w:rsidRDefault="00A44A8D">
      <w:pPr>
        <w:ind w:left="36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w:t>
      </w:r>
      <w:r>
        <w:t>t still pass; afterward every common SMB safety modifier and the normal SMB interval still apply.</w:t>
      </w:r>
    </w:p>
    <w:p w14:paraId="56287C8C" w14:textId="77777777" w:rsidR="00F16DB1" w:rsidRDefault="001E64C6">
      <w:pPr>
        <w:pStyle w:val="Heading2"/>
        <w:spacing w:before="280" w:after="120"/>
      </w:pPr>
      <w:bookmarkStart w:id="13" w:name="sec013"/>
      <w:r>
        <w:t>c. The weight system's Resting/Boosted pairs</w:t>
      </w:r>
      <w:bookmarkEnd w:id="13"/>
    </w:p>
    <w:p w14:paraId="6A3EEC16" w14:textId="77777777" w:rsidR="00F16DB1" w:rsidRDefault="001E64C6">
      <w:pPr>
        <w:spacing w:after="160"/>
        <w:ind w:left="360"/>
      </w:pPr>
      <w:r>
        <w:t>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actually persists day to day.</w:t>
      </w:r>
    </w:p>
    <w:p w14:paraId="0AF3F10C" w14:textId="77777777" w:rsidR="00F16DB1" w:rsidRDefault="001E64C6">
      <w:pPr>
        <w:pStyle w:val="Heading2"/>
        <w:spacing w:before="280" w:after="120"/>
      </w:pPr>
      <w:bookmarkStart w:id="14" w:name="sec014"/>
      <w:r>
        <w:t>d. TDD factor / sensitivity toggles</w:t>
      </w:r>
      <w:bookmarkEnd w:id="14"/>
    </w:p>
    <w:p w14:paraId="4B72FFCC" w14:textId="77777777" w:rsidR="00F16DB1" w:rsidRDefault="001E64C6">
      <w:pPr>
        <w:spacing w:after="160"/>
        <w:ind w:left="360"/>
      </w:pPr>
      <w:r>
        <w:t>TDD Sensitivity (ISF/Basal) and TDD Factor (max_iob/insulinReq) both default on and quietly govern how much the blended-TDD ratio adjusts dosing in the background. Turning either off doesn't disable dosing — it just locks that particular ratio to neutral (1.0) or to the TDD Factor fallback value, which most users have never touched since it only matters while the toggle above it is off.</w:t>
      </w:r>
    </w:p>
    <w:p w14:paraId="15CC15EB" w14:textId="77777777" w:rsidR="00F16DB1" w:rsidRDefault="001E64C6">
      <w:pPr>
        <w:pStyle w:val="Heading2"/>
        <w:spacing w:before="280" w:after="120"/>
      </w:pPr>
      <w:bookmarkStart w:id="15" w:name="sec015"/>
      <w:r>
        <w:t>e. The overnight safety-guard architecture</w:t>
      </w:r>
      <w:bookmarkEnd w:id="15"/>
    </w:p>
    <w:p w14:paraId="5171A5EC" w14:textId="77777777" w:rsidR="00F16DB1" w:rsidRDefault="001E64C6">
      <w:pPr>
        <w:spacing w:after="160"/>
        <w:ind w:left="360"/>
      </w:pPr>
      <w:r>
        <w:t xml:space="preserve">Built after two real hypoglycemia incidents (27 Jul and 6–7 Aug 2026), this is the most safety-critical cluster of settings/automations in the fork: NightIobCeiling (00:00–06:00) and EveningIobCeiling (20:00–00:00) cap iobTH/acce </w:t>
      </w:r>
      <w:r>
        <w:lastRenderedPageBreak/>
        <w:t>weight purely on time + current value; an escalating SMB anti-stacking trim plus a cumulative 10-minute SMB-sum cap in DetermineBasalAutoISF.kt measure delivered amount rather than rate; four sites unconditionally switch to the Low profile 22:00–06:00; and OvernightDuraRescue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idiosyncrasies” below has the short version).</w:t>
      </w:r>
    </w:p>
    <w:p w14:paraId="0FF72880" w14:textId="77777777" w:rsidR="00F16DB1" w:rsidRDefault="001E64C6">
      <w:pPr>
        <w:pStyle w:val="Heading1"/>
        <w:spacing w:before="400" w:after="200"/>
      </w:pPr>
      <w:bookmarkStart w:id="16" w:name="sec016"/>
      <w:r>
        <w:t>4. Setting: If Steroids Are Needed</w:t>
      </w:r>
      <w:bookmarkEnd w:id="16"/>
    </w:p>
    <w:p w14:paraId="17D98135"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0E3E8568" w14:textId="77777777" w:rsidR="00F16DB1" w:rsidRDefault="001E64C6">
      <w:pPr>
        <w:pStyle w:val="Heading2"/>
        <w:spacing w:before="280" w:after="120"/>
      </w:pPr>
      <w:bookmarkStart w:id="17" w:name="sec017"/>
      <w:r>
        <w:t>a. Turning it on</w:t>
      </w:r>
      <w:bookmarkEnd w:id="17"/>
    </w:p>
    <w:p w14:paraId="0F908E46" w14:textId="77777777" w:rsidR="00F16DB1" w:rsidRDefault="001E64C6">
      <w:pPr>
        <w:spacing w:after="100"/>
        <w:ind w:left="360"/>
      </w:pPr>
      <w:r>
        <w:t>• GUI: “Steroid Kotlin button” setting (autoisf_steroid_kotlin_button_enabled, default on) shows a direct “Steroids ON” button on the Overview screen.</w:t>
      </w:r>
    </w:p>
    <w:p w14:paraId="37AEBC57" w14:textId="77777777" w:rsidR="00F16DB1" w:rsidRDefault="001E64C6">
      <w:pPr>
        <w:spacing w:after="100"/>
        <w:ind w:left="360"/>
      </w:pPr>
      <w:r>
        <w:t>• Requires: BooleanKey.AutomationStatesEnabled must be on (see §1) — the whole chain silently no-ops otherwise.</w:t>
      </w:r>
    </w:p>
    <w:p w14:paraId="457C3630" w14:textId="77777777" w:rsidR="00F16DB1" w:rsidRDefault="001E64C6">
      <w:pPr>
        <w:spacing w:after="100"/>
        <w:ind w:left="360"/>
      </w:pPr>
      <w:r>
        <w:t>• Also reachable via a direct TT-code (a specific temp-target value used purely as a signal, not a real target) for remote/automated triggering without opening the app — see §6 for how TT-codes are used generally in this fork.</w:t>
      </w:r>
    </w:p>
    <w:p w14:paraId="4937AE72" w14:textId="77777777" w:rsidR="00F16DB1" w:rsidRDefault="001E64C6">
      <w:pPr>
        <w:pStyle w:val="Heading2"/>
        <w:spacing w:before="280" w:after="120"/>
      </w:pPr>
      <w:bookmarkStart w:id="18" w:name="sec018"/>
      <w:r>
        <w:t>b. The escalation ladder</w:t>
      </w:r>
      <w:bookmarkEnd w:id="18"/>
    </w:p>
    <w:p w14:paraId="782C318A" w14:textId="77777777" w:rsidR="00F16DB1" w:rsidRDefault="001E64C6">
      <w:pPr>
        <w:spacing w:after="160"/>
        <w:ind w:left="36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44E56AFC" w14:textId="77777777">
        <w:trPr>
          <w:tblHeader/>
        </w:trPr>
        <w:tc>
          <w:tcPr>
            <w:tcW w:w="2600" w:type="dxa"/>
            <w:shd w:val="clear" w:color="auto" w:fill="2F5496"/>
            <w:tcMar>
              <w:top w:w="80" w:type="dxa"/>
              <w:left w:w="100" w:type="dxa"/>
              <w:bottom w:w="80" w:type="dxa"/>
              <w:right w:w="100" w:type="dxa"/>
            </w:tcMar>
          </w:tcPr>
          <w:p w14:paraId="52756B13"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D99A020"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9A0DEDE"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7B92AC35" w14:textId="77777777" w:rsidR="00F16DB1" w:rsidRDefault="001E64C6">
            <w:r>
              <w:rPr>
                <w:b/>
                <w:bCs/>
                <w:color w:val="FFFFFF"/>
                <w:sz w:val="18"/>
                <w:szCs w:val="18"/>
              </w:rPr>
              <w:t>bgAccel weight</w:t>
            </w:r>
          </w:p>
        </w:tc>
      </w:tr>
      <w:tr w:rsidR="00F16DB1" w14:paraId="74BD4525" w14:textId="77777777">
        <w:tc>
          <w:tcPr>
            <w:tcW w:w="2600" w:type="dxa"/>
            <w:tcMar>
              <w:top w:w="80" w:type="dxa"/>
              <w:left w:w="100" w:type="dxa"/>
              <w:bottom w:w="80" w:type="dxa"/>
              <w:right w:w="100" w:type="dxa"/>
            </w:tcMar>
          </w:tcPr>
          <w:p w14:paraId="30461798" w14:textId="77777777" w:rsidR="00F16DB1" w:rsidRDefault="001E64C6">
            <w:r>
              <w:rPr>
                <w:sz w:val="18"/>
                <w:szCs w:val="18"/>
              </w:rPr>
              <w:t>START (110%)</w:t>
            </w:r>
          </w:p>
        </w:tc>
        <w:tc>
          <w:tcPr>
            <w:tcW w:w="3400" w:type="dxa"/>
            <w:tcMar>
              <w:top w:w="80" w:type="dxa"/>
              <w:left w:w="100" w:type="dxa"/>
              <w:bottom w:w="80" w:type="dxa"/>
              <w:right w:w="100" w:type="dxa"/>
            </w:tcMar>
          </w:tcPr>
          <w:p w14:paraId="0C03F817" w14:textId="77777777" w:rsidR="00F16DB1" w:rsidRDefault="001E64C6">
            <w:r>
              <w:rPr>
                <w:sz w:val="18"/>
                <w:szCs w:val="18"/>
              </w:rPr>
              <w:t>Steroid Profile110</w:t>
            </w:r>
          </w:p>
        </w:tc>
        <w:tc>
          <w:tcPr>
            <w:tcW w:w="1300" w:type="dxa"/>
            <w:tcMar>
              <w:top w:w="80" w:type="dxa"/>
              <w:left w:w="100" w:type="dxa"/>
              <w:bottom w:w="80" w:type="dxa"/>
              <w:right w:w="100" w:type="dxa"/>
            </w:tcMar>
          </w:tcPr>
          <w:p w14:paraId="0F5143FB" w14:textId="77777777" w:rsidR="00F16DB1" w:rsidRDefault="001E64C6">
            <w:r>
              <w:rPr>
                <w:sz w:val="18"/>
                <w:szCs w:val="18"/>
              </w:rPr>
              <w:t>71</w:t>
            </w:r>
          </w:p>
        </w:tc>
        <w:tc>
          <w:tcPr>
            <w:tcW w:w="1780" w:type="dxa"/>
            <w:tcMar>
              <w:top w:w="80" w:type="dxa"/>
              <w:left w:w="100" w:type="dxa"/>
              <w:bottom w:w="80" w:type="dxa"/>
              <w:right w:w="100" w:type="dxa"/>
            </w:tcMar>
          </w:tcPr>
          <w:p w14:paraId="3BA99B72" w14:textId="77777777" w:rsidR="00F16DB1" w:rsidRDefault="001E64C6">
            <w:r>
              <w:rPr>
                <w:sz w:val="18"/>
                <w:szCs w:val="18"/>
              </w:rPr>
              <w:t>0.70</w:t>
            </w:r>
          </w:p>
        </w:tc>
      </w:tr>
      <w:tr w:rsidR="00F16DB1" w14:paraId="46CCFEFB" w14:textId="77777777">
        <w:tc>
          <w:tcPr>
            <w:tcW w:w="2600" w:type="dxa"/>
            <w:tcMar>
              <w:top w:w="80" w:type="dxa"/>
              <w:left w:w="100" w:type="dxa"/>
              <w:bottom w:w="80" w:type="dxa"/>
              <w:right w:w="100" w:type="dxa"/>
            </w:tcMar>
          </w:tcPr>
          <w:p w14:paraId="1C128964" w14:textId="77777777" w:rsidR="00F16DB1" w:rsidRDefault="001E64C6">
            <w:r>
              <w:rPr>
                <w:sz w:val="18"/>
                <w:szCs w:val="18"/>
              </w:rPr>
              <w:t>INCREASE (130%)</w:t>
            </w:r>
          </w:p>
        </w:tc>
        <w:tc>
          <w:tcPr>
            <w:tcW w:w="3400" w:type="dxa"/>
            <w:tcMar>
              <w:top w:w="80" w:type="dxa"/>
              <w:left w:w="100" w:type="dxa"/>
              <w:bottom w:w="80" w:type="dxa"/>
              <w:right w:w="100" w:type="dxa"/>
            </w:tcMar>
          </w:tcPr>
          <w:p w14:paraId="0E2D7901" w14:textId="77777777" w:rsidR="00F16DB1" w:rsidRDefault="001E64C6">
            <w:r>
              <w:rPr>
                <w:sz w:val="18"/>
                <w:szCs w:val="18"/>
              </w:rPr>
              <w:t>Steroid Profile130</w:t>
            </w:r>
          </w:p>
        </w:tc>
        <w:tc>
          <w:tcPr>
            <w:tcW w:w="1300" w:type="dxa"/>
            <w:tcMar>
              <w:top w:w="80" w:type="dxa"/>
              <w:left w:w="100" w:type="dxa"/>
              <w:bottom w:w="80" w:type="dxa"/>
              <w:right w:w="100" w:type="dxa"/>
            </w:tcMar>
          </w:tcPr>
          <w:p w14:paraId="0187CD45" w14:textId="77777777" w:rsidR="00F16DB1" w:rsidRDefault="001E64C6">
            <w:r>
              <w:rPr>
                <w:sz w:val="18"/>
                <w:szCs w:val="18"/>
              </w:rPr>
              <w:t>73</w:t>
            </w:r>
          </w:p>
        </w:tc>
        <w:tc>
          <w:tcPr>
            <w:tcW w:w="1780" w:type="dxa"/>
            <w:tcMar>
              <w:top w:w="80" w:type="dxa"/>
              <w:left w:w="100" w:type="dxa"/>
              <w:bottom w:w="80" w:type="dxa"/>
              <w:right w:w="100" w:type="dxa"/>
            </w:tcMar>
          </w:tcPr>
          <w:p w14:paraId="51DA827E" w14:textId="77777777" w:rsidR="00F16DB1" w:rsidRDefault="001E64C6">
            <w:r>
              <w:rPr>
                <w:sz w:val="18"/>
                <w:szCs w:val="18"/>
              </w:rPr>
              <w:t>0.70</w:t>
            </w:r>
          </w:p>
        </w:tc>
      </w:tr>
      <w:tr w:rsidR="00F16DB1" w14:paraId="0B40061E" w14:textId="77777777">
        <w:tc>
          <w:tcPr>
            <w:tcW w:w="2600" w:type="dxa"/>
            <w:tcMar>
              <w:top w:w="80" w:type="dxa"/>
              <w:left w:w="100" w:type="dxa"/>
              <w:bottom w:w="80" w:type="dxa"/>
              <w:right w:w="100" w:type="dxa"/>
            </w:tcMar>
          </w:tcPr>
          <w:p w14:paraId="415EB501" w14:textId="77777777" w:rsidR="00F16DB1" w:rsidRDefault="001E64C6">
            <w:r>
              <w:rPr>
                <w:sz w:val="18"/>
                <w:szCs w:val="18"/>
              </w:rPr>
              <w:t>INCREASE (150%)</w:t>
            </w:r>
          </w:p>
        </w:tc>
        <w:tc>
          <w:tcPr>
            <w:tcW w:w="3400" w:type="dxa"/>
            <w:tcMar>
              <w:top w:w="80" w:type="dxa"/>
              <w:left w:w="100" w:type="dxa"/>
              <w:bottom w:w="80" w:type="dxa"/>
              <w:right w:w="100" w:type="dxa"/>
            </w:tcMar>
          </w:tcPr>
          <w:p w14:paraId="6952CEB0" w14:textId="77777777" w:rsidR="00F16DB1" w:rsidRDefault="001E64C6">
            <w:r>
              <w:rPr>
                <w:sz w:val="18"/>
                <w:szCs w:val="18"/>
              </w:rPr>
              <w:t>Steroid Profile150</w:t>
            </w:r>
          </w:p>
        </w:tc>
        <w:tc>
          <w:tcPr>
            <w:tcW w:w="1300" w:type="dxa"/>
            <w:tcMar>
              <w:top w:w="80" w:type="dxa"/>
              <w:left w:w="100" w:type="dxa"/>
              <w:bottom w:w="80" w:type="dxa"/>
              <w:right w:w="100" w:type="dxa"/>
            </w:tcMar>
          </w:tcPr>
          <w:p w14:paraId="28D02249" w14:textId="77777777" w:rsidR="00F16DB1" w:rsidRDefault="001E64C6">
            <w:r>
              <w:rPr>
                <w:sz w:val="18"/>
                <w:szCs w:val="18"/>
              </w:rPr>
              <w:t>74</w:t>
            </w:r>
          </w:p>
        </w:tc>
        <w:tc>
          <w:tcPr>
            <w:tcW w:w="1780" w:type="dxa"/>
            <w:tcMar>
              <w:top w:w="80" w:type="dxa"/>
              <w:left w:w="100" w:type="dxa"/>
              <w:bottom w:w="80" w:type="dxa"/>
              <w:right w:w="100" w:type="dxa"/>
            </w:tcMar>
          </w:tcPr>
          <w:p w14:paraId="53C01705" w14:textId="77777777" w:rsidR="00F16DB1" w:rsidRDefault="001E64C6">
            <w:r>
              <w:rPr>
                <w:sz w:val="18"/>
                <w:szCs w:val="18"/>
              </w:rPr>
              <w:t>0.70</w:t>
            </w:r>
          </w:p>
        </w:tc>
      </w:tr>
      <w:tr w:rsidR="00F16DB1" w14:paraId="167FB9BD" w14:textId="77777777">
        <w:tc>
          <w:tcPr>
            <w:tcW w:w="2600" w:type="dxa"/>
            <w:tcMar>
              <w:top w:w="80" w:type="dxa"/>
              <w:left w:w="100" w:type="dxa"/>
              <w:bottom w:w="80" w:type="dxa"/>
              <w:right w:w="100" w:type="dxa"/>
            </w:tcMar>
          </w:tcPr>
          <w:p w14:paraId="32376492" w14:textId="77777777" w:rsidR="00F16DB1" w:rsidRDefault="001E64C6">
            <w:r>
              <w:rPr>
                <w:sz w:val="18"/>
                <w:szCs w:val="18"/>
              </w:rPr>
              <w:t>INCREASE (190%)</w:t>
            </w:r>
          </w:p>
        </w:tc>
        <w:tc>
          <w:tcPr>
            <w:tcW w:w="3400" w:type="dxa"/>
            <w:tcMar>
              <w:top w:w="80" w:type="dxa"/>
              <w:left w:w="100" w:type="dxa"/>
              <w:bottom w:w="80" w:type="dxa"/>
              <w:right w:w="100" w:type="dxa"/>
            </w:tcMar>
          </w:tcPr>
          <w:p w14:paraId="121A0D4F" w14:textId="77777777" w:rsidR="00F16DB1" w:rsidRDefault="001E64C6">
            <w:r>
              <w:rPr>
                <w:sz w:val="18"/>
                <w:szCs w:val="18"/>
              </w:rPr>
              <w:t>Current Profile190Real</w:t>
            </w:r>
          </w:p>
        </w:tc>
        <w:tc>
          <w:tcPr>
            <w:tcW w:w="1300" w:type="dxa"/>
            <w:tcMar>
              <w:top w:w="80" w:type="dxa"/>
              <w:left w:w="100" w:type="dxa"/>
              <w:bottom w:w="80" w:type="dxa"/>
              <w:right w:w="100" w:type="dxa"/>
            </w:tcMar>
          </w:tcPr>
          <w:p w14:paraId="0C7D4221" w14:textId="77777777" w:rsidR="00F16DB1" w:rsidRDefault="001E64C6">
            <w:r>
              <w:rPr>
                <w:sz w:val="18"/>
                <w:szCs w:val="18"/>
              </w:rPr>
              <w:t>75</w:t>
            </w:r>
          </w:p>
        </w:tc>
        <w:tc>
          <w:tcPr>
            <w:tcW w:w="1780" w:type="dxa"/>
            <w:tcMar>
              <w:top w:w="80" w:type="dxa"/>
              <w:left w:w="100" w:type="dxa"/>
              <w:bottom w:w="80" w:type="dxa"/>
              <w:right w:w="100" w:type="dxa"/>
            </w:tcMar>
          </w:tcPr>
          <w:p w14:paraId="3C5EA8D5" w14:textId="77777777" w:rsidR="00F16DB1" w:rsidRDefault="001E64C6">
            <w:r>
              <w:rPr>
                <w:sz w:val="18"/>
                <w:szCs w:val="18"/>
              </w:rPr>
              <w:t>0.70</w:t>
            </w:r>
          </w:p>
        </w:tc>
      </w:tr>
      <w:tr w:rsidR="00F16DB1" w14:paraId="38961E2D" w14:textId="77777777">
        <w:tc>
          <w:tcPr>
            <w:tcW w:w="2600" w:type="dxa"/>
            <w:tcMar>
              <w:top w:w="80" w:type="dxa"/>
              <w:left w:w="100" w:type="dxa"/>
              <w:bottom w:w="80" w:type="dxa"/>
              <w:right w:w="100" w:type="dxa"/>
            </w:tcMar>
          </w:tcPr>
          <w:p w14:paraId="3D0550A4" w14:textId="77777777" w:rsidR="00F16DB1" w:rsidRDefault="001E64C6">
            <w:r>
              <w:rPr>
                <w:sz w:val="18"/>
                <w:szCs w:val="18"/>
              </w:rPr>
              <w:t>INCREASE (250%)</w:t>
            </w:r>
          </w:p>
        </w:tc>
        <w:tc>
          <w:tcPr>
            <w:tcW w:w="3400" w:type="dxa"/>
            <w:tcMar>
              <w:top w:w="80" w:type="dxa"/>
              <w:left w:w="100" w:type="dxa"/>
              <w:bottom w:w="80" w:type="dxa"/>
              <w:right w:w="100" w:type="dxa"/>
            </w:tcMar>
          </w:tcPr>
          <w:p w14:paraId="0FF37A46" w14:textId="77777777" w:rsidR="00F16DB1" w:rsidRDefault="001E64C6">
            <w:r>
              <w:rPr>
                <w:sz w:val="18"/>
                <w:szCs w:val="18"/>
              </w:rPr>
              <w:t>Current ProfileReal250</w:t>
            </w:r>
          </w:p>
        </w:tc>
        <w:tc>
          <w:tcPr>
            <w:tcW w:w="1300" w:type="dxa"/>
            <w:tcMar>
              <w:top w:w="80" w:type="dxa"/>
              <w:left w:w="100" w:type="dxa"/>
              <w:bottom w:w="80" w:type="dxa"/>
              <w:right w:w="100" w:type="dxa"/>
            </w:tcMar>
          </w:tcPr>
          <w:p w14:paraId="0AA688FA" w14:textId="77777777" w:rsidR="00F16DB1" w:rsidRDefault="001E64C6">
            <w:r>
              <w:rPr>
                <w:sz w:val="18"/>
                <w:szCs w:val="18"/>
              </w:rPr>
              <w:t>76</w:t>
            </w:r>
          </w:p>
        </w:tc>
        <w:tc>
          <w:tcPr>
            <w:tcW w:w="1780" w:type="dxa"/>
            <w:tcMar>
              <w:top w:w="80" w:type="dxa"/>
              <w:left w:w="100" w:type="dxa"/>
              <w:bottom w:w="80" w:type="dxa"/>
              <w:right w:w="100" w:type="dxa"/>
            </w:tcMar>
          </w:tcPr>
          <w:p w14:paraId="31E1A57B" w14:textId="77777777" w:rsidR="00F16DB1" w:rsidRDefault="001E64C6">
            <w:r>
              <w:rPr>
                <w:sz w:val="18"/>
                <w:szCs w:val="18"/>
              </w:rPr>
              <w:t>0.70</w:t>
            </w:r>
          </w:p>
        </w:tc>
      </w:tr>
      <w:tr w:rsidR="00F16DB1" w14:paraId="77F71913" w14:textId="77777777">
        <w:tc>
          <w:tcPr>
            <w:tcW w:w="2600" w:type="dxa"/>
            <w:tcMar>
              <w:top w:w="80" w:type="dxa"/>
              <w:left w:w="100" w:type="dxa"/>
              <w:bottom w:w="80" w:type="dxa"/>
              <w:right w:w="100" w:type="dxa"/>
            </w:tcMar>
          </w:tcPr>
          <w:p w14:paraId="72106A8E" w14:textId="77777777" w:rsidR="00F16DB1" w:rsidRDefault="001E64C6">
            <w:r>
              <w:rPr>
                <w:sz w:val="18"/>
                <w:szCs w:val="18"/>
              </w:rPr>
              <w:t>TURN OFF</w:t>
            </w:r>
          </w:p>
        </w:tc>
        <w:tc>
          <w:tcPr>
            <w:tcW w:w="3400" w:type="dxa"/>
            <w:tcMar>
              <w:top w:w="80" w:type="dxa"/>
              <w:left w:w="100" w:type="dxa"/>
              <w:bottom w:w="80" w:type="dxa"/>
              <w:right w:w="100" w:type="dxa"/>
            </w:tcMar>
          </w:tcPr>
          <w:p w14:paraId="7AD4AAFD" w14:textId="77777777" w:rsidR="00F16DB1" w:rsidRDefault="001E64C6">
            <w:r>
              <w:rPr>
                <w:sz w:val="18"/>
                <w:szCs w:val="18"/>
              </w:rPr>
              <w:t>Current ProfileReal</w:t>
            </w:r>
          </w:p>
        </w:tc>
        <w:tc>
          <w:tcPr>
            <w:tcW w:w="1300" w:type="dxa"/>
            <w:tcMar>
              <w:top w:w="80" w:type="dxa"/>
              <w:left w:w="100" w:type="dxa"/>
              <w:bottom w:w="80" w:type="dxa"/>
              <w:right w:w="100" w:type="dxa"/>
            </w:tcMar>
          </w:tcPr>
          <w:p w14:paraId="4BB0B135" w14:textId="77777777" w:rsidR="00F16DB1" w:rsidRDefault="001E64C6">
            <w:r>
              <w:rPr>
                <w:sz w:val="18"/>
                <w:szCs w:val="18"/>
              </w:rPr>
              <w:t>71</w:t>
            </w:r>
          </w:p>
        </w:tc>
        <w:tc>
          <w:tcPr>
            <w:tcW w:w="1780" w:type="dxa"/>
            <w:tcMar>
              <w:top w:w="80" w:type="dxa"/>
              <w:left w:w="100" w:type="dxa"/>
              <w:bottom w:w="80" w:type="dxa"/>
              <w:right w:w="100" w:type="dxa"/>
            </w:tcMar>
          </w:tcPr>
          <w:p w14:paraId="548B1D7D" w14:textId="77777777" w:rsidR="00F16DB1" w:rsidRDefault="001E64C6">
            <w:r>
              <w:rPr>
                <w:sz w:val="18"/>
                <w:szCs w:val="18"/>
              </w:rPr>
              <w:t>0.71</w:t>
            </w:r>
          </w:p>
        </w:tc>
      </w:tr>
    </w:tbl>
    <w:p w14:paraId="5D89F7D8" w14:textId="77777777" w:rsidR="00F16DB1" w:rsidRDefault="001E64C6">
      <w:pPr>
        <w:spacing w:after="160"/>
        <w:ind w:left="36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several unrelated automations elsewhere in the fork explicitly check checkAutomationState("Steroids", "Steroids Off") as one of their own preconditions — turning steroids on doesn't just change dosing directly, it also silences a number of other automations that assume a normal (non-steroid) state.</w:t>
      </w:r>
    </w:p>
    <w:p w14:paraId="10F602BF" w14:textId="77777777" w:rsidR="003D38EE" w:rsidRDefault="00A44A8D">
      <w:pPr>
        <w:pStyle w:val="Heading1"/>
      </w:pPr>
      <w:bookmarkStart w:id="19" w:name="sec019"/>
      <w:r>
        <w:t>5. Mounjaro (MJ): three-day reduced-insulin cycle</w:t>
      </w:r>
      <w:bookmarkEnd w:id="19"/>
    </w:p>
    <w:p w14:paraId="48D414BB" w14:textId="77777777" w:rsidR="003D38EE" w:rsidRDefault="00A44A8D">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0B2C1E62" w14:textId="77777777" w:rsidR="003D38EE" w:rsidRDefault="00A44A8D">
      <w:pPr>
        <w:pStyle w:val="Heading2"/>
      </w:pPr>
      <w:bookmarkStart w:id="20" w:name="sec020"/>
      <w:r>
        <w:t>a. Starting the cycle</w:t>
      </w:r>
      <w:bookmarkEnd w:id="20"/>
    </w:p>
    <w:p w14:paraId="36963DEA" w14:textId="77777777" w:rsidR="003D38EE" w:rsidRDefault="00A44A8D">
      <w:pPr>
        <w:ind w:left="360"/>
      </w:pPr>
      <w:r>
        <w:t xml:space="preserve">The start button is offered when Automation State MJ is NOMJremains. Automation States must be enabled; otherwise the action returns without changing anything. After confirmation, the code sends the SMS “Injection MJ 0.35_.70”, </w:t>
      </w:r>
      <w:r>
        <w:lastRenderedPageBreak/>
        <w:t>creates an urgent MJ notification and graph announcement, sets bgAccel_ISF_weight to 0.35, sets iob_threshold_percent to 70, switches to the configured Low Profile, changes MJ to MJ active, and writes the CarePortal note “MJ active”.</w:t>
      </w:r>
    </w:p>
    <w:p w14:paraId="3CD20935" w14:textId="77777777" w:rsidR="003D38EE" w:rsidRDefault="00A44A8D">
      <w:pPr>
        <w:ind w:left="36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14:paraId="60B80FDE" w14:textId="77777777" w:rsidR="003D38EE" w:rsidRDefault="00A44A8D">
      <w:pPr>
        <w:pStyle w:val="Heading2"/>
      </w:pPr>
      <w:bookmarkStart w:id="21" w:name="sec021"/>
      <w:r>
        <w:t>b. Day-by-day state progression</w:t>
      </w:r>
      <w:bookmarkEnd w:id="21"/>
    </w:p>
    <w:p w14:paraId="10459AC8" w14:textId="77777777" w:rsidR="003D38EE" w:rsidRDefault="00A44A8D">
      <w:pPr>
        <w:ind w:left="360"/>
      </w:pPr>
      <w:r>
        <w:t>Day 1 — MJ active: this state begins immediately after the Mounjaro start action. While MJ is literally MJ active, several automations apply their MJ-specific branches or block stronger non-MJ behavior.</w:t>
      </w:r>
    </w:p>
    <w:p w14:paraId="594FAA0B" w14:textId="77777777" w:rsidR="003D38EE" w:rsidRDefault="00A44A8D">
      <w:pPr>
        <w:ind w:left="360"/>
      </w:pPr>
      <w:r>
        <w:t>Day 2 — MJ2: when MJ is still MJ active, the MJ2 automation can advance it to MJ2 during 02:10–03:10. It sends “MJ2” and records the CarePortal note MJ2.</w:t>
      </w:r>
    </w:p>
    <w:p w14:paraId="603B5B75" w14:textId="77777777" w:rsidR="003D38EE" w:rsidRDefault="00A44A8D">
      <w:pPr>
        <w:ind w:left="360"/>
      </w:pPr>
      <w:r>
        <w:t>Day 3 — MJ3: when MJ is MJ2, the MJ3 automation can advance it to MJ3 during 01:05–02:05 on a later pass through that window. It sends “MJ3” and records the CarePortal note MJ3.</w:t>
      </w:r>
    </w:p>
    <w:p w14:paraId="6030942F" w14:textId="77777777" w:rsidR="003D38EE" w:rsidRDefault="00A44A8D">
      <w:pPr>
        <w:ind w:left="36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14:paraId="42B1B281" w14:textId="77777777" w:rsidR="003D38EE" w:rsidRDefault="00A44A8D">
      <w:pPr>
        <w:pStyle w:val="Heading2"/>
      </w:pPr>
      <w:bookmarkStart w:id="22" w:name="sec022"/>
      <w:r>
        <w:t>c. What changes while MJ remains active</w:t>
      </w:r>
      <w:bookmarkEnd w:id="22"/>
    </w:p>
    <w:p w14:paraId="3619DA20" w14:textId="77777777" w:rsidR="003D38EE" w:rsidRDefault="00A44A8D">
      <w:pPr>
        <w:ind w:left="36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14:paraId="18D1E09C" w14:textId="77777777" w:rsidR="003D38EE" w:rsidRDefault="00A44A8D">
      <w:pPr>
        <w:ind w:left="36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14:paraId="46A27220" w14:textId="77777777" w:rsidR="003D38EE" w:rsidRDefault="00A44A8D">
      <w:pPr>
        <w:pStyle w:val="Heading2"/>
      </w:pPr>
      <w:bookmarkStart w:id="23" w:name="sec023"/>
      <w:r>
        <w:t>d. Hypoglycaemia warnings and protective overrides</w:t>
      </w:r>
      <w:bookmarkEnd w:id="23"/>
    </w:p>
    <w:p w14:paraId="61010AF7" w14:textId="77777777" w:rsidR="003D38EE" w:rsidRDefault="00A44A8D">
      <w:pPr>
        <w:ind w:left="36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14:paraId="000EA1AB" w14:textId="77777777" w:rsidR="003D38EE" w:rsidRDefault="00A44A8D">
      <w:pPr>
        <w:ind w:left="36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14:paraId="4C5CBADE" w14:textId="77777777" w:rsidR="003D38EE" w:rsidRDefault="00A44A8D">
      <w:pPr>
        <w:ind w:left="360"/>
      </w:pPr>
      <w:r>
        <w:t>Because the protective automations and MJ state machine are separate mechanisms, a hypoglycaemia alert should be treated as an override requiring attention, not as evidence that the three-day cycle has already been completely cleared.</w:t>
      </w:r>
    </w:p>
    <w:p w14:paraId="1C79B4C3" w14:textId="77777777" w:rsidR="003D38EE" w:rsidRDefault="00A44A8D">
      <w:pPr>
        <w:pStyle w:val="Heading2"/>
      </w:pPr>
      <w:bookmarkStart w:id="24" w:name="sec024"/>
      <w:r>
        <w:t>e. Automatic exit and manual restoration</w:t>
      </w:r>
      <w:bookmarkEnd w:id="24"/>
    </w:p>
    <w:p w14:paraId="0418635A" w14:textId="77777777" w:rsidR="003D38EE" w:rsidRDefault="00A44A8D">
      <w:pPr>
        <w:ind w:left="36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14:paraId="36A82440" w14:textId="77777777" w:rsidR="003D38EE" w:rsidRDefault="00A44A8D">
      <w:pPr>
        <w:ind w:left="36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6B8379B3" w14:textId="77777777" w:rsidR="00F16DB1" w:rsidRDefault="001E64C6">
      <w:pPr>
        <w:pStyle w:val="Heading1"/>
        <w:spacing w:before="400" w:after="200"/>
      </w:pPr>
      <w:bookmarkStart w:id="25" w:name="sec025"/>
      <w:r>
        <w:t>6. Mechanism For Ignoring Or Invoking Native Automations</w:t>
      </w:r>
      <w:bookmarkEnd w:id="25"/>
    </w:p>
    <w:p w14:paraId="2DE0A8B0"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1EB427B4" w14:textId="77777777" w:rsidR="00F16DB1" w:rsidRDefault="001E64C6">
      <w:pPr>
        <w:pStyle w:val="Heading2"/>
        <w:spacing w:before="280" w:after="120"/>
      </w:pPr>
      <w:bookmarkStart w:id="26" w:name="sec026"/>
      <w:r>
        <w:t>a. The reconciliation mechanism</w:t>
      </w:r>
      <w:bookmarkEnd w:id="26"/>
    </w:p>
    <w:p w14:paraId="0063EDF9" w14:textId="77777777" w:rsidR="00F16DB1" w:rsidRDefault="001E64C6">
      <w:pPr>
        <w:spacing w:after="160"/>
        <w:ind w:left="360"/>
      </w:pPr>
      <w:r>
        <w:lastRenderedPageBreak/>
        <w:t>CodedAutomationNames.kt keeps a hand-maintained registry of every readyToRun()/markRun() key used by the coded-automation layer (currently 100+ keys, extracted via a documented grep one-liner whenever the list drifts). AutomationPlugin.kt classifies each native Automation-tab event's title against that registry every time it decides whether to actually run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7DF13A03" w14:textId="77777777">
        <w:trPr>
          <w:tblHeader/>
        </w:trPr>
        <w:tc>
          <w:tcPr>
            <w:tcW w:w="1400" w:type="dxa"/>
            <w:shd w:val="clear" w:color="auto" w:fill="2F5496"/>
            <w:tcMar>
              <w:top w:w="80" w:type="dxa"/>
              <w:left w:w="100" w:type="dxa"/>
              <w:bottom w:w="80" w:type="dxa"/>
              <w:right w:w="100" w:type="dxa"/>
            </w:tcMar>
          </w:tcPr>
          <w:p w14:paraId="14AD2B2C"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525DF5ED"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79B05D1E" w14:textId="77777777" w:rsidR="00F16DB1" w:rsidRDefault="001E64C6">
            <w:r>
              <w:rPr>
                <w:b/>
                <w:bCs/>
                <w:color w:val="FFFFFF"/>
                <w:sz w:val="18"/>
                <w:szCs w:val="18"/>
              </w:rPr>
              <w:t>Effect on the native event</w:t>
            </w:r>
          </w:p>
        </w:tc>
      </w:tr>
      <w:tr w:rsidR="00F16DB1" w14:paraId="1A0732A6" w14:textId="77777777">
        <w:tc>
          <w:tcPr>
            <w:tcW w:w="1400" w:type="dxa"/>
            <w:tcMar>
              <w:top w:w="80" w:type="dxa"/>
              <w:left w:w="100" w:type="dxa"/>
              <w:bottom w:w="80" w:type="dxa"/>
              <w:right w:w="100" w:type="dxa"/>
            </w:tcMar>
          </w:tcPr>
          <w:p w14:paraId="2A4B7782" w14:textId="77777777" w:rsidR="00F16DB1" w:rsidRDefault="001E64C6">
            <w:r>
              <w:rPr>
                <w:sz w:val="18"/>
                <w:szCs w:val="18"/>
              </w:rPr>
              <w:t>EXACT</w:t>
            </w:r>
          </w:p>
        </w:tc>
        <w:tc>
          <w:tcPr>
            <w:tcW w:w="4400" w:type="dxa"/>
            <w:tcMar>
              <w:top w:w="80" w:type="dxa"/>
              <w:left w:w="100" w:type="dxa"/>
              <w:bottom w:w="80" w:type="dxa"/>
              <w:right w:w="100" w:type="dxa"/>
            </w:tcMar>
          </w:tcPr>
          <w:p w14:paraId="2C3477CA"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73E457BF" w14:textId="77777777" w:rsidR="00F16DB1" w:rsidRDefault="001E64C6">
            <w:r>
              <w:rPr>
                <w:sz w:val="18"/>
                <w:szCs w:val="18"/>
              </w:rPr>
              <w:t>Always suppressed — the coded equivalent is assumed to be running every cycle instead, no user choice involved</w:t>
            </w:r>
          </w:p>
        </w:tc>
      </w:tr>
      <w:tr w:rsidR="00F16DB1" w14:paraId="53E10810" w14:textId="77777777">
        <w:tc>
          <w:tcPr>
            <w:tcW w:w="1400" w:type="dxa"/>
            <w:tcMar>
              <w:top w:w="80" w:type="dxa"/>
              <w:left w:w="100" w:type="dxa"/>
              <w:bottom w:w="80" w:type="dxa"/>
              <w:right w:w="100" w:type="dxa"/>
            </w:tcMar>
          </w:tcPr>
          <w:p w14:paraId="212ED250" w14:textId="77777777" w:rsidR="00F16DB1" w:rsidRDefault="001E64C6">
            <w:r>
              <w:rPr>
                <w:sz w:val="18"/>
                <w:szCs w:val="18"/>
              </w:rPr>
              <w:t>CLOSE</w:t>
            </w:r>
          </w:p>
        </w:tc>
        <w:tc>
          <w:tcPr>
            <w:tcW w:w="4400" w:type="dxa"/>
            <w:tcMar>
              <w:top w:w="80" w:type="dxa"/>
              <w:left w:w="100" w:type="dxa"/>
              <w:bottom w:w="80" w:type="dxa"/>
              <w:right w:w="100" w:type="dxa"/>
            </w:tcMar>
          </w:tcPr>
          <w:p w14:paraId="1C470FE5"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6D398CF2" w14:textId="77777777" w:rsidR="00F16DB1" w:rsidRDefault="001E64C6">
            <w:r>
              <w:rPr>
                <w:sz w:val="18"/>
                <w:szCs w:val="18"/>
              </w:rPr>
              <w:t>Suppressed only if the user hasn't explicitly accepted it via the review popup (below); a prior “accept” decision (persisted per title) lets it run</w:t>
            </w:r>
          </w:p>
        </w:tc>
      </w:tr>
      <w:tr w:rsidR="00F16DB1" w14:paraId="48BBEBE4" w14:textId="77777777">
        <w:tc>
          <w:tcPr>
            <w:tcW w:w="1400" w:type="dxa"/>
            <w:tcMar>
              <w:top w:w="80" w:type="dxa"/>
              <w:left w:w="100" w:type="dxa"/>
              <w:bottom w:w="80" w:type="dxa"/>
              <w:right w:w="100" w:type="dxa"/>
            </w:tcMar>
          </w:tcPr>
          <w:p w14:paraId="7AFF3A3B" w14:textId="77777777" w:rsidR="00F16DB1" w:rsidRDefault="001E64C6">
            <w:r>
              <w:rPr>
                <w:sz w:val="18"/>
                <w:szCs w:val="18"/>
              </w:rPr>
              <w:t>NONE</w:t>
            </w:r>
          </w:p>
        </w:tc>
        <w:tc>
          <w:tcPr>
            <w:tcW w:w="4400" w:type="dxa"/>
            <w:tcMar>
              <w:top w:w="80" w:type="dxa"/>
              <w:left w:w="100" w:type="dxa"/>
              <w:bottom w:w="80" w:type="dxa"/>
              <w:right w:w="100" w:type="dxa"/>
            </w:tcMar>
          </w:tcPr>
          <w:p w14:paraId="2C69E345"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75408F07" w14:textId="77777777" w:rsidR="00F16DB1" w:rsidRDefault="001E64C6">
            <w:r>
              <w:rPr>
                <w:sz w:val="18"/>
                <w:szCs w:val="18"/>
              </w:rPr>
              <w:t>Never touched — runs exactly as stock AAPS would</w:t>
            </w:r>
          </w:p>
        </w:tc>
      </w:tr>
    </w:tbl>
    <w:p w14:paraId="6C55567A" w14:textId="77777777" w:rsidR="00F16DB1" w:rsidRDefault="001E64C6">
      <w:pPr>
        <w:spacing w:after="160"/>
        <w:ind w:left="360"/>
      </w:pPr>
      <w:r>
        <w:t>CLOSE matches surface as a review popup (pendingCodedAutomationReviews(),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20E37F8E" w14:textId="77777777" w:rsidR="00F16DB1" w:rsidRDefault="001E64C6">
      <w:pPr>
        <w:pStyle w:val="Heading2"/>
        <w:spacing w:before="280" w:after="120"/>
      </w:pPr>
      <w:bookmarkStart w:id="27" w:name="sec027"/>
      <w:r>
        <w:t>b. The suppression only applies while AutoISF is actually the active algorithm</w:t>
      </w:r>
      <w:bookmarkEnd w:id="27"/>
    </w:p>
    <w:p w14:paraId="52A14087" w14:textId="77777777" w:rsidR="00F16DB1" w:rsidRDefault="001E64C6">
      <w:pPr>
        <w:spacing w:after="160"/>
        <w:ind w:left="360"/>
      </w:pPr>
      <w:r>
        <w:t>The whole mechanism is additionally gated on preferences.get(BooleanKey.ApsAutoIsfCustomAutomationsEnabled) AND the currently active APS algorithm actually being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0F3561FF" w14:textId="77777777" w:rsidR="00F16DB1" w:rsidRDefault="001E64C6">
      <w:pPr>
        <w:pStyle w:val="Heading1"/>
        <w:spacing w:before="400" w:after="200"/>
      </w:pPr>
      <w:bookmarkStart w:id="28" w:name="sec028"/>
      <w:r>
        <w:t>7. Other Idiosyncrasies Worth Knowing</w:t>
      </w:r>
      <w:bookmarkEnd w:id="28"/>
    </w:p>
    <w:p w14:paraId="0DFD3D25" w14:textId="77777777" w:rsidR="00F16DB1" w:rsidRDefault="001E64C6">
      <w:pPr>
        <w:pStyle w:val="Heading2"/>
        <w:spacing w:before="280" w:after="120"/>
      </w:pPr>
      <w:bookmarkStart w:id="29" w:name="sec029"/>
      <w:r>
        <w:t>a. CarePortal note codes as a compact diagnostic language</w:t>
      </w:r>
      <w:bookmarkEnd w:id="29"/>
    </w:p>
    <w:p w14:paraId="471F6F2F" w14:textId="77777777" w:rsidR="00F16DB1" w:rsidRDefault="001E64C6">
      <w:pPr>
        <w:spacing w:after="160"/>
        <w:ind w:left="360"/>
      </w:pPr>
      <w:r>
        <w:t>Rather than free-text notes, several export/automation pathways write short fixed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2D953EDC" w14:textId="77777777">
        <w:trPr>
          <w:tblHeader/>
        </w:trPr>
        <w:tc>
          <w:tcPr>
            <w:tcW w:w="2600" w:type="dxa"/>
            <w:shd w:val="clear" w:color="auto" w:fill="2F5496"/>
            <w:tcMar>
              <w:top w:w="80" w:type="dxa"/>
              <w:left w:w="100" w:type="dxa"/>
              <w:bottom w:w="80" w:type="dxa"/>
              <w:right w:w="100" w:type="dxa"/>
            </w:tcMar>
          </w:tcPr>
          <w:p w14:paraId="1BF94780"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4538C2C8" w14:textId="77777777" w:rsidR="00F16DB1" w:rsidRDefault="001E64C6">
            <w:r>
              <w:rPr>
                <w:b/>
                <w:bCs/>
                <w:color w:val="FFFFFF"/>
                <w:sz w:val="18"/>
                <w:szCs w:val="18"/>
              </w:rPr>
              <w:t>Meaning</w:t>
            </w:r>
          </w:p>
        </w:tc>
      </w:tr>
      <w:tr w:rsidR="00F16DB1" w14:paraId="0646ED2E" w14:textId="77777777">
        <w:tc>
          <w:tcPr>
            <w:tcW w:w="2600" w:type="dxa"/>
            <w:tcMar>
              <w:top w:w="80" w:type="dxa"/>
              <w:left w:w="100" w:type="dxa"/>
              <w:bottom w:w="80" w:type="dxa"/>
              <w:right w:w="100" w:type="dxa"/>
            </w:tcMar>
          </w:tcPr>
          <w:p w14:paraId="51994D58" w14:textId="77777777" w:rsidR="00F16DB1" w:rsidRDefault="001E64C6">
            <w:r>
              <w:rPr>
                <w:sz w:val="18"/>
                <w:szCs w:val="18"/>
              </w:rPr>
              <w:t>AVLs / AVLf</w:t>
            </w:r>
          </w:p>
        </w:tc>
        <w:tc>
          <w:tcPr>
            <w:tcW w:w="6980" w:type="dxa"/>
            <w:tcMar>
              <w:top w:w="80" w:type="dxa"/>
              <w:left w:w="100" w:type="dxa"/>
              <w:bottom w:w="80" w:type="dxa"/>
              <w:right w:w="100" w:type="dxa"/>
            </w:tcMar>
          </w:tcPr>
          <w:p w14:paraId="0139177E" w14:textId="77777777" w:rsidR="00F16DB1" w:rsidRDefault="001E64C6">
            <w:r>
              <w:rPr>
                <w:sz w:val="18"/>
                <w:szCs w:val="18"/>
              </w:rPr>
              <w:t>AIV local export succeeded / failed</w:t>
            </w:r>
          </w:p>
        </w:tc>
      </w:tr>
      <w:tr w:rsidR="00F16DB1" w14:paraId="608222B7" w14:textId="77777777">
        <w:tc>
          <w:tcPr>
            <w:tcW w:w="2600" w:type="dxa"/>
            <w:tcMar>
              <w:top w:w="80" w:type="dxa"/>
              <w:left w:w="100" w:type="dxa"/>
              <w:bottom w:w="80" w:type="dxa"/>
              <w:right w:w="100" w:type="dxa"/>
            </w:tcMar>
          </w:tcPr>
          <w:p w14:paraId="6A05BE39" w14:textId="77777777" w:rsidR="00F16DB1" w:rsidRDefault="001E64C6">
            <w:r>
              <w:rPr>
                <w:sz w:val="18"/>
                <w:szCs w:val="18"/>
              </w:rPr>
              <w:t>ACEs / ACEf</w:t>
            </w:r>
          </w:p>
        </w:tc>
        <w:tc>
          <w:tcPr>
            <w:tcW w:w="6980" w:type="dxa"/>
            <w:tcMar>
              <w:top w:w="80" w:type="dxa"/>
              <w:left w:w="100" w:type="dxa"/>
              <w:bottom w:w="80" w:type="dxa"/>
              <w:right w:w="100" w:type="dxa"/>
            </w:tcMar>
          </w:tcPr>
          <w:p w14:paraId="795F851A" w14:textId="77777777" w:rsidR="00F16DB1" w:rsidRDefault="001E64C6">
            <w:r>
              <w:rPr>
                <w:sz w:val="18"/>
                <w:szCs w:val="18"/>
              </w:rPr>
              <w:t>combined-export (combined&lt;Name&gt;.txt) rebuild succeeded / failed</w:t>
            </w:r>
          </w:p>
        </w:tc>
      </w:tr>
      <w:tr w:rsidR="00F16DB1" w14:paraId="473710CC" w14:textId="77777777">
        <w:tc>
          <w:tcPr>
            <w:tcW w:w="2600" w:type="dxa"/>
            <w:tcMar>
              <w:top w:w="80" w:type="dxa"/>
              <w:left w:w="100" w:type="dxa"/>
              <w:bottom w:w="80" w:type="dxa"/>
              <w:right w:w="100" w:type="dxa"/>
            </w:tcMar>
          </w:tcPr>
          <w:p w14:paraId="7B7AB273" w14:textId="77777777" w:rsidR="00F16DB1" w:rsidRDefault="001E64C6">
            <w:r>
              <w:rPr>
                <w:sz w:val="18"/>
                <w:szCs w:val="18"/>
              </w:rPr>
              <w:t>UKCs / UKCn / UKCf</w:t>
            </w:r>
          </w:p>
        </w:tc>
        <w:tc>
          <w:tcPr>
            <w:tcW w:w="6980" w:type="dxa"/>
            <w:tcMar>
              <w:top w:w="80" w:type="dxa"/>
              <w:left w:w="100" w:type="dxa"/>
              <w:bottom w:w="80" w:type="dxa"/>
              <w:right w:w="100" w:type="dxa"/>
            </w:tcMar>
          </w:tcPr>
          <w:p w14:paraId="2D1CDC2A"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7605D846" w14:textId="77777777">
        <w:tc>
          <w:tcPr>
            <w:tcW w:w="2600" w:type="dxa"/>
            <w:tcMar>
              <w:top w:w="80" w:type="dxa"/>
              <w:left w:w="100" w:type="dxa"/>
              <w:bottom w:w="80" w:type="dxa"/>
              <w:right w:w="100" w:type="dxa"/>
            </w:tcMar>
          </w:tcPr>
          <w:p w14:paraId="268C3E46" w14:textId="77777777" w:rsidR="00F16DB1" w:rsidRDefault="001E64C6">
            <w:r>
              <w:rPr>
                <w:sz w:val="18"/>
                <w:szCs w:val="18"/>
              </w:rPr>
              <w:t>StB On / StB Off</w:t>
            </w:r>
          </w:p>
        </w:tc>
        <w:tc>
          <w:tcPr>
            <w:tcW w:w="6980" w:type="dxa"/>
            <w:tcMar>
              <w:top w:w="80" w:type="dxa"/>
              <w:left w:w="100" w:type="dxa"/>
              <w:bottom w:w="80" w:type="dxa"/>
              <w:right w:w="100" w:type="dxa"/>
            </w:tcMar>
          </w:tcPr>
          <w:p w14:paraId="6D3DC6F0" w14:textId="77777777" w:rsidR="00F16DB1" w:rsidRDefault="001E64C6">
            <w:r>
              <w:rPr>
                <w:sz w:val="18"/>
                <w:szCs w:val="18"/>
              </w:rPr>
              <w:t>Steroid Kotlin button feature toggled on/off via its TT-code</w:t>
            </w:r>
          </w:p>
        </w:tc>
      </w:tr>
      <w:tr w:rsidR="00F16DB1" w14:paraId="3FC4E2F1" w14:textId="77777777">
        <w:tc>
          <w:tcPr>
            <w:tcW w:w="2600" w:type="dxa"/>
            <w:tcMar>
              <w:top w:w="80" w:type="dxa"/>
              <w:left w:w="100" w:type="dxa"/>
              <w:bottom w:w="80" w:type="dxa"/>
              <w:right w:w="100" w:type="dxa"/>
            </w:tcMar>
          </w:tcPr>
          <w:p w14:paraId="5946F5A1"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124A199A" w14:textId="77777777" w:rsidR="00F16DB1" w:rsidRDefault="001E64C6">
            <w:r>
              <w:rPr>
                <w:sz w:val="18"/>
                <w:szCs w:val="18"/>
              </w:rPr>
              <w:t>each step of the steroid ladder (§5)</w:t>
            </w:r>
          </w:p>
        </w:tc>
      </w:tr>
    </w:tbl>
    <w:p w14:paraId="7F4301A7" w14:textId="77777777" w:rsidR="00F16DB1" w:rsidRDefault="001E64C6">
      <w:pPr>
        <w:spacing w:after="160"/>
        <w:ind w:left="360"/>
      </w:pPr>
      <w:r>
        <w:t>Grepping a device's combined export for these codes is often faster and more reliable than trying to reproduce a suspected bug live — this is exactly how the exportUkfCheckText() read-path bug was confirmed (15/15 UKCf, zero UKCs/UKCn) before any code was touched.</w:t>
      </w:r>
    </w:p>
    <w:p w14:paraId="48A35628" w14:textId="77777777" w:rsidR="00F16DB1" w:rsidRDefault="001E64C6">
      <w:pPr>
        <w:pStyle w:val="Heading2"/>
        <w:spacing w:before="280" w:after="120"/>
      </w:pPr>
      <w:bookmarkStart w:id="30" w:name="sec030"/>
      <w:r>
        <w:t>b. MJ as the fork's other major state machine</w:t>
      </w:r>
      <w:bookmarkEnd w:id="30"/>
    </w:p>
    <w:p w14:paraId="3D2D2B5A" w14:textId="77777777" w:rsidR="00F16DB1" w:rsidRDefault="001E64C6">
      <w:pPr>
        <w:spacing w:after="160"/>
        <w:ind w:left="360"/>
      </w:pPr>
      <w:r>
        <w:lastRenderedPageBreak/>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08E4E7FA" w14:textId="77777777" w:rsidR="00F16DB1" w:rsidRDefault="001E64C6">
      <w:pPr>
        <w:pStyle w:val="Heading2"/>
        <w:spacing w:before="280" w:after="120"/>
      </w:pPr>
      <w:bookmarkStart w:id="31" w:name="sec031"/>
      <w:r>
        <w:t>c. The AIV/UKFcheck export pipeline has more moving parts than it looks</w:t>
      </w:r>
      <w:bookmarkEnd w:id="31"/>
    </w:p>
    <w:p w14:paraId="50A411D9" w14:textId="77777777" w:rsidR="00F16DB1" w:rsidRDefault="001E64C6">
      <w:pPr>
        <w:spacing w:after="160"/>
        <w:ind w:left="36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414D9C3B" w14:textId="77777777" w:rsidR="00F16DB1" w:rsidRDefault="001E64C6">
      <w:pPr>
        <w:pStyle w:val="Heading2"/>
        <w:spacing w:before="280" w:after="120"/>
      </w:pPr>
      <w:bookmarkStart w:id="32" w:name="sec032"/>
      <w:r>
        <w:t>d. A concrete regression pattern worth remembering</w:t>
      </w:r>
      <w:bookmarkEnd w:id="32"/>
    </w:p>
    <w:p w14:paraId="596F5A93" w14:textId="77777777" w:rsidR="00F16DB1" w:rsidRDefault="001E64C6">
      <w:pPr>
        <w:spacing w:after="160"/>
        <w:ind w:left="36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1FF29CC2" w14:textId="77777777" w:rsidR="003D38EE" w:rsidRDefault="00A44A8D">
      <w:pPr>
        <w:pStyle w:val="Heading1"/>
      </w:pPr>
      <w:bookmarkStart w:id="33" w:name="sec033"/>
      <w:r>
        <w:t>8. Manual controls and AIV history</w:t>
      </w:r>
      <w:bookmarkEnd w:id="33"/>
    </w:p>
    <w:p w14:paraId="397492C6" w14:textId="77777777" w:rsidR="003D38EE" w:rsidRDefault="00A44A8D">
      <w:pPr>
        <w:pStyle w:val="Heading2"/>
      </w:pPr>
      <w:bookmarkStart w:id="34" w:name="sec034"/>
      <w:r>
        <w:t>a. Bolus calculator: screen, calculation and follow-up dosing</w:t>
      </w:r>
      <w:bookmarkEnd w:id="34"/>
    </w:p>
    <w:p w14:paraId="482F76AB" w14:textId="77777777" w:rsidR="003D38EE" w:rsidRDefault="00A44A8D">
      <w:pPr>
        <w:ind w:left="360"/>
      </w:pPr>
      <w:r>
        <w:rPr>
          <w:b/>
        </w:rPr>
        <w:t xml:space="preserve">Initial screen and live calculation. </w:t>
      </w:r>
      <w:r>
        <w:t xml:space="preserve">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w:t>
      </w:r>
      <w:r>
        <w:t>override affects this Wizard session only and is restored on every exit path.</w:t>
      </w:r>
    </w:p>
    <w:p w14:paraId="5FE85590" w14:textId="77777777" w:rsidR="003D38EE" w:rsidRDefault="00A44A8D">
      <w:pPr>
        <w:ind w:left="360"/>
      </w:pPr>
      <w:r>
        <w:rPr>
          <w:b/>
        </w:rPr>
        <w:t xml:space="preserve">Profile-percentage behavior. </w:t>
      </w:r>
      <w:r>
        <w:t xml:space="preserve">At an active 50% profile, the normal immediate calculation is reduced through the profile's effective IC and the automatic delayed-bolus mechanism may later check whether the remaining gap is justified. </w:t>
      </w:r>
      <w:r>
        <w:t>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w:t>
      </w:r>
      <w:r>
        <w:t xml:space="preserve">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14:paraId="6F274E2D" w14:textId="77777777" w:rsidR="003D38EE" w:rsidRDefault="00A44A8D">
      <w:pPr>
        <w:ind w:left="360"/>
      </w:pPr>
      <w:r>
        <w:rPr>
          <w:b/>
        </w:rPr>
        <w:t xml:space="preserve">Component calculation. </w:t>
      </w:r>
      <w:r>
        <w:t xml:space="preserve">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w:t>
      </w:r>
      <w:r>
        <w:t>immediate total before pump-step rounding and the normal bolus-constraint pipeline.</w:t>
      </w:r>
    </w:p>
    <w:p w14:paraId="51EEFE85" w14:textId="77777777" w:rsidR="003D38EE" w:rsidRDefault="00A44A8D">
      <w:pPr>
        <w:ind w:left="36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w:t>
      </w:r>
      <w:r>
        <w:t>d and shown as the proposal; the saved calculator result records original dose, adjusted dose, projected HP and COB insulin removed. This is automatic, not a second optional action in the confirmation dialog.</w:t>
      </w:r>
    </w:p>
    <w:p w14:paraId="58A71CFD" w14:textId="77777777" w:rsidR="003D38EE" w:rsidRDefault="00A44A8D">
      <w:pPr>
        <w:ind w:left="360"/>
      </w:pPr>
      <w:r>
        <w:rPr>
          <w:b/>
        </w:rPr>
        <w:t xml:space="preserve">Manual split-bolus projection and first delivery. </w:t>
      </w:r>
      <w:r>
        <w:t xml:space="preserve">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w:t>
      </w:r>
      <w:r>
        <w:lastRenderedPageBreak/>
        <w:t>constrained part is delivered immediately. The residual is scheduled only once, and a CarePortal scheduling marker records the projected future total. SMBs remain allowed during this manual split sequence.</w:t>
      </w:r>
    </w:p>
    <w:p w14:paraId="1E100C99" w14:textId="77777777" w:rsidR="003D38EE" w:rsidRDefault="00A44A8D">
      <w:pPr>
        <w:ind w:left="36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w:t>
      </w:r>
      <w:r>
        <w:t xml:space="preserve">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14:paraId="68C018A1" w14:textId="77777777" w:rsidR="003D38EE" w:rsidRDefault="00A44A8D">
      <w:pPr>
        <w:ind w:left="36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w:t>
      </w:r>
      <w:r>
        <w:t>% of that gap if confirmation occurs by 20 minutes or 50% if it occurs later. It does not recompute the original IOB snapshot. Db10, Db20 and subsequent check markers show dose, wait or end; SMBs are unblocked on delivery, cancellation or final expiry.</w:t>
      </w:r>
    </w:p>
    <w:p w14:paraId="2C7DCA88" w14:textId="77777777" w:rsidR="003D38EE" w:rsidRDefault="00A44A8D">
      <w:pPr>
        <w:ind w:left="36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w:t>
      </w:r>
      <w:r>
        <w:t>ed. These fixed-time doses do not retry after a failed BG gate.</w:t>
      </w:r>
    </w:p>
    <w:p w14:paraId="70CF886A" w14:textId="77777777" w:rsidR="003D38EE" w:rsidRDefault="00A44A8D">
      <w:pPr>
        <w:ind w:left="36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w:t>
      </w:r>
      <w:r>
        <w:t>atus trail after the original dialog closes.</w:t>
      </w:r>
    </w:p>
    <w:p w14:paraId="64B12F82" w14:textId="77777777" w:rsidR="003D38EE" w:rsidRDefault="00A44A8D">
      <w:pPr>
        <w:pStyle w:val="Heading2"/>
      </w:pPr>
      <w:bookmarkStart w:id="35" w:name="sec035"/>
      <w:r>
        <w:t>b. Lists 1 and 2: mechanism, current status and confirmation</w:t>
      </w:r>
      <w:bookmarkEnd w:id="35"/>
    </w:p>
    <w:p w14:paraId="7C7888BB" w14:textId="77777777" w:rsidR="003D38EE" w:rsidRDefault="00A44A8D">
      <w:pPr>
        <w:ind w:left="36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14:paraId="37226D76" w14:textId="77777777" w:rsidR="003D38EE" w:rsidRDefault="00A44A8D">
      <w:pPr>
        <w:ind w:left="360"/>
      </w:pPr>
      <w:r>
        <w:rPr>
          <w:b/>
        </w:rPr>
        <w:t xml:space="preserve">List 1 rows and current status. </w:t>
      </w:r>
      <w:r>
        <w:t xml:space="preserve">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w:t>
      </w:r>
      <w:r>
        <w:t>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14:paraId="3ECE27B3" w14:textId="77777777" w:rsidR="003D38EE" w:rsidRDefault="00A44A8D">
      <w:pPr>
        <w:ind w:left="36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w:t>
      </w:r>
      <w:r>
        <w:t>s do not use that relay guard.</w:t>
      </w:r>
    </w:p>
    <w:p w14:paraId="05D5E415" w14:textId="77777777" w:rsidR="003D38EE" w:rsidRDefault="00A44A8D">
      <w:pPr>
        <w:ind w:left="36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w:t>
      </w:r>
      <w:r>
        <w:t>st AnyDesk row queues the real receiving-side path and records its own diagnostic note.</w:t>
      </w:r>
    </w:p>
    <w:p w14:paraId="799BBC3D" w14:textId="77777777" w:rsidR="003D38EE" w:rsidRDefault="00A44A8D">
      <w:pPr>
        <w:ind w:left="360"/>
      </w:pPr>
      <w:r>
        <w:rPr>
          <w:b/>
        </w:rPr>
        <w:t xml:space="preserve">List 2 graph controls and current status. </w:t>
      </w:r>
      <w:r>
        <w:t xml:space="preserve">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w:t>
      </w:r>
      <w:r>
        <w:lastRenderedPageBreak/>
        <w:t>but do not all expose a universal live state; their resulting automation state, profile,</w:t>
      </w:r>
      <w:r>
        <w:t xml:space="preserve"> target or note is the authoritative status after execution.</w:t>
      </w:r>
    </w:p>
    <w:p w14:paraId="66915C5B" w14:textId="77777777" w:rsidR="003D38EE" w:rsidRDefault="00A44A8D">
      <w:pPr>
        <w:ind w:left="36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14:paraId="7190F3FC" w14:textId="77777777" w:rsidR="003D38EE" w:rsidRDefault="00A44A8D">
      <w:pPr>
        <w:pStyle w:val="Heading2"/>
      </w:pPr>
      <w:bookmarkStart w:id="36" w:name="sec036"/>
      <w:r>
        <w:t>c. AIV table: popup population and backup/export behavior</w:t>
      </w:r>
      <w:bookmarkEnd w:id="36"/>
    </w:p>
    <w:p w14:paraId="60ECFE16" w14:textId="77777777" w:rsidR="003D38EE" w:rsidRDefault="00A44A8D">
      <w:pPr>
        <w:ind w:left="36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w:t>
      </w:r>
      <w:r>
        <w:t>y. SMB only rebuilds the visible table from records whose delivered-SMB value is positive, and All restores every loaded record; filtering does not change the full-record lookback used for derived values. Rotation preserves the filter and does not start another export.</w:t>
      </w:r>
    </w:p>
    <w:p w14:paraId="7EDC6F6D" w14:textId="77777777" w:rsidR="003D38EE" w:rsidRDefault="00A44A8D">
      <w:pPr>
        <w:ind w:left="36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14:paraId="69AB95D7" w14:textId="77777777" w:rsidR="003D38EE" w:rsidRDefault="00A44A8D">
      <w:pPr>
        <w:ind w:left="36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w:t>
      </w:r>
      <w:r>
        <w:t>ackground and the table remains usable.</w:t>
      </w:r>
    </w:p>
    <w:p w14:paraId="76A05303" w14:textId="77777777" w:rsidR="003D38EE" w:rsidRDefault="00A44A8D">
      <w:pPr>
        <w:ind w:left="36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w:t>
      </w:r>
      <w:r>
        <w:t>nce so overlapping KeepAlive runs do not duplicate it. Automatic operation is silent: success/failure is logged rather than shown as a popup.</w:t>
      </w:r>
    </w:p>
    <w:p w14:paraId="7F9D883B" w14:textId="77777777" w:rsidR="003D38EE" w:rsidRDefault="00A44A8D">
      <w:pPr>
        <w:ind w:left="36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pPr>
        <w:pStyle w:val="Heading2"/>
      </w:pPr>
      <w:bookmarkStart w:id="57" w:name="sec8_list_tt_catalogue"/>
      <w:r>
        <w:t>d. List 1 and List 2 temporary-target command catalogue</w:t>
      </w:r>
      <w:bookmarkEnd w:id="57"/>
    </w:p>
    <w:p>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pPr>
        <w:pStyle w:val="Heading3"/>
      </w:pPr>
      <w:bookmarkStart w:id="58" w:name="sec8_list1_tt_codes"/>
      <w:r>
        <w:t>List 1 - settings and command codes</w:t>
      </w:r>
      <w:bookmarkEnd w:id="58"/>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00"/>
        <w:gridCol w:w="1500"/>
        <w:gridCol w:w="5560"/>
      </w:tblGrid>
      <w:tr>
        <w:trPr>
          <w:tblHeader w:val="true"/>
        </w:trPr>
        <w:tc>
          <w:tcPr>
            <w:tcW w:type="dxa" w:w="2300"/>
            <w:vAlign w:val="center"/>
          </w:tcPr>
          <w:p>
            <w:pPr>
              <w:spacing w:before="0" w:after="40"/>
            </w:pPr>
            <w:r>
              <w:rPr>
                <w:b/>
                <w:sz w:val="17"/>
              </w:rPr>
              <w:t>Command</w:t>
            </w:r>
          </w:p>
        </w:tc>
        <w:tc>
          <w:tcPr>
            <w:tcW w:type="dxa" w:w="1500"/>
            <w:vAlign w:val="center"/>
          </w:tcPr>
          <w:p>
            <w:pPr>
              <w:spacing w:before="0" w:after="40"/>
            </w:pPr>
            <w:r>
              <w:rPr>
                <w:b/>
                <w:sz w:val="17"/>
              </w:rPr>
              <w:t>Relay TT (mmol/L)</w:t>
            </w:r>
          </w:p>
        </w:tc>
        <w:tc>
          <w:tcPr>
            <w:tcW w:type="dxa" w:w="5560"/>
            <w:vAlign w:val="center"/>
          </w:tcPr>
          <w:p>
            <w:pPr>
              <w:spacing w:before="0" w:after="40"/>
            </w:pPr>
            <w:r>
              <w:rPr>
                <w:b/>
                <w:sz w:val="17"/>
              </w:rPr>
              <w:t>Current effect</w:t>
            </w:r>
          </w:p>
        </w:tc>
      </w:tr>
      <w:tr>
        <w:tc>
          <w:tcPr>
            <w:tcW w:type="dxa" w:w="2300"/>
            <w:vAlign w:val="center"/>
          </w:tcPr>
          <w:p>
            <w:pPr>
              <w:spacing w:before="0" w:after="40"/>
            </w:pPr>
            <w:r>
              <w:rPr>
                <w:sz w:val="17"/>
              </w:rPr>
              <w:t>SMBdel base + mild-Bst</w:t>
            </w:r>
          </w:p>
        </w:tc>
        <w:tc>
          <w:tcPr>
            <w:tcW w:type="dxa" w:w="1500"/>
            <w:vAlign w:val="center"/>
          </w:tcPr>
          <w:p>
            <w:pPr>
              <w:spacing w:before="0" w:after="40"/>
            </w:pPr>
            <w:r>
              <w:rPr>
                <w:sz w:val="17"/>
              </w:rPr>
              <w:t>5.002 / 5.004</w:t>
            </w:r>
          </w:p>
        </w:tc>
        <w:tc>
          <w:tcPr>
            <w:tcW w:type="dxa" w:w="5560"/>
            <w:vAlign w:val="center"/>
          </w:tcPr>
          <w:p>
            <w:pPr>
              <w:spacing w:before="0" w:after="40"/>
            </w:pPr>
            <w:r>
              <w:rPr>
                <w:sz w:val="17"/>
              </w:rPr>
              <w:t>Decrease/increase both SMB-delivery baseline and Mild Boost ratio by 0.01.</w:t>
            </w:r>
          </w:p>
        </w:tc>
      </w:tr>
      <w:tr>
        <w:tc>
          <w:tcPr>
            <w:tcW w:type="dxa" w:w="2300"/>
            <w:vAlign w:val="center"/>
          </w:tcPr>
          <w:p>
            <w:pPr>
              <w:spacing w:before="0" w:after="40"/>
            </w:pPr>
            <w:r>
              <w:rPr>
                <w:sz w:val="17"/>
              </w:rPr>
              <w:t>Toggle Libre sensor adjustment</w:t>
            </w:r>
          </w:p>
        </w:tc>
        <w:tc>
          <w:tcPr>
            <w:tcW w:type="dxa" w:w="1500"/>
            <w:vAlign w:val="center"/>
          </w:tcPr>
          <w:p>
            <w:pPr>
              <w:spacing w:before="0" w:after="40"/>
            </w:pPr>
            <w:r>
              <w:rPr>
                <w:sz w:val="17"/>
              </w:rPr>
              <w:t>5.006</w:t>
            </w:r>
          </w:p>
        </w:tc>
        <w:tc>
          <w:tcPr>
            <w:tcW w:type="dxa" w:w="5560"/>
            <w:vAlign w:val="center"/>
          </w:tcPr>
          <w:p>
            <w:pPr>
              <w:spacing w:before="0" w:after="40"/>
            </w:pPr>
            <w:r>
              <w:rPr>
                <w:sz w:val="17"/>
              </w:rPr>
              <w:t>Toggle aging-sensor/Libre adjustment on or off.</w:t>
            </w:r>
          </w:p>
        </w:tc>
      </w:tr>
      <w:tr>
        <w:tc>
          <w:tcPr>
            <w:tcW w:type="dxa" w:w="2300"/>
            <w:vAlign w:val="center"/>
          </w:tcPr>
          <w:p>
            <w:pPr>
              <w:spacing w:before="0" w:after="40"/>
            </w:pPr>
            <w:r>
              <w:rPr>
                <w:sz w:val="17"/>
              </w:rPr>
              <w:t>Toggle boost automations</w:t>
            </w:r>
          </w:p>
        </w:tc>
        <w:tc>
          <w:tcPr>
            <w:tcW w:type="dxa" w:w="1500"/>
            <w:vAlign w:val="center"/>
          </w:tcPr>
          <w:p>
            <w:pPr>
              <w:spacing w:before="0" w:after="40"/>
            </w:pPr>
            <w:r>
              <w:rPr>
                <w:sz w:val="17"/>
              </w:rPr>
              <w:t>5.008</w:t>
            </w:r>
          </w:p>
        </w:tc>
        <w:tc>
          <w:tcPr>
            <w:tcW w:type="dxa" w:w="5560"/>
            <w:vAlign w:val="center"/>
          </w:tcPr>
          <w:p>
            <w:pPr>
              <w:spacing w:before="0" w:after="40"/>
            </w:pPr>
            <w:r>
              <w:rPr>
                <w:sz w:val="17"/>
              </w:rPr>
              <w:t>Toggle the whole boost-automation group on or off.</w:t>
            </w:r>
          </w:p>
        </w:tc>
      </w:tr>
      <w:tr>
        <w:tc>
          <w:tcPr>
            <w:tcW w:type="dxa" w:w="2300"/>
            <w:vAlign w:val="center"/>
          </w:tcPr>
          <w:p>
            <w:pPr>
              <w:spacing w:before="0" w:after="40"/>
            </w:pPr>
            <w:r>
              <w:rPr>
                <w:sz w:val="17"/>
              </w:rPr>
              <w:t>pp ISF weight - normal</w:t>
            </w:r>
          </w:p>
        </w:tc>
        <w:tc>
          <w:tcPr>
            <w:tcW w:type="dxa" w:w="1500"/>
            <w:vAlign w:val="center"/>
          </w:tcPr>
          <w:p>
            <w:pPr>
              <w:spacing w:before="0" w:after="40"/>
            </w:pPr>
            <w:r>
              <w:rPr>
                <w:sz w:val="17"/>
              </w:rPr>
              <w:t>5.012 / 5.014</w:t>
            </w:r>
          </w:p>
        </w:tc>
        <w:tc>
          <w:tcPr>
            <w:tcW w:type="dxa" w:w="5560"/>
            <w:vAlign w:val="center"/>
          </w:tcPr>
          <w:p>
            <w:pPr>
              <w:spacing w:before="0" w:after="40"/>
            </w:pPr>
            <w:r>
              <w:rPr>
                <w:sz w:val="17"/>
              </w:rPr>
              <w:t>Decrease/increase normal postprandial ISF weight by 0.01.</w:t>
            </w:r>
          </w:p>
        </w:tc>
      </w:tr>
      <w:tr>
        <w:tc>
          <w:tcPr>
            <w:tcW w:type="dxa" w:w="2300"/>
            <w:vAlign w:val="center"/>
          </w:tcPr>
          <w:p>
            <w:pPr>
              <w:spacing w:before="0" w:after="40"/>
            </w:pPr>
            <w:r>
              <w:rPr>
                <w:sz w:val="17"/>
              </w:rPr>
              <w:t>Acceleration ISF weight - normal</w:t>
            </w:r>
          </w:p>
        </w:tc>
        <w:tc>
          <w:tcPr>
            <w:tcW w:type="dxa" w:w="1500"/>
            <w:vAlign w:val="center"/>
          </w:tcPr>
          <w:p>
            <w:pPr>
              <w:spacing w:before="0" w:after="40"/>
            </w:pPr>
            <w:r>
              <w:rPr>
                <w:sz w:val="17"/>
              </w:rPr>
              <w:t>5.016 / 5.018</w:t>
            </w:r>
          </w:p>
        </w:tc>
        <w:tc>
          <w:tcPr>
            <w:tcW w:type="dxa" w:w="5560"/>
            <w:vAlign w:val="center"/>
          </w:tcPr>
          <w:p>
            <w:pPr>
              <w:spacing w:before="0" w:after="40"/>
            </w:pPr>
            <w:r>
              <w:rPr>
                <w:sz w:val="17"/>
              </w:rPr>
              <w:t>Decrease/increase normal acceleration ISF weight by 0.05.</w:t>
            </w:r>
          </w:p>
        </w:tc>
      </w:tr>
      <w:tr>
        <w:tc>
          <w:tcPr>
            <w:tcW w:type="dxa" w:w="2300"/>
            <w:vAlign w:val="center"/>
          </w:tcPr>
          <w:p>
            <w:pPr>
              <w:spacing w:before="0" w:after="40"/>
            </w:pPr>
            <w:r>
              <w:rPr>
                <w:sz w:val="17"/>
              </w:rPr>
              <w:t>Duration ISF weight - normal</w:t>
            </w:r>
          </w:p>
        </w:tc>
        <w:tc>
          <w:tcPr>
            <w:tcW w:type="dxa" w:w="1500"/>
            <w:vAlign w:val="center"/>
          </w:tcPr>
          <w:p>
            <w:pPr>
              <w:spacing w:before="0" w:after="40"/>
            </w:pPr>
            <w:r>
              <w:rPr>
                <w:sz w:val="17"/>
              </w:rPr>
              <w:t>5.022 / 5.024</w:t>
            </w:r>
          </w:p>
        </w:tc>
        <w:tc>
          <w:tcPr>
            <w:tcW w:type="dxa" w:w="5560"/>
            <w:vAlign w:val="center"/>
          </w:tcPr>
          <w:p>
            <w:pPr>
              <w:spacing w:before="0" w:after="40"/>
            </w:pPr>
            <w:r>
              <w:rPr>
                <w:sz w:val="17"/>
              </w:rPr>
              <w:t>Decrease/increase normal duration ISF weight by 0.1.</w:t>
            </w:r>
          </w:p>
        </w:tc>
      </w:tr>
      <w:tr>
        <w:tc>
          <w:tcPr>
            <w:tcW w:type="dxa" w:w="2300"/>
            <w:vAlign w:val="center"/>
          </w:tcPr>
          <w:p>
            <w:pPr>
              <w:spacing w:before="0" w:after="40"/>
            </w:pPr>
            <w:r>
              <w:rPr>
                <w:sz w:val="17"/>
              </w:rPr>
              <w:t>Libre slope - original</w:t>
            </w:r>
          </w:p>
        </w:tc>
        <w:tc>
          <w:tcPr>
            <w:tcW w:type="dxa" w:w="1500"/>
            <w:vAlign w:val="center"/>
          </w:tcPr>
          <w:p>
            <w:pPr>
              <w:spacing w:before="0" w:after="40"/>
            </w:pPr>
            <w:r>
              <w:rPr>
                <w:sz w:val="17"/>
              </w:rPr>
              <w:t>5.026 / 5.028</w:t>
            </w:r>
          </w:p>
        </w:tc>
        <w:tc>
          <w:tcPr>
            <w:tcW w:type="dxa" w:w="5560"/>
            <w:vAlign w:val="center"/>
          </w:tcPr>
          <w:p>
            <w:pPr>
              <w:spacing w:before="0" w:after="40"/>
            </w:pPr>
            <w:r>
              <w:rPr>
                <w:sz w:val="17"/>
              </w:rPr>
              <w:t>Decrease/increase the baseline Libre calibration slope by 0.01.</w:t>
            </w:r>
          </w:p>
        </w:tc>
      </w:tr>
      <w:tr>
        <w:tc>
          <w:tcPr>
            <w:tcW w:type="dxa" w:w="2300"/>
            <w:vAlign w:val="center"/>
          </w:tcPr>
          <w:p>
            <w:pPr>
              <w:spacing w:before="0" w:after="40"/>
            </w:pPr>
            <w:r>
              <w:rPr>
                <w:sz w:val="17"/>
              </w:rPr>
              <w:t>Libre offset - original</w:t>
            </w:r>
          </w:p>
        </w:tc>
        <w:tc>
          <w:tcPr>
            <w:tcW w:type="dxa" w:w="1500"/>
            <w:vAlign w:val="center"/>
          </w:tcPr>
          <w:p>
            <w:pPr>
              <w:spacing w:before="0" w:after="40"/>
            </w:pPr>
            <w:r>
              <w:rPr>
                <w:sz w:val="17"/>
              </w:rPr>
              <w:t>5.032 / 5.034</w:t>
            </w:r>
          </w:p>
        </w:tc>
        <w:tc>
          <w:tcPr>
            <w:tcW w:type="dxa" w:w="5560"/>
            <w:vAlign w:val="center"/>
          </w:tcPr>
          <w:p>
            <w:pPr>
              <w:spacing w:before="0" w:after="40"/>
            </w:pPr>
            <w:r>
              <w:rPr>
                <w:sz w:val="17"/>
              </w:rPr>
              <w:t>Decrease/increase the baseline Libre calibration offset by 0.05.</w:t>
            </w:r>
          </w:p>
        </w:tc>
      </w:tr>
      <w:tr>
        <w:tc>
          <w:tcPr>
            <w:tcW w:type="dxa" w:w="2300"/>
            <w:vAlign w:val="center"/>
          </w:tcPr>
          <w:p>
            <w:pPr>
              <w:spacing w:before="0" w:after="40"/>
            </w:pPr>
            <w:r>
              <w:rPr>
                <w:sz w:val="17"/>
              </w:rPr>
              <w:t>SMB offset</w:t>
            </w:r>
          </w:p>
        </w:tc>
        <w:tc>
          <w:tcPr>
            <w:tcW w:type="dxa" w:w="1500"/>
            <w:vAlign w:val="center"/>
          </w:tcPr>
          <w:p>
            <w:pPr>
              <w:spacing w:before="0" w:after="40"/>
            </w:pPr>
            <w:r>
              <w:rPr>
                <w:sz w:val="17"/>
              </w:rPr>
              <w:t>5.036 / 5.038</w:t>
            </w:r>
          </w:p>
        </w:tc>
        <w:tc>
          <w:tcPr>
            <w:tcW w:type="dxa" w:w="5560"/>
            <w:vAlign w:val="center"/>
          </w:tcPr>
          <w:p>
            <w:pPr>
              <w:spacing w:before="0" w:after="40"/>
            </w:pPr>
            <w:r>
              <w:rPr>
                <w:sz w:val="17"/>
              </w:rPr>
              <w:t>Decrease/increase the hard SMB-offset override by 0.1.</w:t>
            </w:r>
          </w:p>
        </w:tc>
      </w:tr>
      <w:tr>
        <w:tc>
          <w:tcPr>
            <w:tcW w:type="dxa" w:w="2300"/>
            <w:vAlign w:val="center"/>
          </w:tcPr>
          <w:p>
            <w:pPr>
              <w:spacing w:before="0" w:after="40"/>
            </w:pPr>
            <w:r>
              <w:rPr>
                <w:sz w:val="17"/>
              </w:rPr>
              <w:t>Clean graph view</w:t>
            </w:r>
          </w:p>
        </w:tc>
        <w:tc>
          <w:tcPr>
            <w:tcW w:type="dxa" w:w="1500"/>
            <w:vAlign w:val="center"/>
          </w:tcPr>
          <w:p>
            <w:pPr>
              <w:spacing w:before="0" w:after="40"/>
            </w:pPr>
            <w:r>
              <w:rPr>
                <w:sz w:val="17"/>
              </w:rPr>
              <w:t>5.042</w:t>
            </w:r>
          </w:p>
        </w:tc>
        <w:tc>
          <w:tcPr>
            <w:tcW w:type="dxa" w:w="5560"/>
            <w:vAlign w:val="center"/>
          </w:tcPr>
          <w:p>
            <w:pPr>
              <w:spacing w:before="0" w:after="40"/>
            </w:pPr>
            <w:r>
              <w:rPr>
                <w:sz w:val="17"/>
              </w:rPr>
              <w:t>Hide SMB dose labels/arrows and show the plain solid-green view.</w:t>
            </w:r>
          </w:p>
        </w:tc>
      </w:tr>
      <w:tr>
        <w:tc>
          <w:tcPr>
            <w:tcW w:type="dxa" w:w="2300"/>
            <w:vAlign w:val="center"/>
          </w:tcPr>
          <w:p>
            <w:pPr>
              <w:spacing w:before="0" w:after="40"/>
            </w:pPr>
            <w:r>
              <w:rPr>
                <w:sz w:val="17"/>
              </w:rPr>
              <w:t>Wizard bolus percentage</w:t>
            </w:r>
          </w:p>
        </w:tc>
        <w:tc>
          <w:tcPr>
            <w:tcW w:type="dxa" w:w="1500"/>
            <w:vAlign w:val="center"/>
          </w:tcPr>
          <w:p>
            <w:pPr>
              <w:spacing w:before="0" w:after="40"/>
            </w:pPr>
            <w:r>
              <w:rPr>
                <w:sz w:val="17"/>
              </w:rPr>
              <w:t>5.046 / 5.048</w:t>
            </w:r>
          </w:p>
        </w:tc>
        <w:tc>
          <w:tcPr>
            <w:tcW w:type="dxa" w:w="5560"/>
            <w:vAlign w:val="center"/>
          </w:tcPr>
          <w:p>
            <w:pPr>
              <w:spacing w:before="0" w:after="40"/>
            </w:pPr>
            <w:r>
              <w:rPr>
                <w:sz w:val="17"/>
              </w:rPr>
              <w:t>Decrease/increase the Wizard percentage by five percentage points.</w:t>
            </w:r>
          </w:p>
        </w:tc>
      </w:tr>
      <w:tr>
        <w:tc>
          <w:tcPr>
            <w:tcW w:type="dxa" w:w="2300"/>
            <w:vAlign w:val="center"/>
          </w:tcPr>
          <w:p>
            <w:pPr>
              <w:spacing w:before="0" w:after="40"/>
            </w:pPr>
            <w:r>
              <w:rPr>
                <w:sz w:val="17"/>
              </w:rPr>
              <w:t>Mild Boost ratio</w:t>
            </w:r>
          </w:p>
        </w:tc>
        <w:tc>
          <w:tcPr>
            <w:tcW w:type="dxa" w:w="1500"/>
            <w:vAlign w:val="center"/>
          </w:tcPr>
          <w:p>
            <w:pPr>
              <w:spacing w:before="0" w:after="40"/>
            </w:pPr>
            <w:r>
              <w:rPr>
                <w:sz w:val="17"/>
              </w:rPr>
              <w:t>5.052 / 5.054</w:t>
            </w:r>
          </w:p>
        </w:tc>
        <w:tc>
          <w:tcPr>
            <w:tcW w:type="dxa" w:w="5560"/>
            <w:vAlign w:val="center"/>
          </w:tcPr>
          <w:p>
            <w:pPr>
              <w:spacing w:before="0" w:after="40"/>
            </w:pPr>
            <w:r>
              <w:rPr>
                <w:sz w:val="17"/>
              </w:rPr>
              <w:t>Decrease/increase Mild Boost ratio alone by 0.01.</w:t>
            </w:r>
          </w:p>
        </w:tc>
      </w:tr>
      <w:tr>
        <w:tc>
          <w:tcPr>
            <w:tcW w:type="dxa" w:w="2300"/>
            <w:vAlign w:val="center"/>
          </w:tcPr>
          <w:p>
            <w:pPr>
              <w:spacing w:before="0" w:after="40"/>
            </w:pPr>
            <w:r>
              <w:rPr>
                <w:sz w:val="17"/>
              </w:rPr>
              <w:t>pp ISF weight - high</w:t>
            </w:r>
          </w:p>
        </w:tc>
        <w:tc>
          <w:tcPr>
            <w:tcW w:type="dxa" w:w="1500"/>
            <w:vAlign w:val="center"/>
          </w:tcPr>
          <w:p>
            <w:pPr>
              <w:spacing w:before="0" w:after="40"/>
            </w:pPr>
            <w:r>
              <w:rPr>
                <w:sz w:val="17"/>
              </w:rPr>
              <w:t>5.056 / 5.058</w:t>
            </w:r>
          </w:p>
        </w:tc>
        <w:tc>
          <w:tcPr>
            <w:tcW w:type="dxa" w:w="5560"/>
            <w:vAlign w:val="center"/>
          </w:tcPr>
          <w:p>
            <w:pPr>
              <w:spacing w:before="0" w:after="40"/>
            </w:pPr>
            <w:r>
              <w:rPr>
                <w:sz w:val="17"/>
              </w:rPr>
              <w:t>Decrease/increase boosted postprandial ISF weight by 0.01.</w:t>
            </w:r>
          </w:p>
        </w:tc>
      </w:tr>
      <w:tr>
        <w:tc>
          <w:tcPr>
            <w:tcW w:type="dxa" w:w="2300"/>
            <w:vAlign w:val="center"/>
          </w:tcPr>
          <w:p>
            <w:pPr>
              <w:spacing w:before="0" w:after="40"/>
            </w:pPr>
            <w:r>
              <w:rPr>
                <w:sz w:val="17"/>
              </w:rPr>
              <w:t>Acceleration ISF weight - high</w:t>
            </w:r>
          </w:p>
        </w:tc>
        <w:tc>
          <w:tcPr>
            <w:tcW w:type="dxa" w:w="1500"/>
            <w:vAlign w:val="center"/>
          </w:tcPr>
          <w:p>
            <w:pPr>
              <w:spacing w:before="0" w:after="40"/>
            </w:pPr>
            <w:r>
              <w:rPr>
                <w:sz w:val="17"/>
              </w:rPr>
              <w:t>5.062 / 5.064</w:t>
            </w:r>
          </w:p>
        </w:tc>
        <w:tc>
          <w:tcPr>
            <w:tcW w:type="dxa" w:w="5560"/>
            <w:vAlign w:val="center"/>
          </w:tcPr>
          <w:p>
            <w:pPr>
              <w:spacing w:before="0" w:after="40"/>
            </w:pPr>
            <w:r>
              <w:rPr>
                <w:sz w:val="17"/>
              </w:rPr>
              <w:t>Decrease/increase boosted acceleration ISF weight by 0.01.</w:t>
            </w:r>
          </w:p>
        </w:tc>
      </w:tr>
      <w:tr>
        <w:tc>
          <w:tcPr>
            <w:tcW w:type="dxa" w:w="2300"/>
            <w:vAlign w:val="center"/>
          </w:tcPr>
          <w:p>
            <w:pPr>
              <w:spacing w:before="0" w:after="40"/>
            </w:pPr>
            <w:r>
              <w:rPr>
                <w:sz w:val="17"/>
              </w:rPr>
              <w:t>Higher-ISF-range weight</w:t>
            </w:r>
          </w:p>
        </w:tc>
        <w:tc>
          <w:tcPr>
            <w:tcW w:type="dxa" w:w="1500"/>
            <w:vAlign w:val="center"/>
          </w:tcPr>
          <w:p>
            <w:pPr>
              <w:spacing w:before="0" w:after="40"/>
            </w:pPr>
            <w:r>
              <w:rPr>
                <w:sz w:val="17"/>
              </w:rPr>
              <w:t>5.068 / 5.070</w:t>
            </w:r>
          </w:p>
        </w:tc>
        <w:tc>
          <w:tcPr>
            <w:tcW w:type="dxa" w:w="5560"/>
            <w:vAlign w:val="center"/>
          </w:tcPr>
          <w:p>
            <w:pPr>
              <w:spacing w:before="0" w:after="40"/>
            </w:pPr>
            <w:r>
              <w:rPr>
                <w:sz w:val="17"/>
              </w:rPr>
              <w:t>Decrease/increase high-BG ISF weight by 0.1.</w:t>
            </w:r>
          </w:p>
        </w:tc>
      </w:tr>
      <w:tr>
        <w:tc>
          <w:tcPr>
            <w:tcW w:type="dxa" w:w="2300"/>
            <w:vAlign w:val="center"/>
          </w:tcPr>
          <w:p>
            <w:pPr>
              <w:spacing w:before="0" w:after="40"/>
            </w:pPr>
            <w:r>
              <w:rPr>
                <w:sz w:val="17"/>
              </w:rPr>
              <w:t>Peak insulin time</w:t>
            </w:r>
          </w:p>
        </w:tc>
        <w:tc>
          <w:tcPr>
            <w:tcW w:type="dxa" w:w="1500"/>
            <w:vAlign w:val="center"/>
          </w:tcPr>
          <w:p>
            <w:pPr>
              <w:spacing w:before="0" w:after="40"/>
            </w:pPr>
            <w:r>
              <w:rPr>
                <w:sz w:val="17"/>
              </w:rPr>
              <w:t>5.074 / 5.076</w:t>
            </w:r>
          </w:p>
        </w:tc>
        <w:tc>
          <w:tcPr>
            <w:tcW w:type="dxa" w:w="5560"/>
            <w:vAlign w:val="center"/>
          </w:tcPr>
          <w:p>
            <w:pPr>
              <w:spacing w:before="0" w:after="40"/>
            </w:pPr>
            <w:r>
              <w:rPr>
                <w:sz w:val="17"/>
              </w:rPr>
              <w:t>Decrease/increase insulin peak by five minutes.</w:t>
            </w:r>
          </w:p>
        </w:tc>
      </w:tr>
      <w:tr>
        <w:tc>
          <w:tcPr>
            <w:tcW w:type="dxa" w:w="2300"/>
            <w:vAlign w:val="center"/>
          </w:tcPr>
          <w:p>
            <w:pPr>
              <w:spacing w:before="0" w:after="40"/>
            </w:pPr>
            <w:r>
              <w:rPr>
                <w:sz w:val="17"/>
              </w:rPr>
              <w:t>AutoISF maximum - low BG</w:t>
            </w:r>
          </w:p>
        </w:tc>
        <w:tc>
          <w:tcPr>
            <w:tcW w:type="dxa" w:w="1500"/>
            <w:vAlign w:val="center"/>
          </w:tcPr>
          <w:p>
            <w:pPr>
              <w:spacing w:before="0" w:after="40"/>
            </w:pPr>
            <w:r>
              <w:rPr>
                <w:sz w:val="17"/>
              </w:rPr>
              <w:t>5.080 / 5.082</w:t>
            </w:r>
          </w:p>
        </w:tc>
        <w:tc>
          <w:tcPr>
            <w:tcW w:type="dxa" w:w="5560"/>
            <w:vAlign w:val="center"/>
          </w:tcPr>
          <w:p>
            <w:pPr>
              <w:spacing w:before="0" w:after="40"/>
            </w:pPr>
            <w:r>
              <w:rPr>
                <w:sz w:val="17"/>
              </w:rPr>
              <w:t>Decrease/increase the low-BG AutoISF maximum by 0.1.</w:t>
            </w:r>
          </w:p>
        </w:tc>
      </w:tr>
      <w:tr>
        <w:tc>
          <w:tcPr>
            <w:tcW w:type="dxa" w:w="2300"/>
            <w:vAlign w:val="center"/>
          </w:tcPr>
          <w:p>
            <w:pPr>
              <w:spacing w:before="0" w:after="40"/>
            </w:pPr>
            <w:r>
              <w:rPr>
                <w:sz w:val="17"/>
              </w:rPr>
              <w:t>AutoISF maximum - normal</w:t>
            </w:r>
          </w:p>
        </w:tc>
        <w:tc>
          <w:tcPr>
            <w:tcW w:type="dxa" w:w="1500"/>
            <w:vAlign w:val="center"/>
          </w:tcPr>
          <w:p>
            <w:pPr>
              <w:spacing w:before="0" w:after="40"/>
            </w:pPr>
            <w:r>
              <w:rPr>
                <w:sz w:val="17"/>
              </w:rPr>
              <w:t>5.086 / 5.088</w:t>
            </w:r>
          </w:p>
        </w:tc>
        <w:tc>
          <w:tcPr>
            <w:tcW w:type="dxa" w:w="5560"/>
            <w:vAlign w:val="center"/>
          </w:tcPr>
          <w:p>
            <w:pPr>
              <w:spacing w:before="0" w:after="40"/>
            </w:pPr>
            <w:r>
              <w:rPr>
                <w:sz w:val="17"/>
              </w:rPr>
              <w:t>Decrease/increase the normal AutoISF maximum by 0.1.</w:t>
            </w:r>
          </w:p>
        </w:tc>
      </w:tr>
      <w:tr>
        <w:tc>
          <w:tcPr>
            <w:tcW w:type="dxa" w:w="2300"/>
            <w:vAlign w:val="center"/>
          </w:tcPr>
          <w:p>
            <w:pPr>
              <w:spacing w:before="0" w:after="40"/>
            </w:pPr>
            <w:r>
              <w:rPr>
                <w:sz w:val="17"/>
              </w:rPr>
              <w:t>TOD offset 00:00-02:00</w:t>
            </w:r>
          </w:p>
        </w:tc>
        <w:tc>
          <w:tcPr>
            <w:tcW w:type="dxa" w:w="1500"/>
            <w:vAlign w:val="center"/>
          </w:tcPr>
          <w:p>
            <w:pPr>
              <w:spacing w:before="0" w:after="40"/>
            </w:pPr>
            <w:r>
              <w:rPr>
                <w:sz w:val="17"/>
              </w:rPr>
              <w:t>5.092 / 5.094</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02:00-04:00</w:t>
            </w:r>
          </w:p>
        </w:tc>
        <w:tc>
          <w:tcPr>
            <w:tcW w:type="dxa" w:w="1500"/>
            <w:vAlign w:val="center"/>
          </w:tcPr>
          <w:p>
            <w:pPr>
              <w:spacing w:before="0" w:after="40"/>
            </w:pPr>
            <w:r>
              <w:rPr>
                <w:sz w:val="17"/>
              </w:rPr>
              <w:t>5.098 / 5.100</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04:00-06:00</w:t>
            </w:r>
          </w:p>
        </w:tc>
        <w:tc>
          <w:tcPr>
            <w:tcW w:type="dxa" w:w="1500"/>
            <w:vAlign w:val="center"/>
          </w:tcPr>
          <w:p>
            <w:pPr>
              <w:spacing w:before="0" w:after="40"/>
            </w:pPr>
            <w:r>
              <w:rPr>
                <w:sz w:val="17"/>
              </w:rPr>
              <w:t>5.104 / 5.106</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06:00-09:00</w:t>
            </w:r>
          </w:p>
        </w:tc>
        <w:tc>
          <w:tcPr>
            <w:tcW w:type="dxa" w:w="1500"/>
            <w:vAlign w:val="center"/>
          </w:tcPr>
          <w:p>
            <w:pPr>
              <w:spacing w:before="0" w:after="40"/>
            </w:pPr>
            <w:r>
              <w:rPr>
                <w:sz w:val="17"/>
              </w:rPr>
              <w:t>5.110 / 5.112</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09:00-12:00</w:t>
            </w:r>
          </w:p>
        </w:tc>
        <w:tc>
          <w:tcPr>
            <w:tcW w:type="dxa" w:w="1500"/>
            <w:vAlign w:val="center"/>
          </w:tcPr>
          <w:p>
            <w:pPr>
              <w:spacing w:before="0" w:after="40"/>
            </w:pPr>
            <w:r>
              <w:rPr>
                <w:sz w:val="17"/>
              </w:rPr>
              <w:t>5.116 / 5.118</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12:00-18:00</w:t>
            </w:r>
          </w:p>
        </w:tc>
        <w:tc>
          <w:tcPr>
            <w:tcW w:type="dxa" w:w="1500"/>
            <w:vAlign w:val="center"/>
          </w:tcPr>
          <w:p>
            <w:pPr>
              <w:spacing w:before="0" w:after="40"/>
            </w:pPr>
            <w:r>
              <w:rPr>
                <w:sz w:val="17"/>
              </w:rPr>
              <w:t>5.122 / 5.124</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18:00-22:00</w:t>
            </w:r>
          </w:p>
        </w:tc>
        <w:tc>
          <w:tcPr>
            <w:tcW w:type="dxa" w:w="1500"/>
            <w:vAlign w:val="center"/>
          </w:tcPr>
          <w:p>
            <w:pPr>
              <w:spacing w:before="0" w:after="40"/>
            </w:pPr>
            <w:r>
              <w:rPr>
                <w:sz w:val="17"/>
              </w:rPr>
              <w:t>5.128 / 5.130</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TOD offset 22:00-00:00</w:t>
            </w:r>
          </w:p>
        </w:tc>
        <w:tc>
          <w:tcPr>
            <w:tcW w:type="dxa" w:w="1500"/>
            <w:vAlign w:val="center"/>
          </w:tcPr>
          <w:p>
            <w:pPr>
              <w:spacing w:before="0" w:after="40"/>
            </w:pPr>
            <w:r>
              <w:rPr>
                <w:sz w:val="17"/>
              </w:rPr>
              <w:t>5.134 / 5.136</w:t>
            </w:r>
          </w:p>
        </w:tc>
        <w:tc>
          <w:tcPr>
            <w:tcW w:type="dxa" w:w="5560"/>
            <w:vAlign w:val="center"/>
          </w:tcPr>
          <w:p>
            <w:pPr>
              <w:spacing w:before="0" w:after="40"/>
            </w:pPr>
            <w:r>
              <w:rPr>
                <w:sz w:val="17"/>
              </w:rPr>
              <w:t>Decrease/increase this time-of-day offset by 0.1.</w:t>
            </w:r>
          </w:p>
        </w:tc>
      </w:tr>
      <w:tr>
        <w:tc>
          <w:tcPr>
            <w:tcW w:type="dxa" w:w="2300"/>
            <w:vAlign w:val="center"/>
          </w:tcPr>
          <w:p>
            <w:pPr>
              <w:spacing w:before="0" w:after="40"/>
            </w:pPr>
            <w:r>
              <w:rPr>
                <w:sz w:val="17"/>
              </w:rPr>
              <w:t>Toggle Graph2 carb-model curve</w:t>
            </w:r>
          </w:p>
        </w:tc>
        <w:tc>
          <w:tcPr>
            <w:tcW w:type="dxa" w:w="1500"/>
            <w:vAlign w:val="center"/>
          </w:tcPr>
          <w:p>
            <w:pPr>
              <w:spacing w:before="0" w:after="40"/>
            </w:pPr>
            <w:r>
              <w:rPr>
                <w:sz w:val="17"/>
              </w:rPr>
              <w:t>5.138</w:t>
            </w:r>
          </w:p>
        </w:tc>
        <w:tc>
          <w:tcPr>
            <w:tcW w:type="dxa" w:w="5560"/>
            <w:vAlign w:val="center"/>
          </w:tcPr>
          <w:p>
            <w:pPr>
              <w:spacing w:before="0" w:after="40"/>
            </w:pPr>
            <w:r>
              <w:rPr>
                <w:sz w:val="17"/>
              </w:rPr>
              <w:t>Toggle the empirical/theoretical carb-model curve display.</w:t>
            </w:r>
          </w:p>
        </w:tc>
      </w:tr>
      <w:tr>
        <w:tc>
          <w:tcPr>
            <w:tcW w:type="dxa" w:w="2300"/>
            <w:vAlign w:val="center"/>
          </w:tcPr>
          <w:p>
            <w:pPr>
              <w:spacing w:before="0" w:after="40"/>
            </w:pPr>
            <w:r>
              <w:rPr>
                <w:sz w:val="17"/>
              </w:rPr>
              <w:t>Cloud logs upload</w:t>
            </w:r>
          </w:p>
        </w:tc>
        <w:tc>
          <w:tcPr>
            <w:tcW w:type="dxa" w:w="1500"/>
            <w:vAlign w:val="center"/>
          </w:tcPr>
          <w:p>
            <w:pPr>
              <w:spacing w:before="0" w:after="40"/>
            </w:pPr>
            <w:r>
              <w:rPr>
                <w:sz w:val="17"/>
              </w:rPr>
              <w:t>5.140</w:t>
            </w:r>
          </w:p>
        </w:tc>
        <w:tc>
          <w:tcPr>
            <w:tcW w:type="dxa" w:w="5560"/>
            <w:vAlign w:val="center"/>
          </w:tcPr>
          <w:p>
            <w:pPr>
              <w:spacing w:before="0" w:after="40"/>
            </w:pPr>
            <w:r>
              <w:rPr>
                <w:sz w:val="17"/>
              </w:rPr>
              <w:t>Zip and send logs to configured cloud storage, otherwise use email.</w:t>
            </w:r>
          </w:p>
        </w:tc>
      </w:tr>
      <w:tr>
        <w:tc>
          <w:tcPr>
            <w:tcW w:type="dxa" w:w="2300"/>
            <w:vAlign w:val="center"/>
          </w:tcPr>
          <w:p>
            <w:pPr>
              <w:spacing w:before="0" w:after="40"/>
            </w:pPr>
            <w:r>
              <w:rPr>
                <w:sz w:val="17"/>
              </w:rPr>
              <w:t>Toggle Graph5</w:t>
            </w:r>
          </w:p>
        </w:tc>
        <w:tc>
          <w:tcPr>
            <w:tcW w:type="dxa" w:w="1500"/>
            <w:vAlign w:val="center"/>
          </w:tcPr>
          <w:p>
            <w:pPr>
              <w:spacing w:before="0" w:after="40"/>
            </w:pPr>
            <w:r>
              <w:rPr>
                <w:sz w:val="17"/>
              </w:rPr>
              <w:t>5.142</w:t>
            </w:r>
          </w:p>
        </w:tc>
        <w:tc>
          <w:tcPr>
            <w:tcW w:type="dxa" w:w="5560"/>
            <w:vAlign w:val="center"/>
          </w:tcPr>
          <w:p>
            <w:pPr>
              <w:spacing w:before="0" w:after="40"/>
            </w:pPr>
            <w:r>
              <w:rPr>
                <w:sz w:val="17"/>
              </w:rPr>
              <w:t>Toggle the Graph5 comparison panel.</w:t>
            </w:r>
          </w:p>
        </w:tc>
      </w:tr>
      <w:tr>
        <w:tc>
          <w:tcPr>
            <w:tcW w:type="dxa" w:w="2300"/>
            <w:vAlign w:val="center"/>
          </w:tcPr>
          <w:p>
            <w:pPr>
              <w:spacing w:before="0" w:after="40"/>
            </w:pPr>
            <w:r>
              <w:rPr>
                <w:sz w:val="17"/>
              </w:rPr>
              <w:t>MJ state manual override</w:t>
            </w:r>
          </w:p>
        </w:tc>
        <w:tc>
          <w:tcPr>
            <w:tcW w:type="dxa" w:w="1500"/>
            <w:vAlign w:val="center"/>
          </w:tcPr>
          <w:p>
            <w:pPr>
              <w:spacing w:before="0" w:after="40"/>
            </w:pPr>
            <w:r>
              <w:rPr>
                <w:sz w:val="17"/>
              </w:rPr>
              <w:t>5.144 / 5.146</w:t>
            </w:r>
          </w:p>
        </w:tc>
        <w:tc>
          <w:tcPr>
            <w:tcW w:type="dxa" w:w="5560"/>
            <w:vAlign w:val="center"/>
          </w:tcPr>
          <w:p>
            <w:pPr>
              <w:spacing w:before="0" w:after="40"/>
            </w:pPr>
            <w:r>
              <w:rPr>
                <w:sz w:val="17"/>
              </w:rPr>
              <w:t>Set MJ to NOMJremains or MJ3.</w:t>
            </w:r>
          </w:p>
        </w:tc>
      </w:tr>
      <w:tr>
        <w:tc>
          <w:tcPr>
            <w:tcW w:type="dxa" w:w="2300"/>
            <w:vAlign w:val="center"/>
          </w:tcPr>
          <w:p>
            <w:pPr>
              <w:spacing w:before="0" w:after="40"/>
            </w:pPr>
            <w:r>
              <w:rPr>
                <w:sz w:val="17"/>
              </w:rPr>
              <w:t>Profile manual override</w:t>
            </w:r>
          </w:p>
        </w:tc>
        <w:tc>
          <w:tcPr>
            <w:tcW w:type="dxa" w:w="1500"/>
            <w:vAlign w:val="center"/>
          </w:tcPr>
          <w:p>
            <w:pPr>
              <w:spacing w:before="0" w:after="40"/>
            </w:pPr>
            <w:r>
              <w:rPr>
                <w:sz w:val="17"/>
              </w:rPr>
              <w:t>5.148 / 5.150</w:t>
            </w:r>
          </w:p>
        </w:tc>
        <w:tc>
          <w:tcPr>
            <w:tcW w:type="dxa" w:w="5560"/>
            <w:vAlign w:val="center"/>
          </w:tcPr>
          <w:p>
            <w:pPr>
              <w:spacing w:before="0" w:after="40"/>
            </w:pPr>
            <w:r>
              <w:rPr>
                <w:sz w:val="17"/>
              </w:rPr>
              <w:t>Select the configured Standard or Low profile.</w:t>
            </w:r>
          </w:p>
        </w:tc>
      </w:tr>
      <w:tr>
        <w:tc>
          <w:tcPr>
            <w:tcW w:type="dxa" w:w="2300"/>
            <w:vAlign w:val="center"/>
          </w:tcPr>
          <w:p>
            <w:pPr>
              <w:spacing w:before="0" w:after="40"/>
            </w:pPr>
            <w:r>
              <w:rPr>
                <w:sz w:val="17"/>
              </w:rPr>
              <w:t>Toggle UKFset1 live comparison</w:t>
            </w:r>
          </w:p>
        </w:tc>
        <w:tc>
          <w:tcPr>
            <w:tcW w:type="dxa" w:w="1500"/>
            <w:vAlign w:val="center"/>
          </w:tcPr>
          <w:p>
            <w:pPr>
              <w:spacing w:before="0" w:after="40"/>
            </w:pPr>
            <w:r>
              <w:rPr>
                <w:sz w:val="17"/>
              </w:rPr>
              <w:t>5.152</w:t>
            </w:r>
          </w:p>
        </w:tc>
        <w:tc>
          <w:tcPr>
            <w:tcW w:type="dxa" w:w="5560"/>
            <w:vAlign w:val="center"/>
          </w:tcPr>
          <w:p>
            <w:pPr>
              <w:spacing w:before="0" w:after="40"/>
            </w:pPr>
            <w:r>
              <w:rPr>
                <w:sz w:val="17"/>
              </w:rPr>
              <w:t>Toggle the Virtual-Pump, non-Client live UKFset1 comparison; hidden elsewhere.</w:t>
            </w:r>
          </w:p>
        </w:tc>
      </w:tr>
      <w:tr>
        <w:tc>
          <w:tcPr>
            <w:tcW w:type="dxa" w:w="2300"/>
            <w:vAlign w:val="center"/>
          </w:tcPr>
          <w:p>
            <w:pPr>
              <w:spacing w:before="0" w:after="40"/>
            </w:pPr>
            <w:r>
              <w:rPr>
                <w:sz w:val="17"/>
              </w:rPr>
              <w:t>Run SensorAge code</w:t>
            </w:r>
          </w:p>
        </w:tc>
        <w:tc>
          <w:tcPr>
            <w:tcW w:type="dxa" w:w="1500"/>
            <w:vAlign w:val="center"/>
          </w:tcPr>
          <w:p>
            <w:pPr>
              <w:spacing w:before="0" w:after="40"/>
            </w:pPr>
            <w:r>
              <w:rPr>
                <w:sz w:val="17"/>
              </w:rPr>
              <w:t>5.156</w:t>
            </w:r>
          </w:p>
        </w:tc>
        <w:tc>
          <w:tcPr>
            <w:tcW w:type="dxa" w:w="5560"/>
            <w:vAlign w:val="center"/>
          </w:tcPr>
          <w:p>
            <w:pPr>
              <w:spacing w:before="0" w:after="40"/>
            </w:pPr>
            <w:r>
              <w:rPr>
                <w:sz w:val="17"/>
              </w:rPr>
              <w:t>Toggle the sensor-age code on or off.</w:t>
            </w:r>
          </w:p>
        </w:tc>
      </w:tr>
    </w:tbl>
    <w:p>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pPr>
        <w:pStyle w:val="Heading3"/>
      </w:pPr>
      <w:bookmarkStart w:id="59" w:name="sec8_list2_tt_codes"/>
      <w:r>
        <w:t>List 2 - actions, relay codes and local graph controls</w:t>
      </w:r>
      <w:bookmarkEnd w:id="59"/>
    </w:p>
    <w:tbl>
      <w:tblPr>
        <w:tblW w:type="dxa" w:w="9360"/>
        <w:tblLayout w:type="fixed"/>
        <w:tblLook w:firstColumn="1" w:firstRow="1" w:lastColumn="0" w:lastRow="0" w:noHBand="0" w:noVBand="1" w:val="04A0"/>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00"/>
        <w:gridCol w:w="1500"/>
        <w:gridCol w:w="5560"/>
      </w:tblGrid>
      <w:tr>
        <w:trPr>
          <w:tblHeader w:val="true"/>
        </w:trPr>
        <w:tc>
          <w:tcPr>
            <w:tcW w:type="dxa" w:w="2300"/>
            <w:vAlign w:val="center"/>
          </w:tcPr>
          <w:p>
            <w:pPr>
              <w:spacing w:before="0" w:after="40"/>
            </w:pPr>
            <w:r>
              <w:rPr>
                <w:b/>
                <w:sz w:val="17"/>
              </w:rPr>
              <w:t>Command</w:t>
            </w:r>
          </w:p>
        </w:tc>
        <w:tc>
          <w:tcPr>
            <w:tcW w:type="dxa" w:w="1500"/>
            <w:vAlign w:val="center"/>
          </w:tcPr>
          <w:p>
            <w:pPr>
              <w:spacing w:before="0" w:after="40"/>
            </w:pPr>
            <w:r>
              <w:rPr>
                <w:b/>
                <w:sz w:val="17"/>
              </w:rPr>
              <w:t>Relay TT (mmol/L)</w:t>
            </w:r>
          </w:p>
        </w:tc>
        <w:tc>
          <w:tcPr>
            <w:tcW w:type="dxa" w:w="5560"/>
            <w:vAlign w:val="center"/>
          </w:tcPr>
          <w:p>
            <w:pPr>
              <w:spacing w:before="0" w:after="40"/>
            </w:pPr>
            <w:r>
              <w:rPr>
                <w:b/>
                <w:sz w:val="17"/>
              </w:rPr>
              <w:t>Current effect</w:t>
            </w:r>
          </w:p>
        </w:tc>
      </w:tr>
      <w:tr>
        <w:tc>
          <w:tcPr>
            <w:tcW w:type="dxa" w:w="2300"/>
            <w:vAlign w:val="center"/>
          </w:tcPr>
          <w:p>
            <w:pPr>
              <w:spacing w:before="0" w:after="40"/>
            </w:pPr>
            <w:r>
              <w:rPr>
                <w:sz w:val="17"/>
              </w:rPr>
              <w:t>MJ start</w:t>
            </w:r>
          </w:p>
        </w:tc>
        <w:tc>
          <w:tcPr>
            <w:tcW w:type="dxa" w:w="1500"/>
            <w:vAlign w:val="center"/>
          </w:tcPr>
          <w:p>
            <w:pPr>
              <w:spacing w:before="0" w:after="40"/>
            </w:pPr>
            <w:r>
              <w:rPr>
                <w:sz w:val="17"/>
              </w:rPr>
              <w:t>5.158</w:t>
            </w:r>
          </w:p>
        </w:tc>
        <w:tc>
          <w:tcPr>
            <w:tcW w:type="dxa" w:w="5560"/>
            <w:vAlign w:val="center"/>
          </w:tcPr>
          <w:p>
            <w:pPr>
              <w:spacing w:before="0" w:after="40"/>
            </w:pPr>
            <w:r>
              <w:rPr>
                <w:sz w:val="17"/>
              </w:rPr>
              <w:t>Start the confirmed Mounjaro cycle.</w:t>
            </w:r>
          </w:p>
        </w:tc>
      </w:tr>
      <w:tr>
        <w:tc>
          <w:tcPr>
            <w:tcW w:type="dxa" w:w="2300"/>
            <w:vAlign w:val="center"/>
          </w:tcPr>
          <w:p>
            <w:pPr>
              <w:spacing w:before="0" w:after="40"/>
            </w:pPr>
            <w:r>
              <w:rPr>
                <w:sz w:val="17"/>
              </w:rPr>
              <w:t>MJ restore</w:t>
            </w:r>
          </w:p>
        </w:tc>
        <w:tc>
          <w:tcPr>
            <w:tcW w:type="dxa" w:w="1500"/>
            <w:vAlign w:val="center"/>
          </w:tcPr>
          <w:p>
            <w:pPr>
              <w:spacing w:before="0" w:after="40"/>
            </w:pPr>
            <w:r>
              <w:rPr>
                <w:sz w:val="17"/>
              </w:rPr>
              <w:t>5.160</w:t>
            </w:r>
          </w:p>
        </w:tc>
        <w:tc>
          <w:tcPr>
            <w:tcW w:type="dxa" w:w="5560"/>
            <w:vAlign w:val="center"/>
          </w:tcPr>
          <w:p>
            <w:pPr>
              <w:spacing w:before="0" w:after="40"/>
            </w:pPr>
            <w:r>
              <w:rPr>
                <w:sz w:val="17"/>
              </w:rPr>
              <w:t>Run the confirmed Mounjaro restoration action.</w:t>
            </w:r>
          </w:p>
        </w:tc>
      </w:tr>
      <w:tr>
        <w:tc>
          <w:tcPr>
            <w:tcW w:type="dxa" w:w="2300"/>
            <w:vAlign w:val="center"/>
          </w:tcPr>
          <w:p>
            <w:pPr>
              <w:spacing w:before="0" w:after="40"/>
            </w:pPr>
            <w:r>
              <w:rPr>
                <w:sz w:val="17"/>
              </w:rPr>
              <w:t>Steroid start</w:t>
            </w:r>
          </w:p>
        </w:tc>
        <w:tc>
          <w:tcPr>
            <w:tcW w:type="dxa" w:w="1500"/>
            <w:vAlign w:val="center"/>
          </w:tcPr>
          <w:p>
            <w:pPr>
              <w:spacing w:before="0" w:after="40"/>
            </w:pPr>
            <w:r>
              <w:rPr>
                <w:sz w:val="17"/>
              </w:rPr>
              <w:t>5.162</w:t>
            </w:r>
          </w:p>
        </w:tc>
        <w:tc>
          <w:tcPr>
            <w:tcW w:type="dxa" w:w="5560"/>
            <w:vAlign w:val="center"/>
          </w:tcPr>
          <w:p>
            <w:pPr>
              <w:spacing w:before="0" w:after="40"/>
            </w:pPr>
            <w:r>
              <w:rPr>
                <w:sz w:val="17"/>
              </w:rPr>
              <w:t>Start the steroid-management sequence.</w:t>
            </w:r>
          </w:p>
        </w:tc>
      </w:tr>
      <w:tr>
        <w:tc>
          <w:tcPr>
            <w:tcW w:type="dxa" w:w="2300"/>
            <w:vAlign w:val="center"/>
          </w:tcPr>
          <w:p>
            <w:pPr>
              <w:spacing w:before="0" w:after="40"/>
            </w:pPr>
            <w:r>
              <w:rPr>
                <w:sz w:val="17"/>
              </w:rPr>
              <w:t>Toggle MJ Kotlin buttons</w:t>
            </w:r>
          </w:p>
        </w:tc>
        <w:tc>
          <w:tcPr>
            <w:tcW w:type="dxa" w:w="1500"/>
            <w:vAlign w:val="center"/>
          </w:tcPr>
          <w:p>
            <w:pPr>
              <w:spacing w:before="0" w:after="40"/>
            </w:pPr>
            <w:r>
              <w:rPr>
                <w:sz w:val="17"/>
              </w:rPr>
              <w:t>5.164</w:t>
            </w:r>
          </w:p>
        </w:tc>
        <w:tc>
          <w:tcPr>
            <w:tcW w:type="dxa" w:w="5560"/>
            <w:vAlign w:val="center"/>
          </w:tcPr>
          <w:p>
            <w:pPr>
              <w:spacing w:before="0" w:after="40"/>
            </w:pPr>
            <w:r>
              <w:rPr>
                <w:sz w:val="17"/>
              </w:rPr>
              <w:t>Show/hide the MJ buttons.</w:t>
            </w:r>
          </w:p>
        </w:tc>
      </w:tr>
      <w:tr>
        <w:tc>
          <w:tcPr>
            <w:tcW w:type="dxa" w:w="2300"/>
            <w:vAlign w:val="center"/>
          </w:tcPr>
          <w:p>
            <w:pPr>
              <w:spacing w:before="0" w:after="40"/>
            </w:pPr>
            <w:r>
              <w:rPr>
                <w:sz w:val="17"/>
              </w:rPr>
              <w:t>Toggle Steroid Kotlin button</w:t>
            </w:r>
          </w:p>
        </w:tc>
        <w:tc>
          <w:tcPr>
            <w:tcW w:type="dxa" w:w="1500"/>
            <w:vAlign w:val="center"/>
          </w:tcPr>
          <w:p>
            <w:pPr>
              <w:spacing w:before="0" w:after="40"/>
            </w:pPr>
            <w:r>
              <w:rPr>
                <w:sz w:val="17"/>
              </w:rPr>
              <w:t>5.166</w:t>
            </w:r>
          </w:p>
        </w:tc>
        <w:tc>
          <w:tcPr>
            <w:tcW w:type="dxa" w:w="5560"/>
            <w:vAlign w:val="center"/>
          </w:tcPr>
          <w:p>
            <w:pPr>
              <w:spacing w:before="0" w:after="40"/>
            </w:pPr>
            <w:r>
              <w:rPr>
                <w:sz w:val="17"/>
              </w:rPr>
              <w:t>Show/hide the steroid button.</w:t>
            </w:r>
          </w:p>
        </w:tc>
      </w:tr>
      <w:tr>
        <w:tc>
          <w:tcPr>
            <w:tcW w:type="dxa" w:w="2300"/>
            <w:vAlign w:val="center"/>
          </w:tcPr>
          <w:p>
            <w:pPr>
              <w:spacing w:before="0" w:after="40"/>
            </w:pPr>
            <w:r>
              <w:rPr>
                <w:sz w:val="17"/>
              </w:rPr>
              <w:t>Steroid 110 to 130</w:t>
            </w:r>
          </w:p>
        </w:tc>
        <w:tc>
          <w:tcPr>
            <w:tcW w:type="dxa" w:w="1500"/>
            <w:vAlign w:val="center"/>
          </w:tcPr>
          <w:p>
            <w:pPr>
              <w:spacing w:before="0" w:after="40"/>
            </w:pPr>
            <w:r>
              <w:rPr>
                <w:sz w:val="17"/>
              </w:rPr>
              <w:t>5.168</w:t>
            </w:r>
          </w:p>
        </w:tc>
        <w:tc>
          <w:tcPr>
            <w:tcW w:type="dxa" w:w="5560"/>
            <w:vAlign w:val="center"/>
          </w:tcPr>
          <w:p>
            <w:pPr>
              <w:spacing w:before="0" w:after="40"/>
            </w:pPr>
            <w:r>
              <w:rPr>
                <w:sz w:val="17"/>
              </w:rPr>
              <w:t>Run the confirmed steroid escalation to 130.</w:t>
            </w:r>
          </w:p>
        </w:tc>
      </w:tr>
      <w:tr>
        <w:tc>
          <w:tcPr>
            <w:tcW w:type="dxa" w:w="2300"/>
            <w:vAlign w:val="center"/>
          </w:tcPr>
          <w:p>
            <w:pPr>
              <w:spacing w:before="0" w:after="40"/>
            </w:pPr>
            <w:r>
              <w:rPr>
                <w:sz w:val="17"/>
              </w:rPr>
              <w:t>Steroid 130 to 150</w:t>
            </w:r>
          </w:p>
        </w:tc>
        <w:tc>
          <w:tcPr>
            <w:tcW w:type="dxa" w:w="1500"/>
            <w:vAlign w:val="center"/>
          </w:tcPr>
          <w:p>
            <w:pPr>
              <w:spacing w:before="0" w:after="40"/>
            </w:pPr>
            <w:r>
              <w:rPr>
                <w:sz w:val="17"/>
              </w:rPr>
              <w:t>5.170</w:t>
            </w:r>
          </w:p>
        </w:tc>
        <w:tc>
          <w:tcPr>
            <w:tcW w:type="dxa" w:w="5560"/>
            <w:vAlign w:val="center"/>
          </w:tcPr>
          <w:p>
            <w:pPr>
              <w:spacing w:before="0" w:after="40"/>
            </w:pPr>
            <w:r>
              <w:rPr>
                <w:sz w:val="17"/>
              </w:rPr>
              <w:t>Run the confirmed steroid escalation to 150.</w:t>
            </w:r>
          </w:p>
        </w:tc>
      </w:tr>
      <w:tr>
        <w:tc>
          <w:tcPr>
            <w:tcW w:type="dxa" w:w="2300"/>
            <w:vAlign w:val="center"/>
          </w:tcPr>
          <w:p>
            <w:pPr>
              <w:spacing w:before="0" w:after="40"/>
            </w:pPr>
            <w:r>
              <w:rPr>
                <w:sz w:val="17"/>
              </w:rPr>
              <w:t>Steroid 150 to 190</w:t>
            </w:r>
          </w:p>
        </w:tc>
        <w:tc>
          <w:tcPr>
            <w:tcW w:type="dxa" w:w="1500"/>
            <w:vAlign w:val="center"/>
          </w:tcPr>
          <w:p>
            <w:pPr>
              <w:spacing w:before="0" w:after="40"/>
            </w:pPr>
            <w:r>
              <w:rPr>
                <w:sz w:val="17"/>
              </w:rPr>
              <w:t>5.172</w:t>
            </w:r>
          </w:p>
        </w:tc>
        <w:tc>
          <w:tcPr>
            <w:tcW w:type="dxa" w:w="5560"/>
            <w:vAlign w:val="center"/>
          </w:tcPr>
          <w:p>
            <w:pPr>
              <w:spacing w:before="0" w:after="40"/>
            </w:pPr>
            <w:r>
              <w:rPr>
                <w:sz w:val="17"/>
              </w:rPr>
              <w:t>Run the confirmed steroid escalation to 190.</w:t>
            </w:r>
          </w:p>
        </w:tc>
      </w:tr>
      <w:tr>
        <w:tc>
          <w:tcPr>
            <w:tcW w:type="dxa" w:w="2300"/>
            <w:vAlign w:val="center"/>
          </w:tcPr>
          <w:p>
            <w:pPr>
              <w:spacing w:before="0" w:after="40"/>
            </w:pPr>
            <w:r>
              <w:rPr>
                <w:sz w:val="17"/>
              </w:rPr>
              <w:t>Steroid 190 to 250</w:t>
            </w:r>
          </w:p>
        </w:tc>
        <w:tc>
          <w:tcPr>
            <w:tcW w:type="dxa" w:w="1500"/>
            <w:vAlign w:val="center"/>
          </w:tcPr>
          <w:p>
            <w:pPr>
              <w:spacing w:before="0" w:after="40"/>
            </w:pPr>
            <w:r>
              <w:rPr>
                <w:sz w:val="17"/>
              </w:rPr>
              <w:t>5.174</w:t>
            </w:r>
          </w:p>
        </w:tc>
        <w:tc>
          <w:tcPr>
            <w:tcW w:type="dxa" w:w="5560"/>
            <w:vAlign w:val="center"/>
          </w:tcPr>
          <w:p>
            <w:pPr>
              <w:spacing w:before="0" w:after="40"/>
            </w:pPr>
            <w:r>
              <w:rPr>
                <w:sz w:val="17"/>
              </w:rPr>
              <w:t>Run the confirmed steroid escalation to 250.</w:t>
            </w:r>
          </w:p>
        </w:tc>
      </w:tr>
      <w:tr>
        <w:tc>
          <w:tcPr>
            <w:tcW w:type="dxa" w:w="2300"/>
            <w:vAlign w:val="center"/>
          </w:tcPr>
          <w:p>
            <w:pPr>
              <w:spacing w:before="0" w:after="40"/>
            </w:pPr>
            <w:r>
              <w:rPr>
                <w:sz w:val="17"/>
              </w:rPr>
              <w:t>Steroids OFF</w:t>
            </w:r>
          </w:p>
        </w:tc>
        <w:tc>
          <w:tcPr>
            <w:tcW w:type="dxa" w:w="1500"/>
            <w:vAlign w:val="center"/>
          </w:tcPr>
          <w:p>
            <w:pPr>
              <w:spacing w:before="0" w:after="40"/>
            </w:pPr>
            <w:r>
              <w:rPr>
                <w:sz w:val="17"/>
              </w:rPr>
              <w:t>5.176</w:t>
            </w:r>
          </w:p>
        </w:tc>
        <w:tc>
          <w:tcPr>
            <w:tcW w:type="dxa" w:w="5560"/>
            <w:vAlign w:val="center"/>
          </w:tcPr>
          <w:p>
            <w:pPr>
              <w:spacing w:before="0" w:after="40"/>
            </w:pPr>
            <w:r>
              <w:rPr>
                <w:sz w:val="17"/>
              </w:rPr>
              <w:t>Run the confirmed steroid turn-off action.</w:t>
            </w:r>
          </w:p>
        </w:tc>
      </w:tr>
      <w:tr>
        <w:tc>
          <w:tcPr>
            <w:tcW w:type="dxa" w:w="2300"/>
            <w:vAlign w:val="center"/>
          </w:tcPr>
          <w:p>
            <w:pPr>
              <w:spacing w:before="0" w:after="40"/>
            </w:pPr>
            <w:r>
              <w:rPr>
                <w:sz w:val="17"/>
              </w:rPr>
              <w:t>AnyDesk restart</w:t>
            </w:r>
          </w:p>
        </w:tc>
        <w:tc>
          <w:tcPr>
            <w:tcW w:type="dxa" w:w="1500"/>
            <w:vAlign w:val="center"/>
          </w:tcPr>
          <w:p>
            <w:pPr>
              <w:spacing w:before="0" w:after="40"/>
            </w:pPr>
            <w:r>
              <w:rPr>
                <w:sz w:val="17"/>
              </w:rPr>
              <w:t>5.178</w:t>
            </w:r>
          </w:p>
        </w:tc>
        <w:tc>
          <w:tcPr>
            <w:tcW w:type="dxa" w:w="5560"/>
            <w:vAlign w:val="center"/>
          </w:tcPr>
          <w:p>
            <w:pPr>
              <w:spacing w:before="0" w:after="40"/>
            </w:pPr>
            <w:r>
              <w:rPr>
                <w:sz w:val="17"/>
              </w:rPr>
              <w:t>Client writes an ADesk Note and uses a five-minute relay TT only if no real TT is active; otherwise Note-only transport preserves the real TT.</w:t>
            </w:r>
          </w:p>
        </w:tc>
      </w:tr>
      <w:tr>
        <w:tc>
          <w:tcPr>
            <w:tcW w:type="dxa" w:w="2300"/>
            <w:vAlign w:val="center"/>
          </w:tcPr>
          <w:p>
            <w:pPr>
              <w:spacing w:before="0" w:after="40"/>
            </w:pPr>
            <w:r>
              <w:rPr>
                <w:sz w:val="17"/>
              </w:rPr>
              <w:t>AnyDesk restart - local test</w:t>
            </w:r>
          </w:p>
        </w:tc>
        <w:tc>
          <w:tcPr>
            <w:tcW w:type="dxa" w:w="1500"/>
            <w:vAlign w:val="center"/>
          </w:tcPr>
          <w:p>
            <w:pPr>
              <w:spacing w:before="0" w:after="40"/>
            </w:pPr>
            <w:r>
              <w:rPr>
                <w:sz w:val="17"/>
              </w:rPr>
              <w:t>5.180</w:t>
            </w:r>
          </w:p>
        </w:tc>
        <w:tc>
          <w:tcPr>
            <w:tcW w:type="dxa" w:w="5560"/>
            <w:vAlign w:val="center"/>
          </w:tcPr>
          <w:p>
            <w:pPr>
              <w:spacing w:before="0" w:after="40"/>
            </w:pPr>
            <w:r>
              <w:rPr>
                <w:sz w:val="17"/>
              </w:rPr>
              <w:t>Local command test through the real receiver; no NS round-trip or relay TT.</w:t>
            </w:r>
          </w:p>
        </w:tc>
      </w:tr>
      <w:tr>
        <w:tc>
          <w:tcPr>
            <w:tcW w:type="dxa" w:w="2300"/>
            <w:vAlign w:val="center"/>
          </w:tcPr>
          <w:p>
            <w:pPr>
              <w:spacing w:before="0" w:after="40"/>
            </w:pPr>
            <w:r>
              <w:rPr>
                <w:sz w:val="17"/>
              </w:rPr>
              <w:t>Graph: UKF1</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display toggle plus optional Libre slope/offset calibration.</w:t>
            </w:r>
          </w:p>
        </w:tc>
      </w:tr>
      <w:tr>
        <w:tc>
          <w:tcPr>
            <w:tcW w:type="dxa" w:w="2300"/>
            <w:vAlign w:val="center"/>
          </w:tcPr>
          <w:p>
            <w:pPr>
              <w:spacing w:before="0" w:after="40"/>
            </w:pPr>
            <w:r>
              <w:rPr>
                <w:sz w:val="17"/>
              </w:rPr>
              <w:t>Graph: UKF2</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display toggle; calibration is already upstream and remains shown as on.</w:t>
            </w:r>
          </w:p>
        </w:tc>
      </w:tr>
      <w:tr>
        <w:tc>
          <w:tcPr>
            <w:tcW w:type="dxa" w:w="2300"/>
            <w:vAlign w:val="center"/>
          </w:tcPr>
          <w:p>
            <w:pPr>
              <w:spacing w:before="0" w:after="40"/>
            </w:pPr>
            <w:r>
              <w:rPr>
                <w:sz w:val="17"/>
              </w:rPr>
              <w:t>Graph: UKF3</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display toggle plus optional Libre slope/offset calibration.</w:t>
            </w:r>
          </w:p>
        </w:tc>
      </w:tr>
      <w:tr>
        <w:tc>
          <w:tcPr>
            <w:tcW w:type="dxa" w:w="2300"/>
            <w:vAlign w:val="center"/>
          </w:tcPr>
          <w:p>
            <w:pPr>
              <w:spacing w:before="0" w:after="40"/>
            </w:pPr>
            <w:r>
              <w:rPr>
                <w:sz w:val="17"/>
              </w:rPr>
              <w:t>Graph: Graph5 panel</w:t>
            </w:r>
          </w:p>
        </w:tc>
        <w:tc>
          <w:tcPr>
            <w:tcW w:type="dxa" w:w="1500"/>
            <w:vAlign w:val="center"/>
          </w:tcPr>
          <w:p>
            <w:pPr>
              <w:spacing w:before="0" w:after="40"/>
            </w:pPr>
            <w:r>
              <w:rPr>
                <w:sz w:val="17"/>
              </w:rPr>
              <w:t>No relay TT</w:t>
            </w:r>
          </w:p>
        </w:tc>
        <w:tc>
          <w:tcPr>
            <w:tcW w:type="dxa" w:w="5560"/>
            <w:vAlign w:val="center"/>
          </w:tcPr>
          <w:p>
            <w:pPr>
              <w:spacing w:before="0" w:after="40"/>
            </w:pPr>
            <w:r>
              <w:rPr>
                <w:sz w:val="17"/>
              </w:rPr>
              <w:t>Local panel toggle; optional BGL-only mode hides insulin activity and the three carb series.</w:t>
            </w:r>
          </w:p>
        </w:tc>
      </w:tr>
    </w:tbl>
    <w:p w14:paraId="5980403C" w14:textId="77777777" w:rsidR="003D38EE" w:rsidRDefault="00A44A8D">
      <w:pPr>
        <w:pStyle w:val="Heading1"/>
      </w:pPr>
      <w:bookmarkStart w:id="37" w:name="sec037"/>
      <w:r>
        <w:t>9. GUI display changes</w:t>
      </w:r>
      <w:bookmarkEnd w:id="37"/>
    </w:p>
    <w:p w14:paraId="282D20EE" w14:textId="77777777" w:rsidR="003D38EE" w:rsidRDefault="00A44A8D">
      <w:pPr>
        <w:pStyle w:val="Heading2"/>
      </w:pPr>
      <w:bookmarkStart w:id="38" w:name="sec038"/>
      <w:r>
        <w:t>a. Graph types and the triggers for each</w:t>
      </w:r>
      <w:bookmarkEnd w:id="38"/>
    </w:p>
    <w:p w14:paraId="665509D9" w14:textId="77777777" w:rsidR="003D38EE" w:rsidRDefault="00A44A8D">
      <w:pPr>
        <w:ind w:left="360"/>
      </w:pPr>
      <w:r>
        <w:rPr>
          <w:b/>
        </w:rPr>
        <w:t xml:space="preserve">Main glucose graph (graph 0). </w:t>
      </w:r>
      <w:r>
        <w:t>This graph is always the primary time-aligned display. Its chart-menu switches select predictions, treatments/therapy events, activity, empirical carb absorption, UAM carb impact, combined carbs, BG parabola, raw BG, smoothed raw/UKF traces and basal data. The separate Graph2 carb-model preference controls the theoretical carb-model curve independently of the empirical absorption switch. Targets, running-mode markers, the current-time line and the principal AutoISF annotations are added automatically.</w:t>
      </w:r>
    </w:p>
    <w:p w14:paraId="6767BD4B" w14:textId="77777777" w:rsidR="003D38EE" w:rsidRDefault="00A44A8D">
      <w:pPr>
        <w:ind w:left="360"/>
      </w:pPr>
      <w:r>
        <w:rPr>
          <w:b/>
        </w:rPr>
        <w:t xml:space="preserve">Secondary graphs (graphs 1-4). </w:t>
      </w:r>
      <w:r>
        <w:t>The Overview chart menu creates and labels a secondary panel when at least one eligible series is assigned to it. Available series include absolute IOB, IOB, COB, IOB threshold, deviation, -BGI, autosensitivity ratio, variable sensitivity, deviation slope, heart rate, steps, final/acce/BG/postprandial/duration AutoISF factors, raw BG, smoothed raw/UKF data, UAM carb impact and combined carbs. The first active type normally establishes the scale; compatible IOB/threshold, deviation/-BGI and multiple AutoISF-</w:t>
      </w:r>
      <w:r>
        <w:t>factor selections share aligned scales.</w:t>
      </w:r>
    </w:p>
    <w:p w14:paraId="11D5E2EE" w14:textId="77777777" w:rsidR="003D38EE" w:rsidRDefault="00A44A8D">
      <w:pPr>
        <w:ind w:left="360"/>
      </w:pPr>
      <w:r>
        <w:rPr>
          <w:b/>
        </w:rPr>
        <w:t xml:space="preserve">Graph 5. </w:t>
      </w:r>
      <w:r>
        <w:t>Graph 5 is a dedicated main-sized comparison panel, not another chart-menu secondary graph. It is enabled by the Graph5 preference, the List 1 Graph5 toggle or List 2's Graph: Graph5 panel control. It deliberately ignores graph 0's individual visibility switches and always draws its own BGL comparison set. List 2 also provides BGL only, which hides insulin activity and the three carb-related curves while retaining BGL, basal and annotation rows.</w:t>
      </w:r>
    </w:p>
    <w:p w14:paraId="556F8187" w14:textId="77777777" w:rsidR="003D38EE" w:rsidRDefault="00A44A8D">
      <w:pPr>
        <w:ind w:left="360"/>
      </w:pPr>
      <w:r>
        <w:rPr>
          <w:b/>
        </w:rPr>
        <w:t xml:space="preserve">Gesture and remote triggers. </w:t>
      </w:r>
      <w:r>
        <w:t>A basal-area long-press cycles the main graph's display preset and controls the quick visibility of empirical carb line 1. An IOB-area long-press toggles SMB labels, resets the basal display preset to normal and forces carb line 1 on. The Clean graph command (List 1/relay code 5.042) applies the no-SMB-label/plain BGL preset once and then clears its request flag. Double-tapping the basal area opens List 2, where UKF1/UKF2/UKF3 and Graph5 checkboxes change local graph display settings; UKF2's calibration box</w:t>
      </w:r>
      <w:r>
        <w:t xml:space="preserve"> is informational because calibration is already applied upstream.</w:t>
      </w:r>
    </w:p>
    <w:p w14:paraId="31C8F34F" w14:textId="77777777" w:rsidR="003D38EE" w:rsidRDefault="00A44A8D">
      <w:pPr>
        <w:pStyle w:val="Heading2"/>
      </w:pPr>
      <w:bookmarkStart w:id="39" w:name="sec039"/>
      <w:r>
        <w:lastRenderedPageBreak/>
        <w:t>b. Colour changes driven by AutoISF input</w:t>
      </w:r>
      <w:bookmarkEnd w:id="39"/>
    </w:p>
    <w:p w14:paraId="052ADA52" w14:textId="77777777" w:rsidR="003D38EE" w:rsidRDefault="00A44A8D">
      <w:pPr>
        <w:ind w:left="360"/>
      </w:pPr>
      <w:r>
        <w:rPr>
          <w:b/>
        </w:rPr>
        <w:t xml:space="preserve">Dominant AutoISF colour. </w:t>
      </w:r>
      <w:r>
        <w:t>For each AIV point the display compares how far the acceleration, BG, postprandial and duration ISF factors lie from neutral 1.0. The factor with the greatest deviation supplies its theme colour. That dominant colour can tint the corresponding glucose dot, SMB delivery marker and the AutoISF temp-basal overlay, so the graph shows which AutoISF input was most influential at that time rather than merely whether the final factor was above or below 1.0.</w:t>
      </w:r>
    </w:p>
    <w:p w14:paraId="58062D3E" w14:textId="77777777" w:rsidR="003D38EE" w:rsidRDefault="00A44A8D">
      <w:pPr>
        <w:ind w:left="360"/>
      </w:pPr>
      <w:r>
        <w:rPr>
          <w:b/>
        </w:rPr>
        <w:t xml:space="preserve">Safety and fallback precedence. </w:t>
      </w:r>
      <w:r>
        <w:t>A low glucose dot always uses the low-glucose colour and is never masked by an AutoISF tint. Without a usable dominant-factor override, high points use the normal high colour and other points use the original/default BG colour. Prediction dots retain their IOB, COB, UAM or zero-temp prediction colours. When the plain/clean preset is active, BG dots revert to the conventional low, in-range and high colours and the ISF-coloured temp-basal overlay is suppressed.</w:t>
      </w:r>
    </w:p>
    <w:p w14:paraId="000278DF" w14:textId="77777777" w:rsidR="003D38EE" w:rsidRDefault="00A44A8D">
      <w:pPr>
        <w:ind w:left="360"/>
      </w:pPr>
      <w:r>
        <w:rPr>
          <w:b/>
        </w:rPr>
        <w:t xml:space="preserve">Other fixed colour conventions. </w:t>
      </w:r>
      <w:r>
        <w:t>Raw BG is split into colour-banded segments rather than shown as one undifferentiated trace. UKF1, UKF2 and UKF3 retain distinct comparison-line styling. The AIV/ISF index row uses separate colours for final, acceleration, BG, postprandial and duration factors; an SMB value of zero falls back to the ordinary insulin colour, while a delivered SMB can use the dominant AutoISF colour.</w:t>
      </w:r>
    </w:p>
    <w:p w14:paraId="79E3B237" w14:textId="77777777" w:rsidR="003D38EE" w:rsidRDefault="00A44A8D">
      <w:pPr>
        <w:pStyle w:val="Heading2"/>
      </w:pPr>
      <w:bookmarkStart w:id="40" w:name="sec040"/>
      <w:r>
        <w:t>c. Information shown on each graph</w:t>
      </w:r>
      <w:bookmarkEnd w:id="40"/>
    </w:p>
    <w:p w14:paraId="2F38D275" w14:textId="77777777" w:rsidR="003D38EE" w:rsidRDefault="00A44A8D">
      <w:pPr>
        <w:ind w:left="360"/>
      </w:pPr>
      <w:r>
        <w:rPr>
          <w:b/>
        </w:rPr>
        <w:t xml:space="preserve">Graph 0 information. </w:t>
      </w:r>
      <w:r>
        <w:t>The main graph can show measured and bucketed glucose, prediction traces, the shaded target range, bolus/carbohydrate treatments, effective-profile switches, therapy events, basals, temporary target, running modes and the now line. Optional analytical curves include insulin activity, empirical absorption, theoretical carb model, UAM and combined carbs, parabola/prediction, raw Libre and UKF-smoothed comparisons. Fixed annotations show the AAPS one-minute delta, UKF/Libre one-minute delta, HP/hypoglycaemia p</w:t>
      </w:r>
      <w:r>
        <w:t>rojection and IOB-peak information. Tapping a BG point or treatment displays its detail label.</w:t>
      </w:r>
    </w:p>
    <w:p w14:paraId="31EE981D" w14:textId="77777777" w:rsidR="003D38EE" w:rsidRDefault="00A44A8D">
      <w:pPr>
        <w:ind w:left="360"/>
      </w:pPr>
      <w:r>
        <w:rPr>
          <w:b/>
        </w:rPr>
        <w:t xml:space="preserve">Graph 1 information. </w:t>
      </w:r>
      <w:r>
        <w:t>In addition to its user-selected secondary series, graph 1 carries the target-offset/last-duration-taper row, stacked steps, the extra DR/AW/LS status row, noisy/raw-delta information, and the colour-segmented index row showing final, acceleration, BG, postprandial, duration and SMB values. These rows are fixed additions and therefore may appear even when the graph's principal selectable curve is something else.</w:t>
      </w:r>
    </w:p>
    <w:p w14:paraId="294E608F" w14:textId="77777777" w:rsidR="003D38EE" w:rsidRDefault="00A44A8D">
      <w:pPr>
        <w:ind w:left="360"/>
      </w:pPr>
      <w:r>
        <w:rPr>
          <w:b/>
        </w:rPr>
        <w:t xml:space="preserve">Graph 2 information. </w:t>
      </w:r>
      <w:r>
        <w:t>Graph 2 shows its selected secondary series and the per-SMB label/arrow layer. SMB label visibility follows the IOB long-press/Clean graph state, so the underlying numeric curve can remain while dose labels are hidden.</w:t>
      </w:r>
    </w:p>
    <w:p w14:paraId="3EDB277D" w14:textId="77777777" w:rsidR="003D38EE" w:rsidRDefault="00A44A8D">
      <w:pPr>
        <w:ind w:left="360"/>
      </w:pPr>
      <w:r>
        <w:rPr>
          <w:b/>
        </w:rPr>
        <w:t xml:space="preserve">Graph 3 information. </w:t>
      </w:r>
      <w:r>
        <w:t>Graph 3 shows its selected secondary series plus the total-SMB-per-stack labels at the base of the panel. The older pp/acce/duration annotation row no longer belongs here; it has moved to Graph 5.</w:t>
      </w:r>
    </w:p>
    <w:p w14:paraId="7886C292" w14:textId="77777777" w:rsidR="003D38EE" w:rsidRDefault="00A44A8D">
      <w:pPr>
        <w:ind w:left="360"/>
      </w:pPr>
      <w:r>
        <w:rPr>
          <w:b/>
        </w:rPr>
        <w:t xml:space="preserve">Graph 4 information. </w:t>
      </w:r>
      <w:r>
        <w:t>Graph 4 shows its selected secondary series. When the main Treatments switch is enabled it also shows CarePortal note text and matching arrowheads in the upper part of the panel, separating diagnostic notes from the SMB stack labels now placed on graphs 2 and 3.</w:t>
      </w:r>
    </w:p>
    <w:p w14:paraId="64E344E9" w14:textId="77777777" w:rsidR="003D38EE" w:rsidRDefault="00A44A8D">
      <w:pPr>
        <w:ind w:left="360"/>
      </w:pPr>
      <w:r>
        <w:rPr>
          <w:b/>
        </w:rPr>
        <w:t xml:space="preserve">Graph 5 information. </w:t>
      </w:r>
      <w:r>
        <w:t>Graph 5 provides a plain comparison picture: measured/bucketed glucose and predictions, shaded range, BG parabola, raw BG, all three UKF comparison lines, basals, target, running modes and now line. In full mode it also shows insulin activity, theoretical carb model, UAM carb impact and combined carbs. Its fixed annotation rows show target offset/last duration taper and pp/acce/duration weights. It intentionally omits treatments, therapy-event/note text, delta labels and the hypo-prediction row so marker te</w:t>
      </w:r>
      <w:r>
        <w:t>xt does not obscure the comparison traces.</w:t>
      </w:r>
    </w:p>
    <w:p>
      <w:pPr>
        <w:pStyle w:val="Heading1"/>
      </w:pPr>
      <w:bookmarkStart w:id="45" w:name="sec10_progress_outcomes"/>
      <w:r>
        <w:t>10. Factors affecting progress and hypoglycaemia outcomes</w:t>
      </w:r>
      <w:bookmarkEnd w:id="45"/>
    </w:p>
    <w:p>
      <w:pPr>
        <w:pStyle w:val="Heading2"/>
      </w:pPr>
      <w:bookmarkStart w:id="46" w:name="sec10_pod_age"/>
      <w:r>
        <w:t>a. Pod age and pump-type qualification</w:t>
      </w:r>
      <w:bookmarkEnd w:id="46"/>
    </w:p>
    <w:p>
      <w:pPr/>
      <w:r>
        <w:t>Pod-age-dependent paths use the time since the last cannula/site-change record only after confirming that the active pump reports itself as a patch pump. On a tubed pump or MDI setup the pod-age helper returns no value, so a normal infusion-site age cannot accidentally satisfy a fresh-pod or old-pod condition. For a patch pump, age can affect progression in several distinct ways: a pod older than 60 hours can widen the NewDay2 calibration tier when the other sensor-adjustment gates are present; sustained high glucose for two hours after 60 hours can produce the one-per-pod old-pod warning; and fresh/old-pod automation branches can alter profile, target or weighting only when all their additional glucose, state, bolus-age and timing gates also pass. The pump-type check is therefore required and is already performed centrally before any of these calculations receives a pod age.</w:t>
      </w:r>
    </w:p>
    <w:p>
      <w:pPr>
        <w:pStyle w:val="Heading2"/>
      </w:pPr>
      <w:bookmarkStart w:id="47" w:name="sec10_bolus_hp"/>
      <w:r>
        <w:t>b. Projected HP at bolus-calculator initiation</w:t>
      </w:r>
      <w:bookmarkEnd w:id="47"/>
    </w:p>
    <w:p>
      <w:pPr/>
      <w:r>
        <w:t>The Wizard calculation already includes a projected-HP safety assessment during each live recalculation, including the initial display and Quick Wizard calculations that use the same BolusWizard engine. It is a prospective bolus-specific HP, not the live APS HP2 value: projected HP = current glucose - positive IOB - the percentage-adjusted proposed bolus, plus only negative current and short-average delta contributions at one quarter weight. When projected HP is at most 6.5 mmol/L, glucose is below 10.0 mmol/L, both rise measures are at least 0.6 mmol/L per five minutes, positive IOB is at least 2.0 U, and the proposal is at least 0.75 U, COB-derived insulin is removed and the remainder is reduced to 75%. The recalculated lower dose is shown directly as the proposed dose before confirmation; it is not merely a warning offering a later manual reduction.</w:t>
      </w:r>
    </w:p>
    <w:p>
      <w:pPr>
        <w:pStyle w:val="Heading2"/>
      </w:pPr>
      <w:bookmarkStart w:id="48" w:name="sec10_recent50_progress"/>
      <w:r>
        <w:t>c. Effects of 50recent, a 50% profile and a hypo temporary target on progress</w:t>
      </w:r>
      <w:bookmarkEnd w:id="48"/>
    </w:p>
    <w:p>
      <w:pPr/>
      <w:r>
        <w:t>These are related but not interchangeable states. An active 50% profile changes the effective insulin-to-carbohydrate calculation and can arm the automatic delayed-bolus review. LowBG=50recent independently halves only the newly entered carbohydrate component when the active profile is not already 50%, preventing the two mechanisms from stacking into a quarter dose; it also activates the recent-low rebound protection used by SMB calculations. Glucose below 5.0 mmol/L and not rising can invoke the same carbohydrate-only halving even without the state. A hypo temporary target changes the BG-correction target and can block, postpone or cancel later split/delayed delivery when the follow-up safety gates no longer pass. During delayed progress, the active 50% profile or 50recent state can preserve eligibility for reassessment, but every later dose is recalculated against fresh glucose, profile, IOB, pump availability, newer treatments and the relevant deadline; none of these states guarantees that the remainder will be delivered.</w:t>
      </w:r>
    </w:p>
    <w:p>
      <w:pPr>
        <w:pStyle w:val="Heading2"/>
      </w:pPr>
      <w:bookmarkStart w:id="49" w:name="sec10_hypo_causes_outcomes"/>
      <w:r>
        <w:t>d. Hypoglycaemia warning causes and outcomes</w:t>
      </w:r>
      <w:bookmarkEnd w:id="49"/>
    </w:p>
    <w:p>
      <w:pPr/>
      <w:r>
        <w:t>Warnings arise from several coded paths rather than one glucose threshold. GentleHypoRisk can be caused by agreement between low AAPS glucose and low/falling UKF raw glucose, by a falling 50% profile condition, or by HP2 at or below 4.1, with the additional requirement that the raw one- and five-minute directions are non-rising and that a low/HP2/activity qualifier is present. AlarmHypo1 covers a slow decline below 4.3 mmol/L, an emergency glucose below 3.0, a daytime steps-associated decline, or agreement between tightened HP2 and HP1 limits. AlarmHypo2 covers non-rising glucose at or below 4.3, glucose at or below 5.5 with substantial recent steps, or the same HP1/HP2 agreement. Outcomes are protective state and dosing-context changes as well as alerts: acceleration weighting is reduced, BGLstate is marked as recently low, AlarmHypo1/2 set LowBG=50recent, GentleHypoRisk lowers the IOB-threshold percentage, graph/CarePortal markers are written, and configured notifications/SMS messages are issued. Alert sound/SMS behavior can be suppressed in quiet hours while the protective state changes still occur, so the absence of an overnight audible warning does not mean that the hypo pathway did not act.</w:t>
      </w:r>
    </w:p>
    <w:p>
      <w:pPr>
        <w:pStyle w:val="Heading1"/>
      </w:pPr>
      <w:bookmarkStart w:id="50" w:name="sec11_ukf"/>
      <w:r>
        <w:t>11. UKF: formulas, roles and initial comparison assessment</w:t>
      </w:r>
      <w:bookmarkEnd w:id="50"/>
    </w:p>
    <w:p>
      <w:pPr>
        <w:pStyle w:val="Heading2"/>
      </w:pPr>
      <w:bookmarkStart w:id="51" w:name="sec11_ukf_roles"/>
      <w:r>
        <w:t>a. The UKF variants and where each is used</w:t>
      </w:r>
      <w:bookmarkEnd w:id="51"/>
    </w:p>
    <w:p>
      <w:pPr/>
      <w:r>
        <w:t>The labels describe different compositions of two operations - Unscented Kalman filtering and LibreSpecial exponential smoothing - rather than three interchangeable copies of one value. UKF1 is a batch, display-oriented UKF/RTS pass over the raw/noise series. Its graph can optionally apply the Libre slope and offset after filtering. UKFset1 is the live incremental counterpart that can replace the ordinary LibreSpecial path only on the non-Client Virtual-Pump comparison device; it maintains its own current state and short retrospective history. UKF2 applies the normal calibrated LibreSpecial EMA first and then refines that EMA result with UKF; its graph reads the stored post-UKF value actually used when UKF2 was live, not the earlier pre-refinement EMA. UKF3 reverses the order: it starts with UKF1, optionally applies Libre calibration, and then runs the LibreSpecial EMA. UKF3 is a display/diagnostic comparison and is not presently an independently selectable dosing source.</w:t>
      </w:r>
    </w:p>
    <w:p>
      <w:pPr>
        <w:pStyle w:val="Heading2"/>
      </w:pPr>
      <w:bookmarkStart w:id="52" w:name="sec11_ukf_formula"/>
      <w:r>
        <w:t>b. Formula and full explanation of each</w:t>
      </w:r>
      <w:bookmarkEnd w:id="52"/>
    </w:p>
    <w:p>
      <w:pPr/>
      <w:r>
        <w:t>Common UKF model. The two-element state is x = [G, r], where G is glucose in mg/dL and r is its rate in mg/dL per minute. For elapsed time dt, prediction uses G(next) = G + r x dt and r(next) = 0.98 x r. Merwe-scaled sigma points (alpha 1.0, beta 0.0, kappa 3.0) propagate the state and covariance through that model. The observation is the glucose reading itself, z = G + measurement noise. The innovation is z - predicted G; the Kalman gain determines how much of that difference corrects both glucose and rate. The estimated rate is constrained to -4 to +4 mg/dL/min. The full adaptive filter uses process covariance Q = diag(1.0, 0.40), scaled by dt/5, and adapts measurement variance R to sensor quality. The raw comparison paths deliberately use heavier fixed measurement variance R = 225 and Q = diag(1.0, 0.15), producing stronger smoothing without altering the live adaptive filter's learned state.</w:t>
      </w:r>
    </w:p>
    <w:p>
      <w:pPr/>
      <w:r>
        <w:t>UKF1 formula and meaning. UKF1 applies the common UKF prediction/update pass to raw readings and then, for the retrospective graph, applies Rauch-Tung-Striebel backward smoothing: x_s(k) = x_f(k) + C(k)[x_s(k+1) - x_pred(k+1)], where C is formed from the filtered covariance, transition model and next predicted covariance. This uses later points to improve earlier displayed estimates, so the retrospective UKF1 graph must not be mistaken for a value that was fully available in real time. The live UKFset1 form performs only the causal incremental prediction/update for the newest point and persists that current state. A gap over seven minutes inflates uncertainty and decays the rate; a non-positive gap or one over 60 minutes starts a fresh state. Optional graph calibration is G_cal = max(40, slope x G_UKF1 + offset), with the offset converted to mg/dL when the displayed preference is in mmol/L.</w:t>
      </w:r>
    </w:p>
    <w:p>
      <w:pPr/>
      <w:r>
        <w:t>LibreSpecial EMA formula. Let a be the configured smoothing factor, e the elapsed minutes, c the expected CGM interval (normally one minute; five for the relevant G7 path), and M the maximum smoothing gap. The effective factor is a_eff = min[1, a + (1-a) x {max(0,e-c)/(M-c)}^2]. The new value is S = S_previous + a_eff x (G_calibrated - S_previous); the first point uses G_calibrated directly. As the gap approaches M, a_eff approaches 1, preventing an old smoothed value from dominating after missing data.</w:t>
      </w:r>
    </w:p>
    <w:p>
      <w:pPr/>
      <w:r>
        <w:t>UKF2 formula and meaning. UKF2 is UKF(EMA(calibrated Libre)). Each new reading first passes through the Libre calibration and the EMA formula above. That EMA value is appended to a rolling history; a UKF/RTS pass is recomputed over up to 90 minutes/120 points, and the refined value at the current timestamp becomes the UKF2 result. Its separate post-refinement history retains the values actually returned for dosing and supplies the UKF2 graph and delta calculations. Because calibration occurs before the EMA and UKF, UKF2 has no separate graph-calibration checkbox.</w:t>
      </w:r>
    </w:p>
    <w:p>
      <w:pPr/>
      <w:r>
        <w:t>UKF3 formula and meaning. UKF3 is EMA(calibrate(UKF1)). Starting with UKF1's oldest-to-newest series, each point is optionally calibrated using max(40, slope x G_UKF1 + offset), then passed through the same gap-adjusted EMA. This is the opposite order from UKF2. Filtering and EMA do not commute: UKF2 lets the EMA shape what the UKF receives, whereas UKF3 lets the UKF shape what the EMA receives. Their different timing and curvature are therefore expected and are precisely what the comparison graph is intended to reveal.</w:t>
      </w:r>
    </w:p>
    <w:p>
      <w:pPr>
        <w:pStyle w:val="Heading2"/>
      </w:pPr>
      <w:bookmarkStart w:id="53" w:name="sec11_ukf_progress"/>
      <w:r>
        <w:t>c. Progress of the initial UKF-check assessment and earliest-change question</w:t>
      </w:r>
      <w:bookmarkEnd w:id="53"/>
    </w:p>
    <w:p>
      <w:pPr/>
      <w:r>
        <w:t>The initial observation was that the UKF1 graph appeared to react to a fall before LibreSpecial. The current code treats that as a hypothesis requiring repeated measurement, not as proof that UKF1 should replace the live source. On the non-Client Virtual-Pump comparison device only, it keeps the alternative histories warm and compares the loop value, UKF2, live-style UKFset1, a shadow LibreSpecial value, retrospective UKF1 and UKF3. Every five minutes it records each type's 5-, 15- and 30-minute deltas plus fitted acceleration, positive/negative parabola deltas, fit window and correlation quality. It separately warns when a type's meaningful acceleration sign disagrees with the live loop.</w:t>
      </w:r>
    </w:p>
    <w:p>
      <w:pPr/>
      <w:r>
        <w:t>Earliest-change tracking defines a genuine falling crossing as delta5 at or below -0.2 mmol/L per five minutes. The loop crossing is checked every cycle; the five alternative-type comparisons are normally sampled by their five-minute diagnostic blocks. For each falling episode, the first crossing time for every type is retained in memory and later crossings are reported as seconds behind the first. Recovery above the threshold re-arms that type for the next episode. A dedicated LibreSpecial-versus-UKFset1 race removes interference from the other variants: the leader writes LibreLd or Set1Ld to CarePortal, while both lead/lag times remain in the log. The UKFcheck export gathers these metrics and race records during manual AIV export and the normal six-hour export cycle.</w:t>
      </w:r>
    </w:p>
    <w:p>
      <w:pPr/>
      <w:r>
        <w:t>Use beyond the assessment. At present the earliest signal is diagnostic only: it does not automatically change the live glucose source, dose, temporary target or automation. A single early crossing may be genuine lead time, retrospective RTS advantage, or a false lead caused by raw noise. Permanent or external use should therefore wait for enough matched episodes to compare median lead time, missed declines, false alarms, low-point error and recovery lag using only values that were causally available at that moment. In particular, retrospective UKF1/UKF3 graph points must not be credited as real-time warning unless the same advantage is reproduced by the causal UKFset1 history. If those findings remain favorable, the live UKFset1 toggle is the appropriate candidate for a controlled trial; the diagnostic should not itself select whichever line happened to cross first in each episode.</w:t>
      </w:r>
    </w:p>
    <w:p>
      <w:pPr>
        <w:pStyle w:val="Heading1"/>
      </w:pPr>
      <w:bookmarkStart w:id="54" w:name="sec12_battery"/>
      <w:r>
        <w:t>12. Battery 1% automation and profile recovery</w:t>
      </w:r>
      <w:bookmarkEnd w:id="54"/>
    </w:p>
    <w:p>
      <w:pPr>
        <w:pStyle w:val="Heading2"/>
      </w:pPr>
      <w:bookmarkStart w:id="55" w:name="sec12_battery_low"/>
      <w:r>
        <w:t>a. Battery1pc: action at 1% or below</w:t>
      </w:r>
      <w:bookmarkEnd w:id="55"/>
    </w:p>
    <w:p>
      <w:pPr/>
      <w:r>
        <w:t>Battery1pc is checked with a 20-minute floor. It can fire only when the active profile percentage is 100%, Automation State Profile is PP130, C100 or AllOK, the receiving phone reports battery at or below 1%, and the active pump is not Virtual Pump. It deliberately has no pod/cannula-age condition: critical phone battery applies equally to patch and tubed live-pump systems. When it fires, it switches immediately to the named Current Profile50, raises the urgent Batt1% notification, adds the main-graph announcement Batt1% and CarePortal note Bt&lt;1%, sends LowBattery by the ordinary SMS route and to the configured battery-alert numbers, and records the run. The profile switch makes the 100% precondition false on the next loop, providing an additional self-guard against repeated action.</w:t>
      </w:r>
    </w:p>
    <w:p>
      <w:pPr>
        <w:pStyle w:val="Heading2"/>
      </w:pPr>
      <w:bookmarkStart w:id="56" w:name="sec12_battery_recovery"/>
      <w:r>
        <w:t>b. BatteryOver1pc: restoration after recovery</w:t>
      </w:r>
      <w:bookmarkEnd w:id="56"/>
    </w:p>
    <w:p>
      <w:pPr/>
      <w:r>
        <w:t>BatteryOver1pc is checked with a five-minute floor. It requires battery above 1% and the exact current profile name Current Profile50. The profile-name test is intentional: a hypo-created 50% percentage on ProfileReal is not the battery profile and must not be cancelled merely because the battery recovered. The older Profile=Batt1% state test could never succeed because Battery1pc did not set that state. On recovery, the automation switches to the configured Standard Profile, sends AllOK Batt, sets Automation State Profile to AllOK, writes CarePortal note bat&gt;1 and records the recovery run. There is no separate user confirmation; progression is Battery1pc reduction followed by BatteryOver1pc restoration once these exact conditions are observed.</w:t>
      </w:r>
    </w:p>
    <w:p w14:paraId="7DD791CE" w14:textId="77777777" w:rsidR="00F16DB1" w:rsidRDefault="001E64C6">
      <w:pPr>
        <w:pStyle w:val="Heading1"/>
        <w:spacing w:before="400" w:after="200"/>
      </w:pPr>
      <w:bookmarkStart w:id="41" w:name="sec041"/>
      <w:r>
        <w:t>Appendix A — Installation and explanatory information</w:t>
      </w:r>
      <w:bookmarkEnd w:id="41"/>
    </w:p>
    <w:p w14:paraId="52019301"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21718148"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1A795A8F" w14:textId="77777777" w:rsidR="00F16DB1" w:rsidRDefault="001E64C6">
      <w:pPr>
        <w:pStyle w:val="Heading2"/>
        <w:spacing w:before="280" w:after="120"/>
      </w:pPr>
      <w:bookmarkStart w:id="42" w:name="sec042"/>
      <w:r>
        <w:t>a. Version tag &amp; build identification</w:t>
      </w:r>
      <w:bookmarkEnd w:id="42"/>
    </w:p>
    <w:p w14:paraId="3C93EAA7" w14:textId="77777777" w:rsidR="00F16DB1" w:rsidRDefault="001E64C6">
      <w:pPr>
        <w:spacing w:after="160"/>
        <w:ind w:left="36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w:t>
      </w:r>
      <w:r>
        <w:lastRenderedPageBreak/>
        <w:t>aapsclient”/“-aapsclient2” suffix appended, which shifts the fixed 13-character window — the printed tag can look slightly off on Client builds specifically. Not yet fixed as of this writing.</w:t>
      </w:r>
    </w:p>
    <w:p w14:paraId="119DE62E" w14:textId="77777777" w:rsidR="00F16DB1" w:rsidRDefault="001E64C6">
      <w:pPr>
        <w:pStyle w:val="Heading2"/>
        <w:spacing w:before="280" w:after="120"/>
      </w:pPr>
      <w:bookmarkStart w:id="43" w:name="sec043"/>
      <w:r>
        <w:t>b. Per-device backup/export folder naming</w:t>
      </w:r>
      <w:bookmarkEnd w:id="43"/>
    </w:p>
    <w:p w14:paraId="5B83DFEE" w14:textId="77777777" w:rsidR="00B827B4" w:rsidRDefault="001E64C6">
      <w:pPr>
        <w:spacing w:after="160"/>
        <w:ind w:left="36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only affects future exports, not the ones already written under the old name.</w:t>
      </w:r>
      <w:r w:rsidR="00B827B4">
        <w:br/>
      </w:r>
      <w:r w:rsidR="00B827B4">
        <w:br/>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3C0256C4" w14:textId="77777777" w:rsidTr="00697CEE">
        <w:trPr>
          <w:tblHeader/>
        </w:trPr>
        <w:tc>
          <w:tcPr>
            <w:tcW w:w="2000" w:type="dxa"/>
            <w:shd w:val="clear" w:color="auto" w:fill="2F5496"/>
            <w:tcMar>
              <w:top w:w="80" w:type="dxa"/>
              <w:left w:w="100" w:type="dxa"/>
              <w:bottom w:w="80" w:type="dxa"/>
              <w:right w:w="100" w:type="dxa"/>
            </w:tcMar>
          </w:tcPr>
          <w:p w14:paraId="6D328E7E" w14:textId="77777777" w:rsidR="00B827B4" w:rsidRDefault="00B827B4" w:rsidP="00697CEE">
            <w:r>
              <w:rPr>
                <w:b/>
                <w:bCs/>
                <w:color w:val="FFFFFF"/>
                <w:sz w:val="18"/>
                <w:szCs w:val="18"/>
              </w:rPr>
              <w:t>Flavor</w:t>
            </w:r>
          </w:p>
        </w:tc>
        <w:tc>
          <w:tcPr>
            <w:tcW w:w="3200" w:type="dxa"/>
            <w:shd w:val="clear" w:color="auto" w:fill="2F5496"/>
            <w:tcMar>
              <w:top w:w="80" w:type="dxa"/>
              <w:left w:w="100" w:type="dxa"/>
              <w:bottom w:w="80" w:type="dxa"/>
              <w:right w:w="100" w:type="dxa"/>
            </w:tcMar>
          </w:tcPr>
          <w:p w14:paraId="47915A3B" w14:textId="77777777" w:rsidR="00B827B4" w:rsidRDefault="00B827B4" w:rsidP="00697CEE">
            <w:r>
              <w:rPr>
                <w:b/>
                <w:bCs/>
                <w:color w:val="FFFFFF"/>
                <w:sz w:val="18"/>
                <w:szCs w:val="18"/>
              </w:rPr>
              <w:t>Application ID</w:t>
            </w:r>
          </w:p>
        </w:tc>
        <w:tc>
          <w:tcPr>
            <w:tcW w:w="1600" w:type="dxa"/>
            <w:shd w:val="clear" w:color="auto" w:fill="2F5496"/>
            <w:tcMar>
              <w:top w:w="80" w:type="dxa"/>
              <w:left w:w="100" w:type="dxa"/>
              <w:bottom w:w="80" w:type="dxa"/>
              <w:right w:w="100" w:type="dxa"/>
            </w:tcMar>
          </w:tcPr>
          <w:p w14:paraId="2E3F56FC" w14:textId="77777777" w:rsidR="00B827B4" w:rsidRDefault="00B827B4" w:rsidP="00697CEE">
            <w:r>
              <w:rPr>
                <w:b/>
                <w:bCs/>
                <w:color w:val="FFFFFF"/>
                <w:sz w:val="18"/>
                <w:szCs w:val="18"/>
              </w:rPr>
              <w:t>Icon</w:t>
            </w:r>
          </w:p>
        </w:tc>
        <w:tc>
          <w:tcPr>
            <w:tcW w:w="3280" w:type="dxa"/>
            <w:shd w:val="clear" w:color="auto" w:fill="2F5496"/>
            <w:tcMar>
              <w:top w:w="80" w:type="dxa"/>
              <w:left w:w="100" w:type="dxa"/>
              <w:bottom w:w="80" w:type="dxa"/>
              <w:right w:w="100" w:type="dxa"/>
            </w:tcMar>
          </w:tcPr>
          <w:p w14:paraId="4EF8DB4F" w14:textId="77777777" w:rsidR="00B827B4" w:rsidRDefault="00B827B4" w:rsidP="00697CEE">
            <w:r>
              <w:rPr>
                <w:b/>
                <w:bCs/>
                <w:color w:val="FFFFFF"/>
                <w:sz w:val="18"/>
                <w:szCs w:val="18"/>
              </w:rPr>
              <w:t>Role</w:t>
            </w:r>
          </w:p>
        </w:tc>
      </w:tr>
      <w:tr w:rsidR="00B827B4" w14:paraId="77BB24C2" w14:textId="77777777" w:rsidTr="00697CEE">
        <w:tc>
          <w:tcPr>
            <w:tcW w:w="2000" w:type="dxa"/>
            <w:tcMar>
              <w:top w:w="80" w:type="dxa"/>
              <w:left w:w="100" w:type="dxa"/>
              <w:bottom w:w="80" w:type="dxa"/>
              <w:right w:w="100" w:type="dxa"/>
            </w:tcMar>
          </w:tcPr>
          <w:p w14:paraId="40C77AB7" w14:textId="77777777" w:rsidR="00B827B4" w:rsidRDefault="00B827B4" w:rsidP="00697CEE">
            <w:r>
              <w:rPr>
                <w:sz w:val="18"/>
                <w:szCs w:val="18"/>
              </w:rPr>
              <w:t>full</w:t>
            </w:r>
          </w:p>
        </w:tc>
        <w:tc>
          <w:tcPr>
            <w:tcW w:w="3200" w:type="dxa"/>
            <w:tcMar>
              <w:top w:w="80" w:type="dxa"/>
              <w:left w:w="100" w:type="dxa"/>
              <w:bottom w:w="80" w:type="dxa"/>
              <w:right w:w="100" w:type="dxa"/>
            </w:tcMar>
          </w:tcPr>
          <w:p w14:paraId="3FBB8C55" w14:textId="77777777" w:rsidR="00B827B4" w:rsidRDefault="00B827B4" w:rsidP="00697CEE">
            <w:r>
              <w:rPr>
                <w:sz w:val="18"/>
                <w:szCs w:val="18"/>
              </w:rPr>
              <w:t>info.nightscout.androidaps</w:t>
            </w:r>
          </w:p>
        </w:tc>
        <w:tc>
          <w:tcPr>
            <w:tcW w:w="1600" w:type="dxa"/>
            <w:tcMar>
              <w:top w:w="80" w:type="dxa"/>
              <w:left w:w="100" w:type="dxa"/>
              <w:bottom w:w="80" w:type="dxa"/>
              <w:right w:w="100" w:type="dxa"/>
            </w:tcMar>
          </w:tcPr>
          <w:p w14:paraId="19036828" w14:textId="77777777" w:rsidR="00B827B4" w:rsidRDefault="00B827B4" w:rsidP="00697CEE">
            <w:r>
              <w:rPr>
                <w:sz w:val="18"/>
                <w:szCs w:val="18"/>
              </w:rPr>
              <w:t>standard AAPS</w:t>
            </w:r>
          </w:p>
        </w:tc>
        <w:tc>
          <w:tcPr>
            <w:tcW w:w="3280" w:type="dxa"/>
            <w:tcMar>
              <w:top w:w="80" w:type="dxa"/>
              <w:left w:w="100" w:type="dxa"/>
              <w:bottom w:w="80" w:type="dxa"/>
              <w:right w:w="100" w:type="dxa"/>
            </w:tcMar>
          </w:tcPr>
          <w:p w14:paraId="32BF80C0" w14:textId="77777777" w:rsidR="00B827B4" w:rsidRDefault="00B827B4" w:rsidP="00697CEE">
            <w:r>
              <w:rPr>
                <w:sz w:val="18"/>
                <w:szCs w:val="18"/>
              </w:rPr>
              <w:t>The real, pump-driving install. This is what “Regan” / the primary phone runs.</w:t>
            </w:r>
          </w:p>
        </w:tc>
      </w:tr>
      <w:tr w:rsidR="00B827B4" w14:paraId="7749708B" w14:textId="77777777" w:rsidTr="00697CEE">
        <w:tc>
          <w:tcPr>
            <w:tcW w:w="2000" w:type="dxa"/>
            <w:tcMar>
              <w:top w:w="80" w:type="dxa"/>
              <w:left w:w="100" w:type="dxa"/>
              <w:bottom w:w="80" w:type="dxa"/>
              <w:right w:w="100" w:type="dxa"/>
            </w:tcMar>
          </w:tcPr>
          <w:p w14:paraId="617E0C9A" w14:textId="77777777" w:rsidR="00B827B4" w:rsidRDefault="00B827B4" w:rsidP="00697CEE">
            <w:r>
              <w:rPr>
                <w:sz w:val="18"/>
                <w:szCs w:val="18"/>
              </w:rPr>
              <w:t>pumpcontrol</w:t>
            </w:r>
          </w:p>
        </w:tc>
        <w:tc>
          <w:tcPr>
            <w:tcW w:w="3200" w:type="dxa"/>
            <w:tcMar>
              <w:top w:w="80" w:type="dxa"/>
              <w:left w:w="100" w:type="dxa"/>
              <w:bottom w:w="80" w:type="dxa"/>
              <w:right w:w="100" w:type="dxa"/>
            </w:tcMar>
          </w:tcPr>
          <w:p w14:paraId="3BB65FF7" w14:textId="77777777" w:rsidR="00B827B4" w:rsidRDefault="00B827B4" w:rsidP="00697CEE">
            <w:r>
              <w:rPr>
                <w:sz w:val="18"/>
                <w:szCs w:val="18"/>
              </w:rPr>
              <w:t>info.nightscout.aapspumpcontrol</w:t>
            </w:r>
          </w:p>
        </w:tc>
        <w:tc>
          <w:tcPr>
            <w:tcW w:w="1600" w:type="dxa"/>
            <w:tcMar>
              <w:top w:w="80" w:type="dxa"/>
              <w:left w:w="100" w:type="dxa"/>
              <w:bottom w:w="80" w:type="dxa"/>
              <w:right w:w="100" w:type="dxa"/>
            </w:tcMar>
          </w:tcPr>
          <w:p w14:paraId="5E8C4F69" w14:textId="77777777" w:rsidR="00B827B4" w:rsidRDefault="00B827B4" w:rsidP="00697CEE">
            <w:r>
              <w:rPr>
                <w:sz w:val="18"/>
                <w:szCs w:val="18"/>
              </w:rPr>
              <w:t>pumpcontrol icon</w:t>
            </w:r>
          </w:p>
        </w:tc>
        <w:tc>
          <w:tcPr>
            <w:tcW w:w="3280" w:type="dxa"/>
            <w:tcMar>
              <w:top w:w="80" w:type="dxa"/>
              <w:left w:w="100" w:type="dxa"/>
              <w:bottom w:w="80" w:type="dxa"/>
              <w:right w:w="100" w:type="dxa"/>
            </w:tcMar>
          </w:tcPr>
          <w:p w14:paraId="47CF5054" w14:textId="77777777" w:rsidR="00B827B4" w:rsidRDefault="00B827B4" w:rsidP="00697CEE">
            <w:r>
              <w:rPr>
                <w:sz w:val="18"/>
                <w:szCs w:val="18"/>
              </w:rPr>
              <w:t>Stock AAPS pump-control-only variant; not actively used by this fork's own device fleet, but still built.</w:t>
            </w:r>
          </w:p>
        </w:tc>
      </w:tr>
      <w:tr w:rsidR="00B827B4" w14:paraId="7687C844" w14:textId="77777777" w:rsidTr="00697CEE">
        <w:tc>
          <w:tcPr>
            <w:tcW w:w="2000" w:type="dxa"/>
            <w:tcMar>
              <w:top w:w="80" w:type="dxa"/>
              <w:left w:w="100" w:type="dxa"/>
              <w:bottom w:w="80" w:type="dxa"/>
              <w:right w:w="100" w:type="dxa"/>
            </w:tcMar>
          </w:tcPr>
          <w:p w14:paraId="576F7004" w14:textId="77777777" w:rsidR="00B827B4" w:rsidRDefault="00B827B4" w:rsidP="00697CEE">
            <w:r>
              <w:rPr>
                <w:sz w:val="18"/>
                <w:szCs w:val="18"/>
              </w:rPr>
              <w:t>aapsclient</w:t>
            </w:r>
          </w:p>
        </w:tc>
        <w:tc>
          <w:tcPr>
            <w:tcW w:w="3200" w:type="dxa"/>
            <w:tcMar>
              <w:top w:w="80" w:type="dxa"/>
              <w:left w:w="100" w:type="dxa"/>
              <w:bottom w:w="80" w:type="dxa"/>
              <w:right w:w="100" w:type="dxa"/>
            </w:tcMar>
          </w:tcPr>
          <w:p w14:paraId="69293C77" w14:textId="77777777" w:rsidR="00B827B4" w:rsidRDefault="00B827B4" w:rsidP="00697CEE">
            <w:r>
              <w:rPr>
                <w:sz w:val="18"/>
                <w:szCs w:val="18"/>
              </w:rPr>
              <w:t>info.nightscout.aapsclient</w:t>
            </w:r>
          </w:p>
        </w:tc>
        <w:tc>
          <w:tcPr>
            <w:tcW w:w="1600" w:type="dxa"/>
            <w:tcMar>
              <w:top w:w="80" w:type="dxa"/>
              <w:left w:w="100" w:type="dxa"/>
              <w:bottom w:w="80" w:type="dxa"/>
              <w:right w:w="100" w:type="dxa"/>
            </w:tcMar>
          </w:tcPr>
          <w:p w14:paraId="6E019A76" w14:textId="77777777" w:rsidR="00B827B4" w:rsidRDefault="00B827B4" w:rsidP="00697CEE">
            <w:r>
              <w:rPr>
                <w:sz w:val="18"/>
                <w:szCs w:val="18"/>
              </w:rPr>
              <w:t>yellow owl</w:t>
            </w:r>
          </w:p>
        </w:tc>
        <w:tc>
          <w:tcPr>
            <w:tcW w:w="3280" w:type="dxa"/>
            <w:tcMar>
              <w:top w:w="80" w:type="dxa"/>
              <w:left w:w="100" w:type="dxa"/>
              <w:bottom w:w="80" w:type="dxa"/>
              <w:right w:w="100" w:type="dxa"/>
            </w:tcMar>
          </w:tcPr>
          <w:p w14:paraId="4E8F9D06" w14:textId="77777777" w:rsidR="00B827B4" w:rsidRDefault="00B827B4" w:rsidP="00697CEE">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631DDD4F" w14:textId="77777777" w:rsidTr="00697CEE">
        <w:tc>
          <w:tcPr>
            <w:tcW w:w="2000" w:type="dxa"/>
            <w:tcMar>
              <w:top w:w="80" w:type="dxa"/>
              <w:left w:w="100" w:type="dxa"/>
              <w:bottom w:w="80" w:type="dxa"/>
              <w:right w:w="100" w:type="dxa"/>
            </w:tcMar>
          </w:tcPr>
          <w:p w14:paraId="521AD7C8" w14:textId="77777777" w:rsidR="00B827B4" w:rsidRDefault="00B827B4" w:rsidP="00697CEE">
            <w:r>
              <w:rPr>
                <w:sz w:val="18"/>
                <w:szCs w:val="18"/>
              </w:rPr>
              <w:t>aapsclient2</w:t>
            </w:r>
          </w:p>
        </w:tc>
        <w:tc>
          <w:tcPr>
            <w:tcW w:w="3200" w:type="dxa"/>
            <w:tcMar>
              <w:top w:w="80" w:type="dxa"/>
              <w:left w:w="100" w:type="dxa"/>
              <w:bottom w:w="80" w:type="dxa"/>
              <w:right w:w="100" w:type="dxa"/>
            </w:tcMar>
          </w:tcPr>
          <w:p w14:paraId="6AD4EFE4" w14:textId="77777777" w:rsidR="00B827B4" w:rsidRDefault="00B827B4" w:rsidP="00697CEE">
            <w:r>
              <w:rPr>
                <w:sz w:val="18"/>
                <w:szCs w:val="18"/>
              </w:rPr>
              <w:t>info.nightscout.aapsclient2</w:t>
            </w:r>
          </w:p>
        </w:tc>
        <w:tc>
          <w:tcPr>
            <w:tcW w:w="1600" w:type="dxa"/>
            <w:tcMar>
              <w:top w:w="80" w:type="dxa"/>
              <w:left w:w="100" w:type="dxa"/>
              <w:bottom w:w="80" w:type="dxa"/>
              <w:right w:w="100" w:type="dxa"/>
            </w:tcMar>
          </w:tcPr>
          <w:p w14:paraId="0603EEAD" w14:textId="77777777" w:rsidR="00B827B4" w:rsidRDefault="00B827B4" w:rsidP="00697CEE">
            <w:r>
              <w:rPr>
                <w:sz w:val="18"/>
                <w:szCs w:val="18"/>
              </w:rPr>
              <w:t>blue owl</w:t>
            </w:r>
          </w:p>
        </w:tc>
        <w:tc>
          <w:tcPr>
            <w:tcW w:w="3280" w:type="dxa"/>
            <w:tcMar>
              <w:top w:w="80" w:type="dxa"/>
              <w:left w:w="100" w:type="dxa"/>
              <w:bottom w:w="80" w:type="dxa"/>
              <w:right w:w="100" w:type="dxa"/>
            </w:tcMar>
          </w:tcPr>
          <w:p w14:paraId="5FE8053D" w14:textId="77777777" w:rsidR="00B827B4" w:rsidRDefault="00B827B4" w:rsidP="00697CEE">
            <w:r>
              <w:rPr>
                <w:sz w:val="18"/>
                <w:szCs w:val="18"/>
              </w:rPr>
              <w:t>A second, independent Client mirror — same mechanism as aapsclient, distinct app/prefs, lets one phone run two separate mirror instances.</w:t>
            </w:r>
          </w:p>
        </w:tc>
      </w:tr>
    </w:tbl>
    <w:p w14:paraId="7194408F" w14:textId="69F79E61" w:rsidR="00F16DB1" w:rsidRDefault="00F16DB1">
      <w:pPr>
        <w:spacing w:after="160"/>
        <w:ind w:left="360"/>
      </w:pPr>
    </w:p>
    <w:p w14:paraId="5F7DA396" w14:textId="77777777" w:rsidR="003D38EE" w:rsidRDefault="00A44A8D">
      <w:pPr>
        <w:pStyle w:val="Heading1"/>
      </w:pPr>
      <w:bookmarkStart w:id="44" w:name="appendix_b_contents"/>
      <w:r>
        <w:t>Appendix B — Contents</w:t>
      </w:r>
      <w:bookmarkEnd w:id="44"/>
    </w:p>
    <w:p w14:paraId="71F99239" w14:textId="6CBC4B66" w:rsidR="003D38EE" w:rsidRDefault="00A44A8D">
      <w:hyperlink w:anchor="sec001">
        <w:r>
          <w:rPr>
            <w:rStyle w:val="Hyperlink"/>
          </w:rPr>
          <w:t>Introduction: Most significant new features</w:t>
        </w:r>
      </w:hyperlink>
    </w:p>
    <w:p w14:paraId="0E6B81A8" w14:textId="7BFF4509" w:rsidR="003D38EE" w:rsidRDefault="00A44A8D">
      <w:hyperlink w:anchor="sec002">
        <w:r>
          <w:rPr>
            <w:rStyle w:val="Hyperlink"/>
          </w:rPr>
          <w:t>1. Requirements for “Automation States”</w:t>
        </w:r>
      </w:hyperlink>
    </w:p>
    <w:p w14:paraId="4D59C1B4" w14:textId="5BE9A14A" w:rsidR="003D38EE" w:rsidRDefault="00A44A8D">
      <w:r>
        <w:t xml:space="preserve">  </w:t>
      </w:r>
      <w:hyperlink w:anchor="sec003">
        <w:r>
          <w:rPr>
            <w:rStyle w:val="Hyperlink"/>
          </w:rPr>
          <w:t>a. It has a master on/off switch, and things silently do nothing when it's off</w:t>
        </w:r>
      </w:hyperlink>
    </w:p>
    <w:p w14:paraId="0768EEA9" w14:textId="4545C9B3" w:rsidR="003D38EE" w:rsidRDefault="00A44A8D">
      <w:r>
        <w:t xml:space="preserve">  </w:t>
      </w:r>
      <w:hyperlink w:anchor="sec004">
        <w:r>
          <w:rPr>
            <w:rStyle w:val="Hyperlink"/>
          </w:rPr>
          <w:t>b. Fixed 2026-08-19: this is now self-healing for the coded automations' own states</w:t>
        </w:r>
      </w:hyperlink>
    </w:p>
    <w:p w14:paraId="5F987BD2" w14:textId="3B49CF17" w:rsidR="003D38EE" w:rsidRDefault="00A44A8D">
      <w:r>
        <w:t xml:space="preserve">  </w:t>
      </w:r>
      <w:hyperlink w:anchor="sec005">
        <w:r>
          <w:rPr>
            <w:rStyle w:val="Hyperlink"/>
          </w:rPr>
          <w:t>c. A second, related gap: declaring the value list still isn't the same as the state having a value</w:t>
        </w:r>
      </w:hyperlink>
    </w:p>
    <w:p w14:paraId="77D30A7E" w14:textId="55B2A27C" w:rsidR="003D38EE" w:rsidRDefault="00A44A8D">
      <w:hyperlink w:anchor="sec006">
        <w:r>
          <w:rPr>
            <w:rStyle w:val="Hyperlink"/>
          </w:rPr>
          <w:t>2. Settings Import Features — Especially With States</w:t>
        </w:r>
      </w:hyperlink>
    </w:p>
    <w:p w14:paraId="7646707E" w14:textId="28B4DF0B" w:rsidR="003D38EE" w:rsidRDefault="00A44A8D">
      <w:r>
        <w:t xml:space="preserve">  </w:t>
      </w:r>
      <w:hyperlink w:anchor="sec007">
        <w:r>
          <w:rPr>
            <w:rStyle w:val="Hyperlink"/>
          </w:rPr>
          <w:t>a. Automation States are force-disabled after every import — by design, not a bug</w:t>
        </w:r>
      </w:hyperlink>
    </w:p>
    <w:p w14:paraId="07568132" w14:textId="7472CE9D" w:rsidR="003D38EE" w:rsidRDefault="00A44A8D">
      <w:r>
        <w:t xml:space="preserve">  </w:t>
      </w:r>
      <w:hyperlink w:anchor="sec008">
        <w:r>
          <w:rPr>
            <w:rStyle w:val="Hyperlink"/>
          </w:rPr>
          <w:t>b. Import restores states wholesale — where “states I never made myself” can come from</w:t>
        </w:r>
      </w:hyperlink>
    </w:p>
    <w:p w14:paraId="1CA7128A" w14:textId="41744ED0" w:rsidR="003D38EE" w:rsidRDefault="00A44A8D">
      <w:r>
        <w:t xml:space="preserve">  </w:t>
      </w:r>
      <w:hyperlink w:anchor="sec009">
        <w:r>
          <w:rPr>
            <w:rStyle w:val="Hyperlink"/>
          </w:rPr>
          <w:t>c. Four “Keep current…” checkboxes not present in stock AAPS</w:t>
        </w:r>
      </w:hyperlink>
    </w:p>
    <w:p w14:paraId="507EF486" w14:textId="75D95A6F" w:rsidR="003D38EE" w:rsidRDefault="00A44A8D">
      <w:hyperlink w:anchor="sec010">
        <w:r>
          <w:rPr>
            <w:rStyle w:val="Hyperlink"/>
          </w:rPr>
          <w:t>3. Settings That Materially Affect Day-to-Day Function</w:t>
        </w:r>
      </w:hyperlink>
    </w:p>
    <w:p w14:paraId="3177A1F5" w14:textId="7DA36C76" w:rsidR="003D38EE" w:rsidRDefault="00A44A8D">
      <w:r>
        <w:t xml:space="preserve">  </w:t>
      </w:r>
      <w:hyperlink w:anchor="sec011">
        <w:r>
          <w:rPr>
            <w:rStyle w:val="Hyperlink"/>
          </w:rPr>
          <w:t>a. The SMB delivery brake</w:t>
        </w:r>
      </w:hyperlink>
    </w:p>
    <w:p w14:paraId="558CEF59" w14:textId="6423B8BC" w:rsidR="003D38EE" w:rsidRDefault="00A44A8D">
      <w:r>
        <w:t xml:space="preserve">  </w:t>
      </w:r>
      <w:hyperlink w:anchor="sec012">
        <w:r>
          <w:rPr>
            <w:rStyle w:val="Hyperlink"/>
          </w:rPr>
          <w:t>b. Tier 3 UAM Boost: criteria, output, and duration</w:t>
        </w:r>
      </w:hyperlink>
    </w:p>
    <w:p w14:paraId="1AC6FDC7" w14:textId="58674ED7" w:rsidR="003D38EE" w:rsidRDefault="00A44A8D">
      <w:r>
        <w:t xml:space="preserve">  </w:t>
      </w:r>
      <w:hyperlink w:anchor="sec013">
        <w:r>
          <w:rPr>
            <w:rStyle w:val="Hyperlink"/>
          </w:rPr>
          <w:t>c. The weight system's Resting/Boosted pairs</w:t>
        </w:r>
      </w:hyperlink>
    </w:p>
    <w:p w14:paraId="5F0289F7" w14:textId="0AB7415E" w:rsidR="003D38EE" w:rsidRDefault="00A44A8D">
      <w:r>
        <w:t xml:space="preserve">  </w:t>
      </w:r>
      <w:hyperlink w:anchor="sec014">
        <w:r>
          <w:rPr>
            <w:rStyle w:val="Hyperlink"/>
          </w:rPr>
          <w:t>d. TDD factor / sensitivity toggles</w:t>
        </w:r>
      </w:hyperlink>
    </w:p>
    <w:p w14:paraId="7F73BE4A" w14:textId="1F78721D" w:rsidR="003D38EE" w:rsidRDefault="00A44A8D">
      <w:r>
        <w:t xml:space="preserve">  </w:t>
      </w:r>
      <w:hyperlink w:anchor="sec015">
        <w:r>
          <w:rPr>
            <w:rStyle w:val="Hyperlink"/>
          </w:rPr>
          <w:t>e. The overnight safety-guard architecture</w:t>
        </w:r>
      </w:hyperlink>
    </w:p>
    <w:p w14:paraId="16581CDD" w14:textId="28D0569B" w:rsidR="003D38EE" w:rsidRDefault="00A44A8D">
      <w:hyperlink w:anchor="sec016">
        <w:r>
          <w:rPr>
            <w:rStyle w:val="Hyperlink"/>
          </w:rPr>
          <w:t>4. Setting: If Steroids Are Needed</w:t>
        </w:r>
      </w:hyperlink>
    </w:p>
    <w:p w14:paraId="4D58070D" w14:textId="569654B8" w:rsidR="003D38EE" w:rsidRDefault="00A44A8D">
      <w:r>
        <w:t xml:space="preserve">  </w:t>
      </w:r>
      <w:hyperlink w:anchor="sec017">
        <w:r>
          <w:rPr>
            <w:rStyle w:val="Hyperlink"/>
          </w:rPr>
          <w:t>a. Turning it on</w:t>
        </w:r>
      </w:hyperlink>
    </w:p>
    <w:p w14:paraId="4513637A" w14:textId="1CEFFAFD" w:rsidR="003D38EE" w:rsidRDefault="00A44A8D">
      <w:r>
        <w:t xml:space="preserve">  </w:t>
      </w:r>
      <w:hyperlink w:anchor="sec018">
        <w:r>
          <w:rPr>
            <w:rStyle w:val="Hyperlink"/>
          </w:rPr>
          <w:t>b. The escalation ladder</w:t>
        </w:r>
      </w:hyperlink>
    </w:p>
    <w:p w14:paraId="13DC0C6D" w14:textId="6E3C476C" w:rsidR="003D38EE" w:rsidRDefault="00A44A8D">
      <w:hyperlink w:anchor="sec019">
        <w:r>
          <w:rPr>
            <w:rStyle w:val="Hyperlink"/>
          </w:rPr>
          <w:t>5. Mounjaro (MJ): three-day reduced-insulin cycle</w:t>
        </w:r>
      </w:hyperlink>
    </w:p>
    <w:p w14:paraId="7BD5618C" w14:textId="4D45D0E7" w:rsidR="003D38EE" w:rsidRDefault="00A44A8D">
      <w:r>
        <w:t xml:space="preserve">  </w:t>
      </w:r>
      <w:hyperlink w:anchor="sec020">
        <w:r>
          <w:rPr>
            <w:rStyle w:val="Hyperlink"/>
          </w:rPr>
          <w:t>a. Starting the cycle</w:t>
        </w:r>
      </w:hyperlink>
    </w:p>
    <w:p w14:paraId="440C41A7" w14:textId="701BB07F" w:rsidR="003D38EE" w:rsidRDefault="00A44A8D">
      <w:r>
        <w:t xml:space="preserve">  </w:t>
      </w:r>
      <w:hyperlink w:anchor="sec021">
        <w:r>
          <w:rPr>
            <w:rStyle w:val="Hyperlink"/>
          </w:rPr>
          <w:t>b. Day-by-day state progression</w:t>
        </w:r>
      </w:hyperlink>
    </w:p>
    <w:p w14:paraId="253F7F02" w14:textId="7AE53297" w:rsidR="003D38EE" w:rsidRDefault="00A44A8D">
      <w:r>
        <w:t xml:space="preserve">  </w:t>
      </w:r>
      <w:hyperlink w:anchor="sec022">
        <w:r>
          <w:rPr>
            <w:rStyle w:val="Hyperlink"/>
          </w:rPr>
          <w:t>c. What changes while MJ remains active</w:t>
        </w:r>
      </w:hyperlink>
    </w:p>
    <w:p w14:paraId="0FF83351" w14:textId="44294029" w:rsidR="003D38EE" w:rsidRDefault="00A44A8D">
      <w:r>
        <w:t xml:space="preserve">  </w:t>
      </w:r>
      <w:hyperlink w:anchor="sec023">
        <w:r>
          <w:rPr>
            <w:rStyle w:val="Hyperlink"/>
          </w:rPr>
          <w:t>d. Hypoglycaemia warnings and protective overrides</w:t>
        </w:r>
      </w:hyperlink>
    </w:p>
    <w:p w14:paraId="3FD557C2" w14:textId="7A892DEC" w:rsidR="003D38EE" w:rsidRDefault="00A44A8D">
      <w:r>
        <w:t xml:space="preserve">  </w:t>
      </w:r>
      <w:hyperlink w:anchor="sec024">
        <w:r>
          <w:rPr>
            <w:rStyle w:val="Hyperlink"/>
          </w:rPr>
          <w:t>e. Automatic exit and manual restoration</w:t>
        </w:r>
      </w:hyperlink>
    </w:p>
    <w:p w14:paraId="76948331" w14:textId="39FF159B" w:rsidR="003D38EE" w:rsidRDefault="00A44A8D">
      <w:hyperlink w:anchor="sec025">
        <w:r>
          <w:rPr>
            <w:rStyle w:val="Hyperlink"/>
          </w:rPr>
          <w:t>6. Mechanism For Ignoring Or Invoking Native Automations</w:t>
        </w:r>
      </w:hyperlink>
    </w:p>
    <w:p w14:paraId="3A79E736" w14:textId="57A69338" w:rsidR="003D38EE" w:rsidRDefault="00A44A8D">
      <w:r>
        <w:t xml:space="preserve">  </w:t>
      </w:r>
      <w:hyperlink w:anchor="sec026">
        <w:r>
          <w:rPr>
            <w:rStyle w:val="Hyperlink"/>
          </w:rPr>
          <w:t>a. The reconciliation mechanism</w:t>
        </w:r>
      </w:hyperlink>
    </w:p>
    <w:p w14:paraId="71A7D88F" w14:textId="13A8BE3B" w:rsidR="003D38EE" w:rsidRDefault="00A44A8D">
      <w:r>
        <w:t xml:space="preserve">  </w:t>
      </w:r>
      <w:hyperlink w:anchor="sec027">
        <w:r>
          <w:rPr>
            <w:rStyle w:val="Hyperlink"/>
          </w:rPr>
          <w:t>b. The suppression only applies while AutoISF is actually the active algorithm</w:t>
        </w:r>
      </w:hyperlink>
    </w:p>
    <w:p w14:paraId="4F2BCCE6" w14:textId="6AD1C5D9" w:rsidR="003D38EE" w:rsidRDefault="00A44A8D">
      <w:hyperlink w:anchor="sec028">
        <w:r>
          <w:rPr>
            <w:rStyle w:val="Hyperlink"/>
          </w:rPr>
          <w:t>7. Other Idiosyncrasies Worth Knowing</w:t>
        </w:r>
      </w:hyperlink>
    </w:p>
    <w:p w14:paraId="5E608392" w14:textId="7246C25D" w:rsidR="003D38EE" w:rsidRDefault="00A44A8D">
      <w:r>
        <w:t xml:space="preserve">  </w:t>
      </w:r>
      <w:hyperlink w:anchor="sec029">
        <w:r>
          <w:rPr>
            <w:rStyle w:val="Hyperlink"/>
          </w:rPr>
          <w:t>a. CarePortal note codes as a compact diagnostic language</w:t>
        </w:r>
      </w:hyperlink>
    </w:p>
    <w:p w14:paraId="37A46715" w14:textId="23C8B414" w:rsidR="003D38EE" w:rsidRDefault="00A44A8D">
      <w:r>
        <w:t xml:space="preserve">  </w:t>
      </w:r>
      <w:hyperlink w:anchor="sec030">
        <w:r>
          <w:rPr>
            <w:rStyle w:val="Hyperlink"/>
          </w:rPr>
          <w:t>b. MJ as the fork's other major state machine</w:t>
        </w:r>
      </w:hyperlink>
    </w:p>
    <w:p w14:paraId="391371D0" w14:textId="55BF68D3" w:rsidR="003D38EE" w:rsidRDefault="00A44A8D">
      <w:r>
        <w:t xml:space="preserve">  </w:t>
      </w:r>
      <w:hyperlink w:anchor="sec031">
        <w:r>
          <w:rPr>
            <w:rStyle w:val="Hyperlink"/>
          </w:rPr>
          <w:t>c. The AIV/UKFcheck export pipeline has more moving parts than it looks</w:t>
        </w:r>
      </w:hyperlink>
    </w:p>
    <w:p w14:paraId="3A020298" w14:textId="4FB4CD1C" w:rsidR="003D38EE" w:rsidRDefault="00A44A8D">
      <w:r>
        <w:t xml:space="preserve">  </w:t>
      </w:r>
      <w:hyperlink w:anchor="sec032">
        <w:r>
          <w:rPr>
            <w:rStyle w:val="Hyperlink"/>
          </w:rPr>
          <w:t>d. A concrete regression pattern worth remembering</w:t>
        </w:r>
      </w:hyperlink>
    </w:p>
    <w:p w14:paraId="7A2A4660" w14:textId="79BF47FE" w:rsidR="003D38EE" w:rsidRDefault="00A44A8D">
      <w:hyperlink w:anchor="sec033">
        <w:r>
          <w:rPr>
            <w:rStyle w:val="Hyperlink"/>
          </w:rPr>
          <w:t>8. Manual controls and AIV history</w:t>
        </w:r>
      </w:hyperlink>
    </w:p>
    <w:p w14:paraId="42DAC3D1" w14:textId="596C0011" w:rsidR="003D38EE" w:rsidRDefault="00A44A8D">
      <w:r>
        <w:t xml:space="preserve">  </w:t>
      </w:r>
      <w:hyperlink w:anchor="sec034">
        <w:r>
          <w:rPr>
            <w:rStyle w:val="Hyperlink"/>
          </w:rPr>
          <w:t>a. Bolus calculator: screen, calculation and follow-up dosing</w:t>
        </w:r>
      </w:hyperlink>
    </w:p>
    <w:p w14:paraId="5D96F4FA" w14:textId="2DE572FA" w:rsidR="003D38EE" w:rsidRDefault="00A44A8D">
      <w:r>
        <w:t xml:space="preserve">  </w:t>
      </w:r>
      <w:hyperlink w:anchor="sec035">
        <w:r>
          <w:rPr>
            <w:rStyle w:val="Hyperlink"/>
          </w:rPr>
          <w:t>b. Lists 1 and 2: mechanism, current status and confirmation</w:t>
        </w:r>
      </w:hyperlink>
    </w:p>
    <w:p w14:paraId="034102AD" w14:textId="6C95C57E" w:rsidR="003D38EE" w:rsidRDefault="00A44A8D">
      <w:r>
        <w:t xml:space="preserve">  </w:t>
      </w:r>
      <w:hyperlink w:anchor="sec036">
        <w:r>
          <w:rPr>
            <w:rStyle w:val="Hyperlink"/>
          </w:rPr>
          <w:t>c. AIV table: popup population and backup/export behavior</w:t>
        </w:r>
      </w:hyperlink>
    </w:p>
    <w:p>
      <w:pPr>
        <w:spacing w:after="40"/>
        <w:ind w:left="360"/>
      </w:pPr>
      <w:hyperlink w:anchor="sec8_list_tt_catalogue">
        <w:r>
          <w:rPr>
            <w:color w:val="0563C1"/>
            <w:u w:val="single"/>
          </w:rPr>
          <w:t>d. List 1 and List 2 temporary-target command catalogue</w:t>
        </w:r>
      </w:hyperlink>
    </w:p>
    <w:p w14:paraId="701050E1" w14:textId="7DA37041" w:rsidR="003D38EE" w:rsidRDefault="00A44A8D">
      <w:hyperlink w:anchor="sec037">
        <w:r>
          <w:rPr>
            <w:rStyle w:val="Hyperlink"/>
          </w:rPr>
          <w:t>9. GUI display changes</w:t>
        </w:r>
      </w:hyperlink>
    </w:p>
    <w:p w14:paraId="3CFBC41F" w14:textId="3137DFFB" w:rsidR="003D38EE" w:rsidRDefault="00A44A8D">
      <w:r>
        <w:t xml:space="preserve">  </w:t>
      </w:r>
      <w:hyperlink w:anchor="sec038">
        <w:r>
          <w:rPr>
            <w:rStyle w:val="Hyperlink"/>
          </w:rPr>
          <w:t>a. Graph types and the triggers for each</w:t>
        </w:r>
      </w:hyperlink>
    </w:p>
    <w:p w14:paraId="219FB7E6" w14:textId="3FC4BE66" w:rsidR="003D38EE" w:rsidRDefault="00A44A8D">
      <w:r>
        <w:t xml:space="preserve">  </w:t>
      </w:r>
      <w:hyperlink w:anchor="sec039">
        <w:r>
          <w:rPr>
            <w:rStyle w:val="Hyperlink"/>
          </w:rPr>
          <w:t>b. Colour changes driven by AutoISF input</w:t>
        </w:r>
      </w:hyperlink>
    </w:p>
    <w:p w14:paraId="075EB5D8" w14:textId="33893E01" w:rsidR="003D38EE" w:rsidRDefault="00A44A8D">
      <w:r>
        <w:t xml:space="preserve">  </w:t>
      </w:r>
      <w:hyperlink w:anchor="sec040">
        <w:r>
          <w:rPr>
            <w:rStyle w:val="Hyperlink"/>
          </w:rPr>
          <w:t>c. Information shown on each graph</w:t>
        </w:r>
      </w:hyperlink>
    </w:p>
    <w:p>
      <w:pPr>
        <w:spacing w:after="40"/>
      </w:pPr>
      <w:hyperlink w:anchor="sec10_progress_outcomes">
        <w:r>
          <w:rPr>
            <w:color w:val="0563C1"/>
            <w:u w:val="single"/>
          </w:rPr>
          <w:t>10. Factors affecting progress and hypoglycaemia outcomes</w:t>
        </w:r>
      </w:hyperlink>
    </w:p>
    <w:p>
      <w:pPr>
        <w:spacing w:after="40"/>
        <w:ind w:left="360"/>
      </w:pPr>
      <w:hyperlink w:anchor="sec10_pod_age">
        <w:r>
          <w:rPr>
            <w:color w:val="0563C1"/>
            <w:u w:val="single"/>
          </w:rPr>
          <w:t>a. Pod age and pump-type qualification</w:t>
        </w:r>
      </w:hyperlink>
    </w:p>
    <w:p>
      <w:pPr>
        <w:spacing w:after="40"/>
        <w:ind w:left="360"/>
      </w:pPr>
      <w:hyperlink w:anchor="sec10_bolus_hp">
        <w:r>
          <w:rPr>
            <w:color w:val="0563C1"/>
            <w:u w:val="single"/>
          </w:rPr>
          <w:t>b. Projected HP at bolus-calculator initiation</w:t>
        </w:r>
      </w:hyperlink>
    </w:p>
    <w:p>
      <w:pPr>
        <w:spacing w:after="40"/>
        <w:ind w:left="360"/>
      </w:pPr>
      <w:hyperlink w:anchor="sec10_recent50_progress">
        <w:r>
          <w:rPr>
            <w:color w:val="0563C1"/>
            <w:u w:val="single"/>
          </w:rPr>
          <w:t>c. Effects of 50recent, a 50% profile and a hypo temporary target on progress</w:t>
        </w:r>
      </w:hyperlink>
    </w:p>
    <w:p>
      <w:pPr>
        <w:spacing w:after="40"/>
        <w:ind w:left="360"/>
      </w:pPr>
      <w:hyperlink w:anchor="sec10_hypo_causes_outcomes">
        <w:r>
          <w:rPr>
            <w:color w:val="0563C1"/>
            <w:u w:val="single"/>
          </w:rPr>
          <w:t>d. Hypoglycaemia warning causes and outcomes</w:t>
        </w:r>
      </w:hyperlink>
    </w:p>
    <w:p>
      <w:pPr>
        <w:spacing w:after="40"/>
      </w:pPr>
      <w:hyperlink w:anchor="sec11_ukf">
        <w:r>
          <w:rPr>
            <w:color w:val="0563C1"/>
            <w:u w:val="single"/>
          </w:rPr>
          <w:t>11. UKF: formulas, roles and initial comparison assessment</w:t>
        </w:r>
      </w:hyperlink>
    </w:p>
    <w:p>
      <w:pPr>
        <w:spacing w:after="40"/>
        <w:ind w:left="360"/>
      </w:pPr>
      <w:hyperlink w:anchor="sec11_ukf_roles">
        <w:r>
          <w:rPr>
            <w:color w:val="0563C1"/>
            <w:u w:val="single"/>
          </w:rPr>
          <w:t>a. The UKF variants and where each is used</w:t>
        </w:r>
      </w:hyperlink>
    </w:p>
    <w:p>
      <w:pPr>
        <w:spacing w:after="40"/>
        <w:ind w:left="360"/>
      </w:pPr>
      <w:hyperlink w:anchor="sec11_ukf_formula">
        <w:r>
          <w:rPr>
            <w:color w:val="0563C1"/>
            <w:u w:val="single"/>
          </w:rPr>
          <w:t>b. Formula and full explanation of each</w:t>
        </w:r>
      </w:hyperlink>
    </w:p>
    <w:p>
      <w:pPr>
        <w:spacing w:after="40"/>
        <w:ind w:left="360"/>
      </w:pPr>
      <w:hyperlink w:anchor="sec11_ukf_progress">
        <w:r>
          <w:rPr>
            <w:color w:val="0563C1"/>
            <w:u w:val="single"/>
          </w:rPr>
          <w:t>c. Progress of the initial UKF-check assessment and earliest-change question</w:t>
        </w:r>
      </w:hyperlink>
    </w:p>
    <w:p>
      <w:pPr>
        <w:spacing w:after="40"/>
      </w:pPr>
      <w:hyperlink w:anchor="sec12_battery">
        <w:r>
          <w:rPr>
            <w:color w:val="0563C1"/>
            <w:u w:val="single"/>
          </w:rPr>
          <w:t>12. Battery 1% automation and profile recovery</w:t>
        </w:r>
      </w:hyperlink>
    </w:p>
    <w:p>
      <w:pPr>
        <w:spacing w:after="40"/>
        <w:ind w:left="360"/>
      </w:pPr>
      <w:hyperlink w:anchor="sec12_battery_low">
        <w:r>
          <w:rPr>
            <w:color w:val="0563C1"/>
            <w:u w:val="single"/>
          </w:rPr>
          <w:t>a. Battery1pc: action at 1% or below</w:t>
        </w:r>
      </w:hyperlink>
    </w:p>
    <w:p>
      <w:pPr>
        <w:spacing w:after="40"/>
        <w:ind w:left="360"/>
      </w:pPr>
      <w:hyperlink w:anchor="sec12_battery_recovery">
        <w:r>
          <w:rPr>
            <w:color w:val="0563C1"/>
            <w:u w:val="single"/>
          </w:rPr>
          <w:t>b. BatteryOver1pc: restoration after recovery</w:t>
        </w:r>
      </w:hyperlink>
    </w:p>
    <w:p w14:paraId="5772D74A" w14:textId="67B451CD" w:rsidR="003D38EE" w:rsidRDefault="00A44A8D">
      <w:hyperlink w:anchor="sec041">
        <w:r>
          <w:rPr>
            <w:rStyle w:val="Hyperlink"/>
          </w:rPr>
          <w:t>Appendix A — Installation and explanatory information</w:t>
        </w:r>
      </w:hyperlink>
    </w:p>
    <w:p w14:paraId="6BBA1815" w14:textId="72BEEF42" w:rsidR="003D38EE" w:rsidRDefault="00A44A8D">
      <w:r>
        <w:t xml:space="preserve">  </w:t>
      </w:r>
      <w:hyperlink w:anchor="sec042">
        <w:r>
          <w:rPr>
            <w:rStyle w:val="Hyperlink"/>
          </w:rPr>
          <w:t>a. Version tag &amp; build identification</w:t>
        </w:r>
      </w:hyperlink>
    </w:p>
    <w:p w14:paraId="5D3AD48A" w14:textId="364BC076" w:rsidR="003D38EE" w:rsidRDefault="00A44A8D">
      <w:r>
        <w:t xml:space="preserve">  </w:t>
      </w:r>
      <w:hyperlink w:anchor="sec043">
        <w:r>
          <w:rPr>
            <w:rStyle w:val="Hyperlink"/>
          </w:rPr>
          <w:t>b. Per-device backup/export folder naming</w:t>
        </w:r>
      </w:hyperlink>
    </w:p>
    <w:p w14:paraId="34F8962A" w14:textId="77777777" w:rsidR="003D38EE" w:rsidRDefault="003D38EE"/>
    <w:sectPr w:rsidR="003D38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3D38EE"/>
    <w:rsid w:val="006B07F6"/>
    <w:rsid w:val="008D42FA"/>
    <w:rsid w:val="00936EB2"/>
    <w:rsid w:val="00B827B4"/>
    <w:rsid w:val="00D547FA"/>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22E2B"/>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8696</Words>
  <Characters>49570</Characters>
  <Application>Microsoft Office Word</Application>
  <DocSecurity>0</DocSecurity>
  <Lines>413</Lines>
  <Paragraphs>116</Paragraphs>
  <ScaleCrop>false</ScaleCrop>
  <Company/>
  <LinksUpToDate>false</LinksUpToDate>
  <CharactersWithSpaces>58150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2026-08-20T15:46:00Z</dcterms:created>
  <dcterms:modified xsi:type="dcterms:W3CDTF">2026-08-20T15:46:00Z</dcterms:modified>
</cp:coreProperties>
</file>