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ind w:left="0"/>
      </w:pPr>
      <w:bookmarkStart w:id="0" w:name="sec001"/>
      <w:r>
        <w:rPr>
          <w:b/>
          <w:sz w:val="40"/>
          <w:u w:val="single"/>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ind w:left="0"/>
      </w:pPr>
      <w:bookmarkStart w:id="1" w:name="sec002"/>
      <w:r>
        <w:rPr>
          <w:u w:val="single"/>
        </w:rP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ind w:left="360"/>
      </w:pPr>
      <w:bookmarkStart w:id="2" w:name="sec003"/>
      <w:r>
        <w:t>a. It has a master on/off switch, and things silently do nothing when it's off</w:t>
      </w:r>
      <w:bookmarkEnd w:id="2"/>
    </w:p>
    <w:p w14:paraId="1188F969" w14:textId="77777777" w:rsidR="00F16DB1" w:rsidRDefault="001E64C6">
      <w:pPr>
        <w:spacing w:after="160"/>
        <w:ind w:left="72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72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ind w:left="360"/>
      </w:pPr>
      <w:bookmarkStart w:id="3" w:name="sec004"/>
      <w:r>
        <w:t>b. Fixed 2026-08-19: this is now self-healing for the coded automations' own states</w:t>
      </w:r>
      <w:bookmarkEnd w:id="3"/>
    </w:p>
    <w:p w14:paraId="4462126C" w14:textId="77777777" w:rsidR="00F16DB1" w:rsidRDefault="001E64C6">
      <w:pPr>
        <w:spacing w:after="160"/>
        <w:ind w:left="72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72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ind w:left="360"/>
      </w:pPr>
      <w:bookmarkStart w:id="4" w:name="sec005"/>
      <w:r>
        <w:t>c. A second, related gap: declaring the value list still isn't the same as the state having a value</w:t>
      </w:r>
      <w:bookmarkEnd w:id="4"/>
    </w:p>
    <w:p w14:paraId="16EF5144" w14:textId="77777777" w:rsidR="00F16DB1" w:rsidRDefault="001E64C6">
      <w:pPr>
        <w:spacing w:after="160"/>
        <w:ind w:left="72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72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ind w:left="0"/>
      </w:pPr>
      <w:bookmarkStart w:id="5" w:name="sec006"/>
      <w:r>
        <w:rPr>
          <w:u w:val="single"/>
        </w:rP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ind w:left="360"/>
      </w:pPr>
      <w:bookmarkStart w:id="6" w:name="sec007"/>
      <w:r>
        <w:t>a. Automation States are force-disabled after every import — by design, not a bug</w:t>
      </w:r>
      <w:bookmarkEnd w:id="6"/>
    </w:p>
    <w:p w14:paraId="51F33626" w14:textId="77777777" w:rsidR="00F16DB1" w:rsidRDefault="001E64C6">
      <w:pPr>
        <w:spacing w:after="160"/>
        <w:ind w:left="72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72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ind w:left="360"/>
      </w:pPr>
      <w:bookmarkStart w:id="7" w:name="sec008"/>
      <w:r>
        <w:t>b. Import restores states wholesale — where “states I never made myself” can come from</w:t>
      </w:r>
      <w:bookmarkEnd w:id="7"/>
    </w:p>
    <w:p w14:paraId="7890CBCD" w14:textId="77777777" w:rsidR="00F16DB1" w:rsidRDefault="001E64C6">
      <w:pPr>
        <w:spacing w:after="160"/>
        <w:ind w:left="72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ind w:left="360"/>
      </w:pPr>
      <w:bookmarkStart w:id="8" w:name="sec009"/>
      <w:r>
        <w:t>c. Four “Keep current…” checkboxes not present in stock AAPS</w:t>
      </w:r>
      <w:bookmarkEnd w:id="8"/>
    </w:p>
    <w:p w14:paraId="794EF764" w14:textId="77777777" w:rsidR="00F16DB1" w:rsidRDefault="001E64C6">
      <w:pPr>
        <w:spacing w:after="160"/>
        <w:ind w:left="72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72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72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ind w:left="0"/>
      </w:pPr>
      <w:bookmarkStart w:id="10" w:name="sec010"/>
      <w:r>
        <w:rPr>
          <w:u w:val="single"/>
        </w:rP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ind w:left="360"/>
      </w:pPr>
      <w:bookmarkStart w:id="11" w:name="sec011"/>
      <w:r>
        <w:t>a. The SMB delivery brake</w:t>
      </w:r>
      <w:bookmarkEnd w:id="11"/>
    </w:p>
    <w:p w14:paraId="2FA80096" w14:textId="77777777" w:rsidR="00F16DB1" w:rsidRDefault="001E64C6">
      <w:pPr>
        <w:spacing w:after="100"/>
        <w:ind w:left="72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72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ind w:left="360"/>
      </w:pPr>
      <w:bookmarkStart w:id="12" w:name="sec012"/>
      <w:r>
        <w:t>b. Tier 3 UAM Boost: criteria, output, and duration</w:t>
      </w:r>
      <w:bookmarkEnd w:id="12"/>
    </w:p>
    <w:p w14:paraId="1AC27912" w14:textId="77777777" w:rsidR="003D38EE" w:rsidRDefault="00A44A8D">
      <w:pPr>
        <w:ind w:left="72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72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72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72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72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72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72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72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72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72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72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72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ind w:left="360"/>
      </w:pPr>
      <w:bookmarkStart w:id="13" w:name="sec013"/>
      <w:r>
        <w:t>c. The weight system's Resting/Boosted pairs</w:t>
      </w:r>
      <w:bookmarkEnd w:id="13"/>
    </w:p>
    <w:p w14:paraId="6A3EEC16" w14:textId="77777777" w:rsidR="00F16DB1" w:rsidRDefault="001E64C6">
      <w:pPr>
        <w:spacing w:after="160"/>
        <w:ind w:left="72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ind w:left="360"/>
      </w:pPr>
      <w:bookmarkStart w:id="14" w:name="sec014"/>
      <w:r>
        <w:t>d. TDD factor / sensitivity toggles</w:t>
      </w:r>
      <w:bookmarkEnd w:id="14"/>
    </w:p>
    <w:p w14:paraId="4B72FFCC" w14:textId="77777777" w:rsidR="00F16DB1" w:rsidRDefault="001E64C6">
      <w:pPr>
        <w:spacing w:after="160"/>
        <w:ind w:left="72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ind w:left="360"/>
      </w:pPr>
      <w:bookmarkStart w:id="15" w:name="sec015"/>
      <w:r>
        <w:t>e. The overnight safety-guard architecture</w:t>
      </w:r>
      <w:bookmarkEnd w:id="15"/>
    </w:p>
    <w:p w14:paraId="5171A5EC" w14:textId="77777777" w:rsidR="00F16DB1" w:rsidRDefault="001E64C6">
      <w:pPr>
        <w:spacing w:after="160"/>
        <w:ind w:left="72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ind w:left="0"/>
      </w:pPr>
      <w:bookmarkStart w:id="16" w:name="sec016"/>
      <w:r>
        <w:rPr>
          <w:u w:val="single"/>
        </w:rP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ind w:left="360"/>
      </w:pPr>
      <w:bookmarkStart w:id="17" w:name="sec017"/>
      <w:r>
        <w:t>a. Turning it on</w:t>
      </w:r>
      <w:bookmarkEnd w:id="17"/>
    </w:p>
    <w:p w14:paraId="0F908E46" w14:textId="77777777" w:rsidR="00F16DB1" w:rsidRDefault="001E64C6">
      <w:pPr>
        <w:spacing w:after="100"/>
        <w:ind w:left="720"/>
      </w:pPr>
      <w:r>
        <w:t>• GUI: “Steroid Kotlin button” setting (autoisf_steroid_kotlin_button_enabled, default on) shows a direct “Steroids ON” button on the Overview screen.</w:t>
      </w:r>
    </w:p>
    <w:p w14:paraId="37AEBC57" w14:textId="77777777" w:rsidR="00F16DB1" w:rsidRDefault="001E64C6">
      <w:pPr>
        <w:spacing w:after="100"/>
        <w:ind w:left="720"/>
      </w:pPr>
      <w:r>
        <w:t>• Requires: BooleanKey.AutomationStatesEnabled must be on (see §1) — the whole chain silently no-ops otherwise.</w:t>
      </w:r>
    </w:p>
    <w:p w14:paraId="457C3630" w14:textId="77777777" w:rsidR="00F16DB1" w:rsidRDefault="001E64C6">
      <w:pPr>
        <w:spacing w:after="100"/>
        <w:ind w:left="72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ind w:left="360"/>
      </w:pPr>
      <w:bookmarkStart w:id="18" w:name="sec018"/>
      <w:r>
        <w:t>b. The escalation ladder</w:t>
      </w:r>
      <w:bookmarkEnd w:id="18"/>
    </w:p>
    <w:p w14:paraId="782C318A" w14:textId="77777777" w:rsidR="00F16DB1" w:rsidRDefault="001E64C6">
      <w:pPr>
        <w:spacing w:after="160"/>
        <w:ind w:left="72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72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ind w:left="0"/>
      </w:pPr>
      <w:bookmarkStart w:id="19" w:name="sec019"/>
      <w:r>
        <w:rPr>
          <w:u w:val="single"/>
        </w:rP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ind w:left="360"/>
      </w:pPr>
      <w:bookmarkStart w:id="20" w:name="sec020"/>
      <w:r>
        <w:t>a. Starting the cycle</w:t>
      </w:r>
      <w:bookmarkEnd w:id="20"/>
    </w:p>
    <w:p w14:paraId="36963DEA" w14:textId="77777777" w:rsidR="003D38EE" w:rsidRDefault="00A44A8D">
      <w:pPr>
        <w:ind w:left="72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72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ind w:left="360"/>
      </w:pPr>
      <w:bookmarkStart w:id="21" w:name="sec021"/>
      <w:r>
        <w:t>b. Day-by-day state progression</w:t>
      </w:r>
      <w:bookmarkEnd w:id="21"/>
    </w:p>
    <w:p w14:paraId="10459AC8" w14:textId="77777777" w:rsidR="003D38EE" w:rsidRDefault="00A44A8D">
      <w:pPr>
        <w:ind w:left="72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720"/>
      </w:pPr>
      <w:r>
        <w:t>Day 2 — MJ2: when MJ is still MJ active, the MJ2 automation can advance it to MJ2 during 02:10–03:10. It sends “MJ2” and records the CarePortal note MJ2.</w:t>
      </w:r>
    </w:p>
    <w:p w14:paraId="603B5B75" w14:textId="77777777" w:rsidR="003D38EE" w:rsidRDefault="00A44A8D">
      <w:pPr>
        <w:ind w:left="720"/>
      </w:pPr>
      <w:r>
        <w:t>Day 3 — MJ3: when MJ is MJ2, the MJ3 automation can advance it to MJ3 during 01:05–02:05 on a later pass through that window. It sends “MJ3” and records the CarePortal note MJ3.</w:t>
      </w:r>
    </w:p>
    <w:p w14:paraId="6030942F" w14:textId="77777777" w:rsidR="003D38EE" w:rsidRDefault="00A44A8D">
      <w:pPr>
        <w:ind w:left="72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ind w:left="360"/>
      </w:pPr>
      <w:bookmarkStart w:id="22" w:name="sec022"/>
      <w:r>
        <w:t>c. What changes while MJ remains active</w:t>
      </w:r>
      <w:bookmarkEnd w:id="22"/>
    </w:p>
    <w:p w14:paraId="3619DA20" w14:textId="77777777" w:rsidR="003D38EE" w:rsidRDefault="00A44A8D">
      <w:pPr>
        <w:ind w:left="72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72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ind w:left="360"/>
      </w:pPr>
      <w:bookmarkStart w:id="23" w:name="sec023"/>
      <w:r>
        <w:t>d. Hypoglycaemia warnings and protective overrides</w:t>
      </w:r>
      <w:bookmarkEnd w:id="23"/>
    </w:p>
    <w:p w14:paraId="61010AF7" w14:textId="77777777" w:rsidR="003D38EE" w:rsidRDefault="00A44A8D">
      <w:pPr>
        <w:ind w:left="72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72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72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ind w:left="360"/>
      </w:pPr>
      <w:bookmarkStart w:id="24" w:name="sec024"/>
      <w:r>
        <w:t>e. Automatic exit and manual restoration</w:t>
      </w:r>
      <w:bookmarkEnd w:id="24"/>
    </w:p>
    <w:p w14:paraId="0418635A" w14:textId="77777777" w:rsidR="003D38EE" w:rsidRDefault="00A44A8D">
      <w:pPr>
        <w:ind w:left="72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72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ind w:left="0"/>
      </w:pPr>
      <w:bookmarkStart w:id="25" w:name="sec025"/>
      <w:r>
        <w:rPr>
          <w:u w:val="single"/>
        </w:rP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ind w:left="360"/>
      </w:pPr>
      <w:bookmarkStart w:id="26" w:name="sec026"/>
      <w:r>
        <w:t>a. The reconciliation mechanism</w:t>
      </w:r>
      <w:bookmarkEnd w:id="26"/>
    </w:p>
    <w:p w14:paraId="0063EDF9" w14:textId="77777777" w:rsidR="00F16DB1" w:rsidRDefault="001E64C6">
      <w:pPr>
        <w:spacing w:after="160"/>
        <w:ind w:left="72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72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ind w:left="360"/>
      </w:pPr>
      <w:bookmarkStart w:id="27" w:name="sec027"/>
      <w:r>
        <w:t>b. The suppression only applies while AutoISF is actually the active algorithm</w:t>
      </w:r>
      <w:bookmarkEnd w:id="27"/>
    </w:p>
    <w:p w14:paraId="52A14087" w14:textId="77777777" w:rsidR="00F16DB1" w:rsidRDefault="001E64C6">
      <w:pPr>
        <w:spacing w:after="160"/>
        <w:ind w:left="72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ind w:left="0"/>
      </w:pPr>
      <w:bookmarkStart w:id="28" w:name="sec028"/>
      <w:r>
        <w:rPr>
          <w:u w:val="single"/>
        </w:rPr>
        <w:t>7. Other Idiosyncrasies Worth Knowing</w:t>
      </w:r>
      <w:bookmarkEnd w:id="28"/>
    </w:p>
    <w:p w14:paraId="0DFD3D25" w14:textId="77777777" w:rsidR="00F16DB1" w:rsidRDefault="001E64C6">
      <w:pPr>
        <w:pStyle w:val="Heading2"/>
        <w:spacing w:before="280" w:after="120"/>
        <w:ind w:left="360"/>
      </w:pPr>
      <w:bookmarkStart w:id="29" w:name="sec029"/>
      <w:r>
        <w:t>a. CarePortal note codes as a compact diagnostic language</w:t>
      </w:r>
      <w:bookmarkEnd w:id="29"/>
    </w:p>
    <w:p w14:paraId="471F6F2F" w14:textId="77777777" w:rsidR="00F16DB1" w:rsidRDefault="001E64C6">
      <w:pPr>
        <w:spacing w:after="160"/>
        <w:ind w:left="72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72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ind w:left="360"/>
      </w:pPr>
      <w:bookmarkStart w:id="30" w:name="sec030"/>
      <w:r>
        <w:t>b. MJ as the fork's other major state machine</w:t>
      </w:r>
      <w:bookmarkEnd w:id="30"/>
    </w:p>
    <w:p w14:paraId="3D2D2B5A" w14:textId="77777777" w:rsidR="00F16DB1" w:rsidRDefault="001E64C6">
      <w:pPr>
        <w:spacing w:after="160"/>
        <w:ind w:left="72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ind w:left="360"/>
      </w:pPr>
      <w:bookmarkStart w:id="31" w:name="sec031"/>
      <w:r>
        <w:t>c. The AIV/UKFcheck export pipeline has more moving parts than it looks</w:t>
      </w:r>
      <w:bookmarkEnd w:id="31"/>
    </w:p>
    <w:p w14:paraId="50A411D9" w14:textId="77777777" w:rsidR="00F16DB1" w:rsidRDefault="001E64C6">
      <w:pPr>
        <w:spacing w:after="160"/>
        <w:ind w:left="72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ind w:left="360"/>
      </w:pPr>
      <w:bookmarkStart w:id="32" w:name="sec032"/>
      <w:r>
        <w:t>d. A concrete regression pattern worth remembering</w:t>
      </w:r>
      <w:bookmarkEnd w:id="32"/>
    </w:p>
    <w:p w14:paraId="596F5A93" w14:textId="77777777" w:rsidR="00F16DB1" w:rsidRDefault="001E64C6">
      <w:pPr>
        <w:spacing w:after="160"/>
        <w:ind w:left="72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ind w:left="0"/>
      </w:pPr>
      <w:bookmarkStart w:id="33" w:name="sec033"/>
      <w:r>
        <w:rPr>
          <w:u w:val="single"/>
        </w:rPr>
        <w:t>8. Manual controls and AIV history</w:t>
      </w:r>
      <w:bookmarkEnd w:id="33"/>
    </w:p>
    <w:p w14:paraId="397492C6" w14:textId="77777777" w:rsidR="003D38EE" w:rsidRDefault="00A44A8D">
      <w:pPr>
        <w:pStyle w:val="Heading2"/>
        <w:ind w:left="360"/>
      </w:pPr>
      <w:bookmarkStart w:id="34" w:name="sec034"/>
      <w:r>
        <w:t>a. Bolus calculator: screen, calculation and follow-up dosing</w:t>
      </w:r>
      <w:bookmarkEnd w:id="34"/>
    </w:p>
    <w:p w14:paraId="482F76AB" w14:textId="77777777" w:rsidR="003D38EE" w:rsidRDefault="00A44A8D">
      <w:pPr>
        <w:ind w:left="72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72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72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72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72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72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72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72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72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ind w:left="360"/>
      </w:pPr>
      <w:bookmarkStart w:id="35" w:name="sec035"/>
      <w:r>
        <w:t>b. Lists 1 and 2: mechanism, current status and confirmation</w:t>
      </w:r>
      <w:bookmarkEnd w:id="35"/>
    </w:p>
    <w:p w14:paraId="7C7888BB" w14:textId="77777777" w:rsidR="003D38EE" w:rsidRDefault="00A44A8D">
      <w:pPr>
        <w:ind w:left="72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72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72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72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72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72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ind w:left="360"/>
      </w:pPr>
      <w:bookmarkStart w:id="36" w:name="sec036"/>
      <w:r>
        <w:t>c. AIV table: popup population and backup/export behavior</w:t>
      </w:r>
      <w:bookmarkEnd w:id="36"/>
    </w:p>
    <w:p w14:paraId="60ECFE16" w14:textId="77777777" w:rsidR="003D38EE" w:rsidRDefault="00A44A8D">
      <w:pPr>
        <w:ind w:left="72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72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72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72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72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2"/>
        <w:ind w:left="360"/>
      </w:pPr>
      <w:bookmarkStart w:id="57" w:name="sec8_list_tt_catalogue"/>
      <w:r>
        <w:t>d. List 1 and List 2 temporary-target command catalogue</w:t>
      </w:r>
      <w:bookmarkEnd w:id="57"/>
    </w:p>
    <w:p>
      <w:pPr>
        <w:ind w:left="720"/>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pPr>
        <w:pStyle w:val="Heading3"/>
        <w:ind w:left="720"/>
      </w:pPr>
      <w:bookmarkStart w:id="58" w:name="sec8_list1_tt_codes"/>
      <w:r>
        <w:t>List 1 - settings and command codes</w:t>
      </w:r>
      <w:bookmarkEnd w:id="58"/>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SMBdel base + mild-Bst</w:t>
            </w:r>
          </w:p>
        </w:tc>
        <w:tc>
          <w:tcPr>
            <w:tcW w:type="dxa" w:w="1500"/>
            <w:vAlign w:val="center"/>
          </w:tcPr>
          <w:p>
            <w:pPr>
              <w:spacing w:before="0" w:after="40"/>
            </w:pPr>
            <w:r>
              <w:rPr>
                <w:sz w:val="17"/>
              </w:rPr>
              <w:t>5.002 / 5.004</w:t>
            </w:r>
          </w:p>
        </w:tc>
        <w:tc>
          <w:tcPr>
            <w:tcW w:type="dxa" w:w="5560"/>
            <w:vAlign w:val="center"/>
          </w:tcPr>
          <w:p>
            <w:pPr>
              <w:spacing w:before="0" w:after="40"/>
            </w:pPr>
            <w:r>
              <w:rPr>
                <w:sz w:val="17"/>
              </w:rPr>
              <w:t>Decrease/increase both SMB-delivery baseline and Mild Boost ratio by 0.01.</w:t>
            </w:r>
          </w:p>
        </w:tc>
      </w:tr>
      <w:tr>
        <w:tc>
          <w:tcPr>
            <w:tcW w:type="dxa" w:w="2300"/>
            <w:vAlign w:val="center"/>
          </w:tcPr>
          <w:p>
            <w:pPr>
              <w:spacing w:before="0" w:after="40"/>
            </w:pPr>
            <w:r>
              <w:rPr>
                <w:sz w:val="17"/>
              </w:rPr>
              <w:t>Toggle Libre sensor adjustment</w:t>
            </w:r>
          </w:p>
        </w:tc>
        <w:tc>
          <w:tcPr>
            <w:tcW w:type="dxa" w:w="1500"/>
            <w:vAlign w:val="center"/>
          </w:tcPr>
          <w:p>
            <w:pPr>
              <w:spacing w:before="0" w:after="40"/>
            </w:pPr>
            <w:r>
              <w:rPr>
                <w:sz w:val="17"/>
              </w:rPr>
              <w:t>5.006</w:t>
            </w:r>
          </w:p>
        </w:tc>
        <w:tc>
          <w:tcPr>
            <w:tcW w:type="dxa" w:w="5560"/>
            <w:vAlign w:val="center"/>
          </w:tcPr>
          <w:p>
            <w:pPr>
              <w:spacing w:before="0" w:after="40"/>
            </w:pPr>
            <w:r>
              <w:rPr>
                <w:sz w:val="17"/>
              </w:rPr>
              <w:t>Toggle aging-sensor/Libre adjustment on or off.</w:t>
            </w:r>
          </w:p>
        </w:tc>
      </w:tr>
      <w:tr>
        <w:tc>
          <w:tcPr>
            <w:tcW w:type="dxa" w:w="2300"/>
            <w:vAlign w:val="center"/>
          </w:tcPr>
          <w:p>
            <w:pPr>
              <w:spacing w:before="0" w:after="40"/>
            </w:pPr>
            <w:r>
              <w:rPr>
                <w:sz w:val="17"/>
              </w:rPr>
              <w:t>Toggle boost automations</w:t>
            </w:r>
          </w:p>
        </w:tc>
        <w:tc>
          <w:tcPr>
            <w:tcW w:type="dxa" w:w="1500"/>
            <w:vAlign w:val="center"/>
          </w:tcPr>
          <w:p>
            <w:pPr>
              <w:spacing w:before="0" w:after="40"/>
            </w:pPr>
            <w:r>
              <w:rPr>
                <w:sz w:val="17"/>
              </w:rPr>
              <w:t>5.008</w:t>
            </w:r>
          </w:p>
        </w:tc>
        <w:tc>
          <w:tcPr>
            <w:tcW w:type="dxa" w:w="5560"/>
            <w:vAlign w:val="center"/>
          </w:tcPr>
          <w:p>
            <w:pPr>
              <w:spacing w:before="0" w:after="40"/>
            </w:pPr>
            <w:r>
              <w:rPr>
                <w:sz w:val="17"/>
              </w:rPr>
              <w:t>Toggle the whole boost-automation group on or off.</w:t>
            </w:r>
          </w:p>
        </w:tc>
      </w:tr>
      <w:tr>
        <w:tc>
          <w:tcPr>
            <w:tcW w:type="dxa" w:w="2300"/>
            <w:vAlign w:val="center"/>
          </w:tcPr>
          <w:p>
            <w:pPr>
              <w:spacing w:before="0" w:after="40"/>
            </w:pPr>
            <w:r>
              <w:rPr>
                <w:sz w:val="17"/>
              </w:rPr>
              <w:t>pp ISF weight - normal</w:t>
            </w:r>
          </w:p>
        </w:tc>
        <w:tc>
          <w:tcPr>
            <w:tcW w:type="dxa" w:w="1500"/>
            <w:vAlign w:val="center"/>
          </w:tcPr>
          <w:p>
            <w:pPr>
              <w:spacing w:before="0" w:after="40"/>
            </w:pPr>
            <w:r>
              <w:rPr>
                <w:sz w:val="17"/>
              </w:rPr>
              <w:t>5.012 / 5.014</w:t>
            </w:r>
          </w:p>
        </w:tc>
        <w:tc>
          <w:tcPr>
            <w:tcW w:type="dxa" w:w="5560"/>
            <w:vAlign w:val="center"/>
          </w:tcPr>
          <w:p>
            <w:pPr>
              <w:spacing w:before="0" w:after="40"/>
            </w:pPr>
            <w:r>
              <w:rPr>
                <w:sz w:val="17"/>
              </w:rPr>
              <w:t>Decrease/increase normal postprandial ISF weight by 0.01.</w:t>
            </w:r>
          </w:p>
        </w:tc>
      </w:tr>
      <w:tr>
        <w:tc>
          <w:tcPr>
            <w:tcW w:type="dxa" w:w="2300"/>
            <w:vAlign w:val="center"/>
          </w:tcPr>
          <w:p>
            <w:pPr>
              <w:spacing w:before="0" w:after="40"/>
            </w:pPr>
            <w:r>
              <w:rPr>
                <w:sz w:val="17"/>
              </w:rPr>
              <w:t>Acceleration ISF weight - normal</w:t>
            </w:r>
          </w:p>
        </w:tc>
        <w:tc>
          <w:tcPr>
            <w:tcW w:type="dxa" w:w="1500"/>
            <w:vAlign w:val="center"/>
          </w:tcPr>
          <w:p>
            <w:pPr>
              <w:spacing w:before="0" w:after="40"/>
            </w:pPr>
            <w:r>
              <w:rPr>
                <w:sz w:val="17"/>
              </w:rPr>
              <w:t>5.016 / 5.018</w:t>
            </w:r>
          </w:p>
        </w:tc>
        <w:tc>
          <w:tcPr>
            <w:tcW w:type="dxa" w:w="5560"/>
            <w:vAlign w:val="center"/>
          </w:tcPr>
          <w:p>
            <w:pPr>
              <w:spacing w:before="0" w:after="40"/>
            </w:pPr>
            <w:r>
              <w:rPr>
                <w:sz w:val="17"/>
              </w:rPr>
              <w:t>Decrease/increase normal acceleration ISF weight by 0.05.</w:t>
            </w:r>
          </w:p>
        </w:tc>
      </w:tr>
      <w:tr>
        <w:tc>
          <w:tcPr>
            <w:tcW w:type="dxa" w:w="2300"/>
            <w:vAlign w:val="center"/>
          </w:tcPr>
          <w:p>
            <w:pPr>
              <w:spacing w:before="0" w:after="40"/>
            </w:pPr>
            <w:r>
              <w:rPr>
                <w:sz w:val="17"/>
              </w:rPr>
              <w:t>Duration ISF weight - normal</w:t>
            </w:r>
          </w:p>
        </w:tc>
        <w:tc>
          <w:tcPr>
            <w:tcW w:type="dxa" w:w="1500"/>
            <w:vAlign w:val="center"/>
          </w:tcPr>
          <w:p>
            <w:pPr>
              <w:spacing w:before="0" w:after="40"/>
            </w:pPr>
            <w:r>
              <w:rPr>
                <w:sz w:val="17"/>
              </w:rPr>
              <w:t>5.022 / 5.024</w:t>
            </w:r>
          </w:p>
        </w:tc>
        <w:tc>
          <w:tcPr>
            <w:tcW w:type="dxa" w:w="5560"/>
            <w:vAlign w:val="center"/>
          </w:tcPr>
          <w:p>
            <w:pPr>
              <w:spacing w:before="0" w:after="40"/>
            </w:pPr>
            <w:r>
              <w:rPr>
                <w:sz w:val="17"/>
              </w:rPr>
              <w:t>Decrease/increase normal duration ISF weight by 0.1.</w:t>
            </w:r>
          </w:p>
        </w:tc>
      </w:tr>
      <w:tr>
        <w:tc>
          <w:tcPr>
            <w:tcW w:type="dxa" w:w="2300"/>
            <w:vAlign w:val="center"/>
          </w:tcPr>
          <w:p>
            <w:pPr>
              <w:spacing w:before="0" w:after="40"/>
            </w:pPr>
            <w:r>
              <w:rPr>
                <w:sz w:val="17"/>
              </w:rPr>
              <w:t>Libre slope - original</w:t>
            </w:r>
          </w:p>
        </w:tc>
        <w:tc>
          <w:tcPr>
            <w:tcW w:type="dxa" w:w="1500"/>
            <w:vAlign w:val="center"/>
          </w:tcPr>
          <w:p>
            <w:pPr>
              <w:spacing w:before="0" w:after="40"/>
            </w:pPr>
            <w:r>
              <w:rPr>
                <w:sz w:val="17"/>
              </w:rPr>
              <w:t>5.026 / 5.028</w:t>
            </w:r>
          </w:p>
        </w:tc>
        <w:tc>
          <w:tcPr>
            <w:tcW w:type="dxa" w:w="5560"/>
            <w:vAlign w:val="center"/>
          </w:tcPr>
          <w:p>
            <w:pPr>
              <w:spacing w:before="0" w:after="40"/>
            </w:pPr>
            <w:r>
              <w:rPr>
                <w:sz w:val="17"/>
              </w:rPr>
              <w:t>Decrease/increase the baseline Libre calibration slope by 0.01.</w:t>
            </w:r>
          </w:p>
        </w:tc>
      </w:tr>
      <w:tr>
        <w:tc>
          <w:tcPr>
            <w:tcW w:type="dxa" w:w="2300"/>
            <w:vAlign w:val="center"/>
          </w:tcPr>
          <w:p>
            <w:pPr>
              <w:spacing w:before="0" w:after="40"/>
            </w:pPr>
            <w:r>
              <w:rPr>
                <w:sz w:val="17"/>
              </w:rPr>
              <w:t>Libre offset - original</w:t>
            </w:r>
          </w:p>
        </w:tc>
        <w:tc>
          <w:tcPr>
            <w:tcW w:type="dxa" w:w="1500"/>
            <w:vAlign w:val="center"/>
          </w:tcPr>
          <w:p>
            <w:pPr>
              <w:spacing w:before="0" w:after="40"/>
            </w:pPr>
            <w:r>
              <w:rPr>
                <w:sz w:val="17"/>
              </w:rPr>
              <w:t>5.032 / 5.034</w:t>
            </w:r>
          </w:p>
        </w:tc>
        <w:tc>
          <w:tcPr>
            <w:tcW w:type="dxa" w:w="5560"/>
            <w:vAlign w:val="center"/>
          </w:tcPr>
          <w:p>
            <w:pPr>
              <w:spacing w:before="0" w:after="40"/>
            </w:pPr>
            <w:r>
              <w:rPr>
                <w:sz w:val="17"/>
              </w:rPr>
              <w:t>Decrease/increase the baseline Libre calibration offset by 0.05.</w:t>
            </w:r>
          </w:p>
        </w:tc>
      </w:tr>
      <w:tr>
        <w:tc>
          <w:tcPr>
            <w:tcW w:type="dxa" w:w="2300"/>
            <w:vAlign w:val="center"/>
          </w:tcPr>
          <w:p>
            <w:pPr>
              <w:spacing w:before="0" w:after="40"/>
            </w:pPr>
            <w:r>
              <w:rPr>
                <w:sz w:val="17"/>
              </w:rPr>
              <w:t>SMB offset</w:t>
            </w:r>
          </w:p>
        </w:tc>
        <w:tc>
          <w:tcPr>
            <w:tcW w:type="dxa" w:w="1500"/>
            <w:vAlign w:val="center"/>
          </w:tcPr>
          <w:p>
            <w:pPr>
              <w:spacing w:before="0" w:after="40"/>
            </w:pPr>
            <w:r>
              <w:rPr>
                <w:sz w:val="17"/>
              </w:rPr>
              <w:t>5.036 / 5.038</w:t>
            </w:r>
          </w:p>
        </w:tc>
        <w:tc>
          <w:tcPr>
            <w:tcW w:type="dxa" w:w="5560"/>
            <w:vAlign w:val="center"/>
          </w:tcPr>
          <w:p>
            <w:pPr>
              <w:spacing w:before="0" w:after="40"/>
            </w:pPr>
            <w:r>
              <w:rPr>
                <w:sz w:val="17"/>
              </w:rPr>
              <w:t>Decrease/increase the hard SMB-offset override by 0.1.</w:t>
            </w:r>
          </w:p>
        </w:tc>
      </w:tr>
      <w:tr>
        <w:tc>
          <w:tcPr>
            <w:tcW w:type="dxa" w:w="2300"/>
            <w:vAlign w:val="center"/>
          </w:tcPr>
          <w:p>
            <w:pPr>
              <w:spacing w:before="0" w:after="40"/>
            </w:pPr>
            <w:r>
              <w:rPr>
                <w:sz w:val="17"/>
              </w:rPr>
              <w:t>Clean graph view</w:t>
            </w:r>
          </w:p>
        </w:tc>
        <w:tc>
          <w:tcPr>
            <w:tcW w:type="dxa" w:w="1500"/>
            <w:vAlign w:val="center"/>
          </w:tcPr>
          <w:p>
            <w:pPr>
              <w:spacing w:before="0" w:after="40"/>
            </w:pPr>
            <w:r>
              <w:rPr>
                <w:sz w:val="17"/>
              </w:rPr>
              <w:t>5.042</w:t>
            </w:r>
          </w:p>
        </w:tc>
        <w:tc>
          <w:tcPr>
            <w:tcW w:type="dxa" w:w="5560"/>
            <w:vAlign w:val="center"/>
          </w:tcPr>
          <w:p>
            <w:pPr>
              <w:spacing w:before="0" w:after="40"/>
            </w:pPr>
            <w:r>
              <w:rPr>
                <w:sz w:val="17"/>
              </w:rPr>
              <w:t>Hide SMB dose labels/arrows and show the plain solid-green view.</w:t>
            </w:r>
          </w:p>
        </w:tc>
      </w:tr>
      <w:tr>
        <w:tc>
          <w:tcPr>
            <w:tcW w:type="dxa" w:w="2300"/>
            <w:vAlign w:val="center"/>
          </w:tcPr>
          <w:p>
            <w:pPr>
              <w:spacing w:before="0" w:after="40"/>
            </w:pPr>
            <w:r>
              <w:rPr>
                <w:sz w:val="17"/>
              </w:rPr>
              <w:t>Wizard bolus percentage</w:t>
            </w:r>
          </w:p>
        </w:tc>
        <w:tc>
          <w:tcPr>
            <w:tcW w:type="dxa" w:w="1500"/>
            <w:vAlign w:val="center"/>
          </w:tcPr>
          <w:p>
            <w:pPr>
              <w:spacing w:before="0" w:after="40"/>
            </w:pPr>
            <w:r>
              <w:rPr>
                <w:sz w:val="17"/>
              </w:rPr>
              <w:t>5.046 / 5.048</w:t>
            </w:r>
          </w:p>
        </w:tc>
        <w:tc>
          <w:tcPr>
            <w:tcW w:type="dxa" w:w="5560"/>
            <w:vAlign w:val="center"/>
          </w:tcPr>
          <w:p>
            <w:pPr>
              <w:spacing w:before="0" w:after="40"/>
            </w:pPr>
            <w:r>
              <w:rPr>
                <w:sz w:val="17"/>
              </w:rPr>
              <w:t>Decrease/increase the Wizard percentage by five percentage points.</w:t>
            </w:r>
          </w:p>
        </w:tc>
      </w:tr>
      <w:tr>
        <w:tc>
          <w:tcPr>
            <w:tcW w:type="dxa" w:w="2300"/>
            <w:vAlign w:val="center"/>
          </w:tcPr>
          <w:p>
            <w:pPr>
              <w:spacing w:before="0" w:after="40"/>
            </w:pPr>
            <w:r>
              <w:rPr>
                <w:sz w:val="17"/>
              </w:rPr>
              <w:t>Mild Boost ratio</w:t>
            </w:r>
          </w:p>
        </w:tc>
        <w:tc>
          <w:tcPr>
            <w:tcW w:type="dxa" w:w="1500"/>
            <w:vAlign w:val="center"/>
          </w:tcPr>
          <w:p>
            <w:pPr>
              <w:spacing w:before="0" w:after="40"/>
            </w:pPr>
            <w:r>
              <w:rPr>
                <w:sz w:val="17"/>
              </w:rPr>
              <w:t>5.052 / 5.054</w:t>
            </w:r>
          </w:p>
        </w:tc>
        <w:tc>
          <w:tcPr>
            <w:tcW w:type="dxa" w:w="5560"/>
            <w:vAlign w:val="center"/>
          </w:tcPr>
          <w:p>
            <w:pPr>
              <w:spacing w:before="0" w:after="40"/>
            </w:pPr>
            <w:r>
              <w:rPr>
                <w:sz w:val="17"/>
              </w:rPr>
              <w:t>Decrease/increase Mild Boost ratio alone by 0.01.</w:t>
            </w:r>
          </w:p>
        </w:tc>
      </w:tr>
      <w:tr>
        <w:tc>
          <w:tcPr>
            <w:tcW w:type="dxa" w:w="2300"/>
            <w:vAlign w:val="center"/>
          </w:tcPr>
          <w:p>
            <w:pPr>
              <w:spacing w:before="0" w:after="40"/>
            </w:pPr>
            <w:r>
              <w:rPr>
                <w:sz w:val="17"/>
              </w:rPr>
              <w:t>pp ISF weight - high</w:t>
            </w:r>
          </w:p>
        </w:tc>
        <w:tc>
          <w:tcPr>
            <w:tcW w:type="dxa" w:w="1500"/>
            <w:vAlign w:val="center"/>
          </w:tcPr>
          <w:p>
            <w:pPr>
              <w:spacing w:before="0" w:after="40"/>
            </w:pPr>
            <w:r>
              <w:rPr>
                <w:sz w:val="17"/>
              </w:rPr>
              <w:t>5.056 / 5.058</w:t>
            </w:r>
          </w:p>
        </w:tc>
        <w:tc>
          <w:tcPr>
            <w:tcW w:type="dxa" w:w="5560"/>
            <w:vAlign w:val="center"/>
          </w:tcPr>
          <w:p>
            <w:pPr>
              <w:spacing w:before="0" w:after="40"/>
            </w:pPr>
            <w:r>
              <w:rPr>
                <w:sz w:val="17"/>
              </w:rPr>
              <w:t>Decrease/increase boosted postprandial ISF weight by 0.01.</w:t>
            </w:r>
          </w:p>
        </w:tc>
      </w:tr>
      <w:tr>
        <w:tc>
          <w:tcPr>
            <w:tcW w:type="dxa" w:w="2300"/>
            <w:vAlign w:val="center"/>
          </w:tcPr>
          <w:p>
            <w:pPr>
              <w:spacing w:before="0" w:after="40"/>
            </w:pPr>
            <w:r>
              <w:rPr>
                <w:sz w:val="17"/>
              </w:rPr>
              <w:t>Acceleration ISF weight - high</w:t>
            </w:r>
          </w:p>
        </w:tc>
        <w:tc>
          <w:tcPr>
            <w:tcW w:type="dxa" w:w="1500"/>
            <w:vAlign w:val="center"/>
          </w:tcPr>
          <w:p>
            <w:pPr>
              <w:spacing w:before="0" w:after="40"/>
            </w:pPr>
            <w:r>
              <w:rPr>
                <w:sz w:val="17"/>
              </w:rPr>
              <w:t>5.062 / 5.064</w:t>
            </w:r>
          </w:p>
        </w:tc>
        <w:tc>
          <w:tcPr>
            <w:tcW w:type="dxa" w:w="5560"/>
            <w:vAlign w:val="center"/>
          </w:tcPr>
          <w:p>
            <w:pPr>
              <w:spacing w:before="0" w:after="40"/>
            </w:pPr>
            <w:r>
              <w:rPr>
                <w:sz w:val="17"/>
              </w:rPr>
              <w:t>Decrease/increase boosted acceleration ISF weight by 0.01.</w:t>
            </w:r>
          </w:p>
        </w:tc>
      </w:tr>
      <w:tr>
        <w:tc>
          <w:tcPr>
            <w:tcW w:type="dxa" w:w="2300"/>
            <w:vAlign w:val="center"/>
          </w:tcPr>
          <w:p>
            <w:pPr>
              <w:spacing w:before="0" w:after="40"/>
            </w:pPr>
            <w:r>
              <w:rPr>
                <w:sz w:val="17"/>
              </w:rPr>
              <w:t>Higher-ISF-range weight</w:t>
            </w:r>
          </w:p>
        </w:tc>
        <w:tc>
          <w:tcPr>
            <w:tcW w:type="dxa" w:w="1500"/>
            <w:vAlign w:val="center"/>
          </w:tcPr>
          <w:p>
            <w:pPr>
              <w:spacing w:before="0" w:after="40"/>
            </w:pPr>
            <w:r>
              <w:rPr>
                <w:sz w:val="17"/>
              </w:rPr>
              <w:t>5.068 / 5.070</w:t>
            </w:r>
          </w:p>
        </w:tc>
        <w:tc>
          <w:tcPr>
            <w:tcW w:type="dxa" w:w="5560"/>
            <w:vAlign w:val="center"/>
          </w:tcPr>
          <w:p>
            <w:pPr>
              <w:spacing w:before="0" w:after="40"/>
            </w:pPr>
            <w:r>
              <w:rPr>
                <w:sz w:val="17"/>
              </w:rPr>
              <w:t>Decrease/increase high-BG ISF weight by 0.1.</w:t>
            </w:r>
          </w:p>
        </w:tc>
      </w:tr>
      <w:tr>
        <w:tc>
          <w:tcPr>
            <w:tcW w:type="dxa" w:w="2300"/>
            <w:vAlign w:val="center"/>
          </w:tcPr>
          <w:p>
            <w:pPr>
              <w:spacing w:before="0" w:after="40"/>
            </w:pPr>
            <w:r>
              <w:rPr>
                <w:sz w:val="17"/>
              </w:rPr>
              <w:t>Peak insulin time</w:t>
            </w:r>
          </w:p>
        </w:tc>
        <w:tc>
          <w:tcPr>
            <w:tcW w:type="dxa" w:w="1500"/>
            <w:vAlign w:val="center"/>
          </w:tcPr>
          <w:p>
            <w:pPr>
              <w:spacing w:before="0" w:after="40"/>
            </w:pPr>
            <w:r>
              <w:rPr>
                <w:sz w:val="17"/>
              </w:rPr>
              <w:t>5.074 / 5.076</w:t>
            </w:r>
          </w:p>
        </w:tc>
        <w:tc>
          <w:tcPr>
            <w:tcW w:type="dxa" w:w="5560"/>
            <w:vAlign w:val="center"/>
          </w:tcPr>
          <w:p>
            <w:pPr>
              <w:spacing w:before="0" w:after="40"/>
            </w:pPr>
            <w:r>
              <w:rPr>
                <w:sz w:val="17"/>
              </w:rPr>
              <w:t>Decrease/increase insulin peak by five minutes.</w:t>
            </w:r>
          </w:p>
        </w:tc>
      </w:tr>
      <w:tr>
        <w:tc>
          <w:tcPr>
            <w:tcW w:type="dxa" w:w="2300"/>
            <w:vAlign w:val="center"/>
          </w:tcPr>
          <w:p>
            <w:pPr>
              <w:spacing w:before="0" w:after="40"/>
            </w:pPr>
            <w:r>
              <w:rPr>
                <w:sz w:val="17"/>
              </w:rPr>
              <w:t>AutoISF maximum - low BG</w:t>
            </w:r>
          </w:p>
        </w:tc>
        <w:tc>
          <w:tcPr>
            <w:tcW w:type="dxa" w:w="1500"/>
            <w:vAlign w:val="center"/>
          </w:tcPr>
          <w:p>
            <w:pPr>
              <w:spacing w:before="0" w:after="40"/>
            </w:pPr>
            <w:r>
              <w:rPr>
                <w:sz w:val="17"/>
              </w:rPr>
              <w:t>5.080 / 5.082</w:t>
            </w:r>
          </w:p>
        </w:tc>
        <w:tc>
          <w:tcPr>
            <w:tcW w:type="dxa" w:w="5560"/>
            <w:vAlign w:val="center"/>
          </w:tcPr>
          <w:p>
            <w:pPr>
              <w:spacing w:before="0" w:after="40"/>
            </w:pPr>
            <w:r>
              <w:rPr>
                <w:sz w:val="17"/>
              </w:rPr>
              <w:t>Decrease/increase the low-BG AutoISF maximum by 0.1.</w:t>
            </w:r>
          </w:p>
        </w:tc>
      </w:tr>
      <w:tr>
        <w:tc>
          <w:tcPr>
            <w:tcW w:type="dxa" w:w="2300"/>
            <w:vAlign w:val="center"/>
          </w:tcPr>
          <w:p>
            <w:pPr>
              <w:spacing w:before="0" w:after="40"/>
            </w:pPr>
            <w:r>
              <w:rPr>
                <w:sz w:val="17"/>
              </w:rPr>
              <w:t>AutoISF maximum - normal</w:t>
            </w:r>
          </w:p>
        </w:tc>
        <w:tc>
          <w:tcPr>
            <w:tcW w:type="dxa" w:w="1500"/>
            <w:vAlign w:val="center"/>
          </w:tcPr>
          <w:p>
            <w:pPr>
              <w:spacing w:before="0" w:after="40"/>
            </w:pPr>
            <w:r>
              <w:rPr>
                <w:sz w:val="17"/>
              </w:rPr>
              <w:t>5.086 / 5.088</w:t>
            </w:r>
          </w:p>
        </w:tc>
        <w:tc>
          <w:tcPr>
            <w:tcW w:type="dxa" w:w="5560"/>
            <w:vAlign w:val="center"/>
          </w:tcPr>
          <w:p>
            <w:pPr>
              <w:spacing w:before="0" w:after="40"/>
            </w:pPr>
            <w:r>
              <w:rPr>
                <w:sz w:val="17"/>
              </w:rPr>
              <w:t>Decrease/increase the normal AutoISF maximum by 0.1.</w:t>
            </w:r>
          </w:p>
        </w:tc>
      </w:tr>
      <w:tr>
        <w:tc>
          <w:tcPr>
            <w:tcW w:type="dxa" w:w="2300"/>
            <w:vAlign w:val="center"/>
          </w:tcPr>
          <w:p>
            <w:pPr>
              <w:spacing w:before="0" w:after="40"/>
            </w:pPr>
            <w:r>
              <w:rPr>
                <w:sz w:val="17"/>
              </w:rPr>
              <w:t>TOD offset 00:00-02:00</w:t>
            </w:r>
          </w:p>
        </w:tc>
        <w:tc>
          <w:tcPr>
            <w:tcW w:type="dxa" w:w="1500"/>
            <w:vAlign w:val="center"/>
          </w:tcPr>
          <w:p>
            <w:pPr>
              <w:spacing w:before="0" w:after="40"/>
            </w:pPr>
            <w:r>
              <w:rPr>
                <w:sz w:val="17"/>
              </w:rPr>
              <w:t>5.092 / 5.094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02:00-04:00</w:t>
            </w:r>
          </w:p>
        </w:tc>
        <w:tc>
          <w:tcPr>
            <w:tcW w:type="dxa" w:w="1500"/>
            <w:vAlign w:val="center"/>
          </w:tcPr>
          <w:p>
            <w:pPr>
              <w:spacing w:before="0" w:after="40"/>
            </w:pPr>
            <w:r>
              <w:rPr>
                <w:sz w:val="17"/>
              </w:rPr>
              <w:t>5.098 / 5.100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04:00-06:00</w:t>
            </w:r>
          </w:p>
        </w:tc>
        <w:tc>
          <w:tcPr>
            <w:tcW w:type="dxa" w:w="1500"/>
            <w:vAlign w:val="center"/>
          </w:tcPr>
          <w:p>
            <w:pPr>
              <w:spacing w:before="0" w:after="40"/>
            </w:pPr>
            <w:r>
              <w:rPr>
                <w:sz w:val="17"/>
              </w:rPr>
              <w:t>5.104 / 5.106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06:00-09:00</w:t>
            </w:r>
          </w:p>
        </w:tc>
        <w:tc>
          <w:tcPr>
            <w:tcW w:type="dxa" w:w="1500"/>
            <w:vAlign w:val="center"/>
          </w:tcPr>
          <w:p>
            <w:pPr>
              <w:spacing w:before="0" w:after="40"/>
            </w:pPr>
            <w:r>
              <w:rPr>
                <w:sz w:val="17"/>
              </w:rPr>
              <w:t>5.110 / 5.112</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09:00-12:00</w:t>
            </w:r>
          </w:p>
        </w:tc>
        <w:tc>
          <w:tcPr>
            <w:tcW w:type="dxa" w:w="1500"/>
            <w:vAlign w:val="center"/>
          </w:tcPr>
          <w:p>
            <w:pPr>
              <w:spacing w:before="0" w:after="40"/>
            </w:pPr>
            <w:r>
              <w:rPr>
                <w:sz w:val="17"/>
              </w:rPr>
              <w:t>5.116 / 5.118</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12:00-18:00</w:t>
            </w:r>
          </w:p>
        </w:tc>
        <w:tc>
          <w:tcPr>
            <w:tcW w:type="dxa" w:w="1500"/>
            <w:vAlign w:val="center"/>
          </w:tcPr>
          <w:p>
            <w:pPr>
              <w:spacing w:before="0" w:after="40"/>
            </w:pPr>
            <w:r>
              <w:rPr>
                <w:sz w:val="17"/>
              </w:rPr>
              <w:t>5.122 / 5.124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18:00-22:00</w:t>
            </w:r>
          </w:p>
        </w:tc>
        <w:tc>
          <w:tcPr>
            <w:tcW w:type="dxa" w:w="1500"/>
            <w:vAlign w:val="center"/>
          </w:tcPr>
          <w:p>
            <w:pPr>
              <w:spacing w:before="0" w:after="40"/>
            </w:pPr>
            <w:r>
              <w:rPr>
                <w:sz w:val="17"/>
              </w:rPr>
              <w:t>5.128 / 5.130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22:00-00:00</w:t>
            </w:r>
          </w:p>
        </w:tc>
        <w:tc>
          <w:tcPr>
            <w:tcW w:type="dxa" w:w="1500"/>
            <w:vAlign w:val="center"/>
          </w:tcPr>
          <w:p>
            <w:pPr>
              <w:spacing w:before="0" w:after="40"/>
            </w:pPr>
            <w:r>
              <w:rPr>
                <w:sz w:val="17"/>
              </w:rPr>
              <w:t>5.134 / 5.136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Toggle Graph2 carb-model curve</w:t>
            </w:r>
          </w:p>
        </w:tc>
        <w:tc>
          <w:tcPr>
            <w:tcW w:type="dxa" w:w="1500"/>
            <w:vAlign w:val="center"/>
          </w:tcPr>
          <w:p>
            <w:pPr>
              <w:spacing w:before="0" w:after="40"/>
            </w:pPr>
            <w:r>
              <w:rPr>
                <w:sz w:val="17"/>
              </w:rPr>
              <w:t>5.138</w:t>
            </w:r>
          </w:p>
        </w:tc>
        <w:tc>
          <w:tcPr>
            <w:tcW w:type="dxa" w:w="5560"/>
            <w:vAlign w:val="center"/>
          </w:tcPr>
          <w:p>
            <w:pPr>
              <w:spacing w:before="0" w:after="40"/>
            </w:pPr>
            <w:r>
              <w:rPr>
                <w:sz w:val="17"/>
              </w:rPr>
              <w:t>Toggle the empirical/theoretical carb-model curve display.</w:t>
            </w:r>
          </w:p>
        </w:tc>
      </w:tr>
      <w:tr>
        <w:tc>
          <w:tcPr>
            <w:tcW w:type="dxa" w:w="2300"/>
            <w:vAlign w:val="center"/>
          </w:tcPr>
          <w:p>
            <w:pPr>
              <w:spacing w:before="0" w:after="40"/>
            </w:pPr>
            <w:r>
              <w:rPr>
                <w:sz w:val="17"/>
              </w:rPr>
              <w:t>Cloud logs upload</w:t>
            </w:r>
          </w:p>
        </w:tc>
        <w:tc>
          <w:tcPr>
            <w:tcW w:type="dxa" w:w="1500"/>
            <w:vAlign w:val="center"/>
          </w:tcPr>
          <w:p>
            <w:pPr>
              <w:spacing w:before="0" w:after="40"/>
            </w:pPr>
            <w:r>
              <w:rPr>
                <w:sz w:val="17"/>
              </w:rPr>
              <w:t>5.140</w:t>
            </w:r>
          </w:p>
        </w:tc>
        <w:tc>
          <w:tcPr>
            <w:tcW w:type="dxa" w:w="5560"/>
            <w:vAlign w:val="center"/>
          </w:tcPr>
          <w:p>
            <w:pPr>
              <w:spacing w:before="0" w:after="40"/>
            </w:pPr>
            <w:r>
              <w:rPr>
                <w:sz w:val="17"/>
              </w:rPr>
              <w:t>Zip and send logs to configured cloud storage, otherwise use email.</w:t>
            </w:r>
          </w:p>
        </w:tc>
      </w:tr>
      <w:tr>
        <w:tc>
          <w:tcPr>
            <w:tcW w:type="dxa" w:w="2300"/>
            <w:vAlign w:val="center"/>
          </w:tcPr>
          <w:p>
            <w:pPr>
              <w:spacing w:before="0" w:after="40"/>
            </w:pPr>
            <w:r>
              <w:rPr>
                <w:sz w:val="17"/>
              </w:rPr>
              <w:t>Toggle Graph5</w:t>
            </w:r>
          </w:p>
        </w:tc>
        <w:tc>
          <w:tcPr>
            <w:tcW w:type="dxa" w:w="1500"/>
            <w:vAlign w:val="center"/>
          </w:tcPr>
          <w:p>
            <w:pPr>
              <w:spacing w:before="0" w:after="40"/>
            </w:pPr>
            <w:r>
              <w:rPr>
                <w:sz w:val="17"/>
              </w:rPr>
              <w:t>5.142</w:t>
            </w:r>
          </w:p>
        </w:tc>
        <w:tc>
          <w:tcPr>
            <w:tcW w:type="dxa" w:w="5560"/>
            <w:vAlign w:val="center"/>
          </w:tcPr>
          <w:p>
            <w:pPr>
              <w:spacing w:before="0" w:after="40"/>
            </w:pPr>
            <w:r>
              <w:rPr>
                <w:sz w:val="17"/>
              </w:rPr>
              <w:t>Toggle the Graph5 comparison panel.</w:t>
            </w:r>
          </w:p>
        </w:tc>
      </w:tr>
      <w:tr>
        <w:tc>
          <w:tcPr>
            <w:tcW w:type="dxa" w:w="2300"/>
            <w:vAlign w:val="center"/>
          </w:tcPr>
          <w:p>
            <w:pPr>
              <w:spacing w:before="0" w:after="40"/>
            </w:pPr>
            <w:r>
              <w:rPr>
                <w:sz w:val="17"/>
              </w:rPr>
              <w:t>MJ state manual override</w:t>
            </w:r>
          </w:p>
        </w:tc>
        <w:tc>
          <w:tcPr>
            <w:tcW w:type="dxa" w:w="1500"/>
            <w:vAlign w:val="center"/>
          </w:tcPr>
          <w:p>
            <w:pPr>
              <w:spacing w:before="0" w:after="40"/>
            </w:pPr>
            <w:r>
              <w:rPr>
                <w:sz w:val="17"/>
              </w:rPr>
              <w:t>5.144 / 5.146</w:t>
            </w:r>
          </w:p>
        </w:tc>
        <w:tc>
          <w:tcPr>
            <w:tcW w:type="dxa" w:w="5560"/>
            <w:vAlign w:val="center"/>
          </w:tcPr>
          <w:p>
            <w:pPr>
              <w:spacing w:before="0" w:after="40"/>
            </w:pPr>
            <w:r>
              <w:rPr>
                <w:sz w:val="17"/>
              </w:rPr>
              <w:t>Set MJ to NOMJremains or MJ3.</w:t>
            </w:r>
          </w:p>
        </w:tc>
      </w:tr>
      <w:tr>
        <w:tc>
          <w:tcPr>
            <w:tcW w:type="dxa" w:w="2300"/>
            <w:vAlign w:val="center"/>
          </w:tcPr>
          <w:p>
            <w:pPr>
              <w:spacing w:before="0" w:after="40"/>
            </w:pPr>
            <w:r>
              <w:rPr>
                <w:sz w:val="17"/>
              </w:rPr>
              <w:t>Profile manual override</w:t>
            </w:r>
          </w:p>
        </w:tc>
        <w:tc>
          <w:tcPr>
            <w:tcW w:type="dxa" w:w="1500"/>
            <w:vAlign w:val="center"/>
          </w:tcPr>
          <w:p>
            <w:pPr>
              <w:spacing w:before="0" w:after="40"/>
            </w:pPr>
            <w:r>
              <w:rPr>
                <w:sz w:val="17"/>
              </w:rPr>
              <w:t>5.148 / 5.150</w:t>
            </w:r>
          </w:p>
        </w:tc>
        <w:tc>
          <w:tcPr>
            <w:tcW w:type="dxa" w:w="5560"/>
            <w:vAlign w:val="center"/>
          </w:tcPr>
          <w:p>
            <w:pPr>
              <w:spacing w:before="0" w:after="40"/>
            </w:pPr>
            <w:r>
              <w:rPr>
                <w:sz w:val="17"/>
              </w:rPr>
              <w:t>Select the configured Standard or Low profile.</w:t>
            </w:r>
          </w:p>
        </w:tc>
      </w:tr>
      <w:tr>
        <w:tc>
          <w:tcPr>
            <w:tcW w:type="dxa" w:w="2300"/>
            <w:vAlign w:val="center"/>
          </w:tcPr>
          <w:p>
            <w:pPr>
              <w:spacing w:before="0" w:after="40"/>
            </w:pPr>
            <w:r>
              <w:rPr>
                <w:sz w:val="17"/>
              </w:rPr>
              <w:t>Toggle UKFset1 live comparison</w:t>
            </w:r>
          </w:p>
        </w:tc>
        <w:tc>
          <w:tcPr>
            <w:tcW w:type="dxa" w:w="1500"/>
            <w:vAlign w:val="center"/>
          </w:tcPr>
          <w:p>
            <w:pPr>
              <w:spacing w:before="0" w:after="40"/>
            </w:pPr>
            <w:r>
              <w:rPr>
                <w:sz w:val="17"/>
              </w:rPr>
              <w:t>5.152</w:t>
            </w:r>
          </w:p>
        </w:tc>
        <w:tc>
          <w:tcPr>
            <w:tcW w:type="dxa" w:w="5560"/>
            <w:vAlign w:val="center"/>
          </w:tcPr>
          <w:p>
            <w:pPr>
              <w:spacing w:before="0" w:after="40"/>
            </w:pPr>
            <w:r>
              <w:rPr>
                <w:sz w:val="17"/>
              </w:rPr>
              <w:t>Toggle the Virtual-Pump, non-Client live UKFset1 comparison; hidden elsewhere.</w:t>
            </w:r>
          </w:p>
        </w:tc>
      </w:tr>
      <w:tr>
        <w:tc>
          <w:tcPr>
            <w:tcW w:type="dxa" w:w="2300"/>
            <w:vAlign w:val="center"/>
          </w:tcPr>
          <w:p>
            <w:pPr>
              <w:spacing w:before="0" w:after="40"/>
            </w:pPr>
            <w:r>
              <w:rPr>
                <w:sz w:val="17"/>
              </w:rPr>
              <w:t>Run SensorAge code</w:t>
            </w:r>
          </w:p>
        </w:tc>
        <w:tc>
          <w:tcPr>
            <w:tcW w:type="dxa" w:w="1500"/>
            <w:vAlign w:val="center"/>
          </w:tcPr>
          <w:p>
            <w:pPr>
              <w:spacing w:before="0" w:after="40"/>
            </w:pPr>
            <w:r>
              <w:rPr>
                <w:sz w:val="17"/>
              </w:rPr>
              <w:t>5.156</w:t>
            </w:r>
          </w:p>
        </w:tc>
        <w:tc>
          <w:tcPr>
            <w:tcW w:type="dxa" w:w="5560"/>
            <w:vAlign w:val="center"/>
          </w:tcPr>
          <w:p>
            <w:pPr>
              <w:spacing w:before="0" w:after="40"/>
            </w:pPr>
            <w:r>
              <w:rPr>
                <w:sz w:val="17"/>
              </w:rPr>
              <w:t>Toggle the sensor-age code on or off.</w:t>
            </w:r>
          </w:p>
        </w:tc>
      </w:tr>
    </w:tbl>
    <w:p>
      <w:pPr>
        <w:ind w:left="1080"/>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pPr>
        <w:pStyle w:val="Heading3"/>
        <w:ind w:left="720"/>
      </w:pPr>
      <w:bookmarkStart w:id="59" w:name="sec8_list2_tt_codes"/>
      <w:r>
        <w:t>List 2 - actions, relay codes and local graph controls</w:t>
      </w:r>
      <w:bookmarkEnd w:id="59"/>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MJ start</w:t>
            </w:r>
          </w:p>
        </w:tc>
        <w:tc>
          <w:tcPr>
            <w:tcW w:type="dxa" w:w="1500"/>
            <w:vAlign w:val="center"/>
          </w:tcPr>
          <w:p>
            <w:pPr>
              <w:spacing w:before="0" w:after="40"/>
            </w:pPr>
            <w:r>
              <w:rPr>
                <w:sz w:val="17"/>
              </w:rPr>
              <w:t>5.158</w:t>
            </w:r>
          </w:p>
        </w:tc>
        <w:tc>
          <w:tcPr>
            <w:tcW w:type="dxa" w:w="5560"/>
            <w:vAlign w:val="center"/>
          </w:tcPr>
          <w:p>
            <w:pPr>
              <w:spacing w:before="0" w:after="40"/>
            </w:pPr>
            <w:r>
              <w:rPr>
                <w:sz w:val="17"/>
              </w:rPr>
              <w:t>Start the confirmed Mounjaro cycle.</w:t>
            </w:r>
          </w:p>
        </w:tc>
      </w:tr>
      <w:tr>
        <w:tc>
          <w:tcPr>
            <w:tcW w:type="dxa" w:w="2300"/>
            <w:vAlign w:val="center"/>
          </w:tcPr>
          <w:p>
            <w:pPr>
              <w:spacing w:before="0" w:after="40"/>
            </w:pPr>
            <w:r>
              <w:rPr>
                <w:sz w:val="17"/>
              </w:rPr>
              <w:t>MJ restore</w:t>
            </w:r>
          </w:p>
        </w:tc>
        <w:tc>
          <w:tcPr>
            <w:tcW w:type="dxa" w:w="1500"/>
            <w:vAlign w:val="center"/>
          </w:tcPr>
          <w:p>
            <w:pPr>
              <w:spacing w:before="0" w:after="40"/>
            </w:pPr>
            <w:r>
              <w:rPr>
                <w:sz w:val="17"/>
              </w:rPr>
              <w:t>5.160</w:t>
            </w:r>
          </w:p>
        </w:tc>
        <w:tc>
          <w:tcPr>
            <w:tcW w:type="dxa" w:w="5560"/>
            <w:vAlign w:val="center"/>
          </w:tcPr>
          <w:p>
            <w:pPr>
              <w:spacing w:before="0" w:after="40"/>
            </w:pPr>
            <w:r>
              <w:rPr>
                <w:sz w:val="17"/>
              </w:rPr>
              <w:t>Run the confirmed Mounjaro restoration action.</w:t>
            </w:r>
          </w:p>
        </w:tc>
      </w:tr>
      <w:tr>
        <w:tc>
          <w:tcPr>
            <w:tcW w:type="dxa" w:w="2300"/>
            <w:vAlign w:val="center"/>
          </w:tcPr>
          <w:p>
            <w:pPr>
              <w:spacing w:before="0" w:after="40"/>
            </w:pPr>
            <w:r>
              <w:rPr>
                <w:sz w:val="17"/>
              </w:rPr>
              <w:t>Steroid start</w:t>
            </w:r>
          </w:p>
        </w:tc>
        <w:tc>
          <w:tcPr>
            <w:tcW w:type="dxa" w:w="1500"/>
            <w:vAlign w:val="center"/>
          </w:tcPr>
          <w:p>
            <w:pPr>
              <w:spacing w:before="0" w:after="40"/>
            </w:pPr>
            <w:r>
              <w:rPr>
                <w:sz w:val="17"/>
              </w:rPr>
              <w:t>5.162</w:t>
            </w:r>
          </w:p>
        </w:tc>
        <w:tc>
          <w:tcPr>
            <w:tcW w:type="dxa" w:w="5560"/>
            <w:vAlign w:val="center"/>
          </w:tcPr>
          <w:p>
            <w:pPr>
              <w:spacing w:before="0" w:after="40"/>
            </w:pPr>
            <w:r>
              <w:rPr>
                <w:sz w:val="17"/>
              </w:rPr>
              <w:t>Start the steroid-management sequence.</w:t>
            </w:r>
          </w:p>
        </w:tc>
      </w:tr>
      <w:tr>
        <w:tc>
          <w:tcPr>
            <w:tcW w:type="dxa" w:w="2300"/>
            <w:vAlign w:val="center"/>
          </w:tcPr>
          <w:p>
            <w:pPr>
              <w:spacing w:before="0" w:after="40"/>
            </w:pPr>
            <w:r>
              <w:rPr>
                <w:sz w:val="17"/>
              </w:rPr>
              <w:t>Toggle MJ Kotlin buttons</w:t>
            </w:r>
          </w:p>
        </w:tc>
        <w:tc>
          <w:tcPr>
            <w:tcW w:type="dxa" w:w="1500"/>
            <w:vAlign w:val="center"/>
          </w:tcPr>
          <w:p>
            <w:pPr>
              <w:spacing w:before="0" w:after="40"/>
            </w:pPr>
            <w:r>
              <w:rPr>
                <w:sz w:val="17"/>
              </w:rPr>
              <w:t>5.164</w:t>
            </w:r>
          </w:p>
        </w:tc>
        <w:tc>
          <w:tcPr>
            <w:tcW w:type="dxa" w:w="5560"/>
            <w:vAlign w:val="center"/>
          </w:tcPr>
          <w:p>
            <w:pPr>
              <w:spacing w:before="0" w:after="40"/>
            </w:pPr>
            <w:r>
              <w:rPr>
                <w:sz w:val="17"/>
              </w:rPr>
              <w:t>Show/hide the MJ buttons.</w:t>
            </w:r>
          </w:p>
        </w:tc>
      </w:tr>
      <w:tr>
        <w:tc>
          <w:tcPr>
            <w:tcW w:type="dxa" w:w="2300"/>
            <w:vAlign w:val="center"/>
          </w:tcPr>
          <w:p>
            <w:pPr>
              <w:spacing w:before="0" w:after="40"/>
            </w:pPr>
            <w:r>
              <w:rPr>
                <w:sz w:val="17"/>
              </w:rPr>
              <w:t>Toggle Steroid Kotlin button</w:t>
            </w:r>
          </w:p>
        </w:tc>
        <w:tc>
          <w:tcPr>
            <w:tcW w:type="dxa" w:w="1500"/>
            <w:vAlign w:val="center"/>
          </w:tcPr>
          <w:p>
            <w:pPr>
              <w:spacing w:before="0" w:after="40"/>
            </w:pPr>
            <w:r>
              <w:rPr>
                <w:sz w:val="17"/>
              </w:rPr>
              <w:t>5.166</w:t>
            </w:r>
          </w:p>
        </w:tc>
        <w:tc>
          <w:tcPr>
            <w:tcW w:type="dxa" w:w="5560"/>
            <w:vAlign w:val="center"/>
          </w:tcPr>
          <w:p>
            <w:pPr>
              <w:spacing w:before="0" w:after="40"/>
            </w:pPr>
            <w:r>
              <w:rPr>
                <w:sz w:val="17"/>
              </w:rPr>
              <w:t>Show/hide the steroid button.</w:t>
            </w:r>
          </w:p>
        </w:tc>
      </w:tr>
      <w:tr>
        <w:tc>
          <w:tcPr>
            <w:tcW w:type="dxa" w:w="2300"/>
            <w:vAlign w:val="center"/>
          </w:tcPr>
          <w:p>
            <w:pPr>
              <w:spacing w:before="0" w:after="40"/>
            </w:pPr>
            <w:r>
              <w:rPr>
                <w:sz w:val="17"/>
              </w:rPr>
              <w:t>Steroid 110 to 130</w:t>
            </w:r>
          </w:p>
        </w:tc>
        <w:tc>
          <w:tcPr>
            <w:tcW w:type="dxa" w:w="1500"/>
            <w:vAlign w:val="center"/>
          </w:tcPr>
          <w:p>
            <w:pPr>
              <w:spacing w:before="0" w:after="40"/>
            </w:pPr>
            <w:r>
              <w:rPr>
                <w:sz w:val="17"/>
              </w:rPr>
              <w:t>5.168</w:t>
            </w:r>
          </w:p>
        </w:tc>
        <w:tc>
          <w:tcPr>
            <w:tcW w:type="dxa" w:w="5560"/>
            <w:vAlign w:val="center"/>
          </w:tcPr>
          <w:p>
            <w:pPr>
              <w:spacing w:before="0" w:after="40"/>
            </w:pPr>
            <w:r>
              <w:rPr>
                <w:sz w:val="17"/>
              </w:rPr>
              <w:t>Run the confirmed steroid escalation to 130.</w:t>
            </w:r>
          </w:p>
        </w:tc>
      </w:tr>
      <w:tr>
        <w:tc>
          <w:tcPr>
            <w:tcW w:type="dxa" w:w="2300"/>
            <w:vAlign w:val="center"/>
          </w:tcPr>
          <w:p>
            <w:pPr>
              <w:spacing w:before="0" w:after="40"/>
            </w:pPr>
            <w:r>
              <w:rPr>
                <w:sz w:val="17"/>
              </w:rPr>
              <w:t>Steroid 130 to 150</w:t>
            </w:r>
          </w:p>
        </w:tc>
        <w:tc>
          <w:tcPr>
            <w:tcW w:type="dxa" w:w="1500"/>
            <w:vAlign w:val="center"/>
          </w:tcPr>
          <w:p>
            <w:pPr>
              <w:spacing w:before="0" w:after="40"/>
            </w:pPr>
            <w:r>
              <w:rPr>
                <w:sz w:val="17"/>
              </w:rPr>
              <w:t>5.170</w:t>
            </w:r>
          </w:p>
        </w:tc>
        <w:tc>
          <w:tcPr>
            <w:tcW w:type="dxa" w:w="5560"/>
            <w:vAlign w:val="center"/>
          </w:tcPr>
          <w:p>
            <w:pPr>
              <w:spacing w:before="0" w:after="40"/>
            </w:pPr>
            <w:r>
              <w:rPr>
                <w:sz w:val="17"/>
              </w:rPr>
              <w:t>Run the confirmed steroid escalation to 150.</w:t>
            </w:r>
          </w:p>
        </w:tc>
      </w:tr>
      <w:tr>
        <w:tc>
          <w:tcPr>
            <w:tcW w:type="dxa" w:w="2300"/>
            <w:vAlign w:val="center"/>
          </w:tcPr>
          <w:p>
            <w:pPr>
              <w:spacing w:before="0" w:after="40"/>
            </w:pPr>
            <w:r>
              <w:rPr>
                <w:sz w:val="17"/>
              </w:rPr>
              <w:t>Steroid 150 to 190</w:t>
            </w:r>
          </w:p>
        </w:tc>
        <w:tc>
          <w:tcPr>
            <w:tcW w:type="dxa" w:w="1500"/>
            <w:vAlign w:val="center"/>
          </w:tcPr>
          <w:p>
            <w:pPr>
              <w:spacing w:before="0" w:after="40"/>
            </w:pPr>
            <w:r>
              <w:rPr>
                <w:sz w:val="17"/>
              </w:rPr>
              <w:t>5.172</w:t>
            </w:r>
          </w:p>
        </w:tc>
        <w:tc>
          <w:tcPr>
            <w:tcW w:type="dxa" w:w="5560"/>
            <w:vAlign w:val="center"/>
          </w:tcPr>
          <w:p>
            <w:pPr>
              <w:spacing w:before="0" w:after="40"/>
            </w:pPr>
            <w:r>
              <w:rPr>
                <w:sz w:val="17"/>
              </w:rPr>
              <w:t>Run the confirmed steroid escalation to 190.</w:t>
            </w:r>
          </w:p>
        </w:tc>
      </w:tr>
      <w:tr>
        <w:tc>
          <w:tcPr>
            <w:tcW w:type="dxa" w:w="2300"/>
            <w:vAlign w:val="center"/>
          </w:tcPr>
          <w:p>
            <w:pPr>
              <w:spacing w:before="0" w:after="40"/>
            </w:pPr>
            <w:r>
              <w:rPr>
                <w:sz w:val="17"/>
              </w:rPr>
              <w:t>Steroid 190 to 250</w:t>
            </w:r>
          </w:p>
        </w:tc>
        <w:tc>
          <w:tcPr>
            <w:tcW w:type="dxa" w:w="1500"/>
            <w:vAlign w:val="center"/>
          </w:tcPr>
          <w:p>
            <w:pPr>
              <w:spacing w:before="0" w:after="40"/>
            </w:pPr>
            <w:r>
              <w:rPr>
                <w:sz w:val="17"/>
              </w:rPr>
              <w:t>5.174</w:t>
            </w:r>
          </w:p>
        </w:tc>
        <w:tc>
          <w:tcPr>
            <w:tcW w:type="dxa" w:w="5560"/>
            <w:vAlign w:val="center"/>
          </w:tcPr>
          <w:p>
            <w:pPr>
              <w:spacing w:before="0" w:after="40"/>
            </w:pPr>
            <w:r>
              <w:rPr>
                <w:sz w:val="17"/>
              </w:rPr>
              <w:t>Run the confirmed steroid escalation to 250.</w:t>
            </w:r>
          </w:p>
        </w:tc>
      </w:tr>
      <w:tr>
        <w:tc>
          <w:tcPr>
            <w:tcW w:type="dxa" w:w="2300"/>
            <w:vAlign w:val="center"/>
          </w:tcPr>
          <w:p>
            <w:pPr>
              <w:spacing w:before="0" w:after="40"/>
            </w:pPr>
            <w:r>
              <w:rPr>
                <w:sz w:val="17"/>
              </w:rPr>
              <w:t>Steroids OFF</w:t>
            </w:r>
          </w:p>
        </w:tc>
        <w:tc>
          <w:tcPr>
            <w:tcW w:type="dxa" w:w="1500"/>
            <w:vAlign w:val="center"/>
          </w:tcPr>
          <w:p>
            <w:pPr>
              <w:spacing w:before="0" w:after="40"/>
            </w:pPr>
            <w:r>
              <w:rPr>
                <w:sz w:val="17"/>
              </w:rPr>
              <w:t>5.176</w:t>
            </w:r>
          </w:p>
        </w:tc>
        <w:tc>
          <w:tcPr>
            <w:tcW w:type="dxa" w:w="5560"/>
            <w:vAlign w:val="center"/>
          </w:tcPr>
          <w:p>
            <w:pPr>
              <w:spacing w:before="0" w:after="40"/>
            </w:pPr>
            <w:r>
              <w:rPr>
                <w:sz w:val="17"/>
              </w:rPr>
              <w:t>Run the confirmed steroid turn-off action.</w:t>
            </w:r>
          </w:p>
        </w:tc>
      </w:tr>
      <w:tr>
        <w:tc>
          <w:tcPr>
            <w:tcW w:type="dxa" w:w="2300"/>
            <w:vAlign w:val="center"/>
          </w:tcPr>
          <w:p>
            <w:pPr>
              <w:spacing w:before="0" w:after="40"/>
            </w:pPr>
            <w:r>
              <w:rPr>
                <w:sz w:val="17"/>
              </w:rPr>
              <w:t>AnyDesk restart</w:t>
            </w:r>
          </w:p>
        </w:tc>
        <w:tc>
          <w:tcPr>
            <w:tcW w:type="dxa" w:w="1500"/>
            <w:vAlign w:val="center"/>
          </w:tcPr>
          <w:p>
            <w:pPr>
              <w:spacing w:before="0" w:after="40"/>
            </w:pPr>
            <w:r>
              <w:rPr>
                <w:sz w:val="17"/>
              </w:rPr>
              <w:t>5.178</w:t>
            </w:r>
          </w:p>
        </w:tc>
        <w:tc>
          <w:tcPr>
            <w:tcW w:type="dxa" w:w="5560"/>
            <w:vAlign w:val="center"/>
          </w:tcPr>
          <w:p>
            <w:pPr>
              <w:spacing w:before="0" w:after="40"/>
            </w:pPr>
            <w:r>
              <w:rPr>
                <w:sz w:val="17"/>
              </w:rPr>
              <w:t>Client writes an ADesk Note and uses a five-minute relay TT only if no real TT is active; otherwise Note-only transport preserves the real TT.</w:t>
            </w:r>
          </w:p>
        </w:tc>
      </w:tr>
      <w:tr>
        <w:tc>
          <w:tcPr>
            <w:tcW w:type="dxa" w:w="2300"/>
            <w:vAlign w:val="center"/>
          </w:tcPr>
          <w:p>
            <w:pPr>
              <w:spacing w:before="0" w:after="40"/>
            </w:pPr>
            <w:r>
              <w:rPr>
                <w:sz w:val="17"/>
              </w:rPr>
              <w:t>AnyDesk restart - local test</w:t>
            </w:r>
          </w:p>
        </w:tc>
        <w:tc>
          <w:tcPr>
            <w:tcW w:type="dxa" w:w="1500"/>
            <w:vAlign w:val="center"/>
          </w:tcPr>
          <w:p>
            <w:pPr>
              <w:spacing w:before="0" w:after="40"/>
            </w:pPr>
            <w:r>
              <w:rPr>
                <w:sz w:val="17"/>
              </w:rPr>
              <w:t>5.180</w:t>
            </w:r>
          </w:p>
        </w:tc>
        <w:tc>
          <w:tcPr>
            <w:tcW w:type="dxa" w:w="5560"/>
            <w:vAlign w:val="center"/>
          </w:tcPr>
          <w:p>
            <w:pPr>
              <w:spacing w:before="0" w:after="40"/>
            </w:pPr>
            <w:r>
              <w:rPr>
                <w:sz w:val="17"/>
              </w:rPr>
              <w:t>Local command test through the real receiver; no NS round-trip or relay TT.</w:t>
            </w:r>
          </w:p>
        </w:tc>
      </w:tr>
      <w:tr>
        <w:tc>
          <w:tcPr>
            <w:tcW w:type="dxa" w:w="2300"/>
            <w:vAlign w:val="center"/>
          </w:tcPr>
          <w:p>
            <w:pPr>
              <w:spacing w:before="0" w:after="40"/>
            </w:pPr>
            <w:r>
              <w:rPr>
                <w:sz w:val="17"/>
              </w:rPr>
              <w:t>Graph: UKF1</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UKF2</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calibration is already upstream and remains shown as on.</w:t>
            </w:r>
          </w:p>
        </w:tc>
      </w:tr>
      <w:tr>
        <w:tc>
          <w:tcPr>
            <w:tcW w:type="dxa" w:w="2300"/>
            <w:vAlign w:val="center"/>
          </w:tcPr>
          <w:p>
            <w:pPr>
              <w:spacing w:before="0" w:after="40"/>
            </w:pPr>
            <w:r>
              <w:rPr>
                <w:sz w:val="17"/>
              </w:rPr>
              <w:t>Graph: UKF3</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Graph5 panel</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panel toggle; optional BGL-only mode hides insulin activity and the three carb series.</w:t>
            </w:r>
          </w:p>
        </w:tc>
      </w:tr>
    </w:tbl>
    <w:p w14:paraId="5980403C" w14:textId="77777777" w:rsidR="003D38EE" w:rsidRDefault="00A44A8D">
      <w:pPr>
        <w:pStyle w:val="Heading1"/>
        <w:ind w:left="0"/>
      </w:pPr>
      <w:bookmarkStart w:id="37" w:name="sec037"/>
      <w:r>
        <w:rPr>
          <w:u w:val="single"/>
        </w:rPr>
        <w:t>9. GUI display changes</w:t>
      </w:r>
      <w:bookmarkEnd w:id="37"/>
    </w:p>
    <w:p w14:paraId="282D20EE" w14:textId="77777777" w:rsidR="003D38EE" w:rsidRDefault="00A44A8D">
      <w:pPr>
        <w:pStyle w:val="Heading2"/>
        <w:ind w:left="360"/>
      </w:pPr>
      <w:bookmarkStart w:id="38" w:name="sec038"/>
      <w:r>
        <w:t>a. Graph types and the triggers for each</w:t>
      </w:r>
      <w:bookmarkEnd w:id="38"/>
    </w:p>
    <w:p w14:paraId="665509D9" w14:textId="77777777" w:rsidR="003D38EE" w:rsidRDefault="00A44A8D">
      <w:pPr>
        <w:ind w:left="72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72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72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72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ind w:left="360"/>
      </w:pPr>
      <w:bookmarkStart w:id="39" w:name="sec039"/>
      <w:r>
        <w:lastRenderedPageBreak/>
        <w:t>b. Colour changes driven by AutoISF input</w:t>
      </w:r>
      <w:bookmarkEnd w:id="39"/>
    </w:p>
    <w:p w14:paraId="052ADA52" w14:textId="77777777" w:rsidR="003D38EE" w:rsidRDefault="00A44A8D">
      <w:pPr>
        <w:ind w:left="72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72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72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ind w:left="360"/>
      </w:pPr>
      <w:bookmarkStart w:id="40" w:name="sec040"/>
      <w:r>
        <w:t>c. Information shown on each graph</w:t>
      </w:r>
      <w:bookmarkEnd w:id="40"/>
    </w:p>
    <w:p w14:paraId="2F38D275" w14:textId="77777777" w:rsidR="003D38EE" w:rsidRDefault="00A44A8D">
      <w:pPr>
        <w:ind w:left="72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72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72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72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72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72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ind w:left="0"/>
      </w:pPr>
      <w:bookmarkStart w:id="45" w:name="sec10_progress_outcomes"/>
      <w:r>
        <w:rPr>
          <w:u w:val="single"/>
        </w:rPr>
        <w:t>10. Factors affecting progress and hypoglycaemia outcomes</w:t>
      </w:r>
      <w:bookmarkEnd w:id="45"/>
    </w:p>
    <w:p>
      <w:pPr>
        <w:pStyle w:val="Heading2"/>
        <w:ind w:left="360"/>
      </w:pPr>
      <w:bookmarkStart w:id="46" w:name="sec10_pod_age"/>
      <w:r>
        <w:t>a. Pod age and pump-type qualification</w:t>
      </w:r>
      <w:bookmarkEnd w:id="46"/>
    </w:p>
    <w:p>
      <w:pPr>
        <w:ind w:left="720"/>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ind w:left="360"/>
      </w:pPr>
      <w:bookmarkStart w:id="47" w:name="sec10_bolus_hp"/>
      <w:r>
        <w:t>b. Projected HP at bolus-calculator initiation</w:t>
      </w:r>
      <w:bookmarkEnd w:id="47"/>
    </w:p>
    <w:p>
      <w:pPr>
        <w:ind w:left="720"/>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ind w:left="360"/>
      </w:pPr>
      <w:bookmarkStart w:id="48" w:name="sec10_recent50_progress"/>
      <w:r>
        <w:t>c. Effects of 50recent, a 50% profile and a hypo temporary target on progress</w:t>
      </w:r>
      <w:bookmarkEnd w:id="48"/>
    </w:p>
    <w:p>
      <w:pPr>
        <w:ind w:left="720"/>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ind w:left="360"/>
      </w:pPr>
      <w:bookmarkStart w:id="49" w:name="sec10_hypo_causes_outcomes"/>
      <w:r>
        <w:t>d. Hypoglycaemia warning causes and outcomes</w:t>
      </w:r>
      <w:bookmarkEnd w:id="49"/>
    </w:p>
    <w:p>
      <w:pPr>
        <w:ind w:left="720"/>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ind w:left="0"/>
      </w:pPr>
      <w:bookmarkStart w:id="50" w:name="sec11_ukf"/>
      <w:r>
        <w:rPr>
          <w:u w:val="single"/>
        </w:rPr>
        <w:t>11. UKF: formulas, roles and initial comparison assessment</w:t>
      </w:r>
      <w:bookmarkEnd w:id="50"/>
    </w:p>
    <w:p>
      <w:pPr>
        <w:pStyle w:val="Heading2"/>
        <w:ind w:left="360"/>
      </w:pPr>
      <w:bookmarkStart w:id="51" w:name="sec11_ukf_roles"/>
      <w:r>
        <w:t>a. The UKF variants and where each is used</w:t>
      </w:r>
      <w:bookmarkEnd w:id="51"/>
    </w:p>
    <w:p>
      <w:pPr>
        <w:ind w:left="720"/>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ind w:left="360"/>
      </w:pPr>
      <w:bookmarkStart w:id="52" w:name="sec11_ukf_formula"/>
      <w:r>
        <w:t>b. Formula and full explanation of each</w:t>
      </w:r>
      <w:bookmarkEnd w:id="52"/>
    </w:p>
    <w:p>
      <w:pPr>
        <w:ind w:left="720"/>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ind w:left="720"/>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ind w:left="720"/>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ind w:left="720"/>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ind w:left="720"/>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ind w:left="360"/>
      </w:pPr>
      <w:bookmarkStart w:id="53" w:name="sec11_ukf_progress"/>
      <w:r>
        <w:t>c. Progress of the initial UKF-check assessment and earliest-change question</w:t>
      </w:r>
      <w:bookmarkEnd w:id="53"/>
    </w:p>
    <w:p>
      <w:pPr>
        <w:ind w:left="720"/>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ind w:left="720"/>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ind w:left="720"/>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ind w:left="0"/>
      </w:pPr>
      <w:bookmarkStart w:id="54" w:name="sec12_battery"/>
      <w:r>
        <w:rPr>
          <w:u w:val="single"/>
        </w:rPr>
        <w:t>12. Battery 1% automation and profile recovery</w:t>
      </w:r>
      <w:bookmarkEnd w:id="54"/>
    </w:p>
    <w:p>
      <w:pPr>
        <w:pStyle w:val="Heading2"/>
        <w:ind w:left="360"/>
      </w:pPr>
      <w:bookmarkStart w:id="55" w:name="sec12_battery_low"/>
      <w:r>
        <w:t>a. Battery1pc: action at 1% or below</w:t>
      </w:r>
      <w:bookmarkEnd w:id="55"/>
    </w:p>
    <w:p>
      <w:pPr>
        <w:ind w:left="720"/>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ind w:left="360"/>
      </w:pPr>
      <w:bookmarkStart w:id="56" w:name="sec12_battery_recovery"/>
      <w:r>
        <w:t>b. BatteryOver1pc: restoration after recovery</w:t>
      </w:r>
      <w:bookmarkEnd w:id="56"/>
    </w:p>
    <w:p>
      <w:pPr>
        <w:ind w:left="720"/>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ind w:left="0"/>
      </w:pPr>
      <w:bookmarkStart w:id="41" w:name="sec041"/>
      <w:r>
        <w:rPr>
          <w:u w:val="single"/>
        </w:rP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ind w:left="360"/>
      </w:pPr>
      <w:bookmarkStart w:id="42" w:name="sec042"/>
      <w:r>
        <w:t>a. Version tag &amp; build identification</w:t>
      </w:r>
      <w:bookmarkEnd w:id="42"/>
    </w:p>
    <w:p w14:paraId="3C93EAA7" w14:textId="77777777" w:rsidR="00F16DB1" w:rsidRDefault="001E64C6">
      <w:pPr>
        <w:spacing w:after="160"/>
        <w:ind w:left="72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ind w:left="360"/>
      </w:pPr>
      <w:bookmarkStart w:id="43" w:name="sec043"/>
      <w:r>
        <w:t>b. Per-device backup/export folder naming</w:t>
      </w:r>
      <w:bookmarkEnd w:id="43"/>
    </w:p>
    <w:p w14:paraId="5B83DFEE" w14:textId="77777777" w:rsidR="00B827B4" w:rsidRDefault="001E64C6">
      <w:pPr>
        <w:spacing w:after="160"/>
        <w:ind w:left="72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720"/>
      </w:pPr>
    </w:p>
    <w:p w14:paraId="5F7DA396" w14:textId="77777777" w:rsidR="003D38EE" w:rsidRDefault="00A44A8D">
      <w:pPr>
        <w:pStyle w:val="Heading1"/>
        <w:ind w:left="0"/>
      </w:pPr>
      <w:bookmarkStart w:id="44" w:name="appendix_b_contents"/>
      <w:r>
        <w:rPr>
          <w:u w:val="single"/>
        </w:rP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pPr>
        <w:spacing w:after="40"/>
        <w:ind w:left="360"/>
      </w:pPr>
      <w:hyperlink w:anchor="sec8_list_tt_catalogue">
        <w:r>
          <w:rPr>
            <w:color w:val="0563C1"/>
            <w:u w:val="single"/>
          </w:rPr>
          <w:t>d. List 1 and List 2 temporary-target command catalogue</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p>
      <w:bookmarkStart w:id="12" w:name="TOC"/>
      <w:pPr>
        <w:pStyle w:val="Heading1"/>
      </w:pPr>
      <w:r>
        <w:t>Contents</w:t>
      </w:r>
      <w:bookmarkEnd w:id="12"/>
    </w:p>
    <w:p>
      <w:hyperlink w:anchor="sec001">
        <w:r>
          <w:rPr>
            <w:rStyle w:val="Hyperlink"/>
          </w:rPr>
          <w:t>Auto ISF — top level</w:t>
        </w:r>
      </w:hyperlink>
    </w:p>
    <w:p>
      <w:hyperlink w:anchor="sec002">
        <w:r>
          <w:rPr>
            <w:rStyle w:val="Hyperlink"/>
          </w:rPr>
          <w:t>Activity Monitor</w:t>
        </w:r>
      </w:hyperlink>
    </w:p>
    <w:p>
      <w:hyperlink w:anchor="sec003">
        <w:r>
          <w:rPr>
            <w:rStyle w:val="Hyperlink"/>
          </w:rPr>
          <w:t>AutoISF settings → Libre special settings</w:t>
        </w:r>
      </w:hyperlink>
    </w:p>
    <w:p>
      <w:hyperlink w:anchor="sec004">
        <w:r>
          <w:rPr>
            <w:rStyle w:val="Hyperlink"/>
          </w:rPr>
          <w:t>AutoISF settings → weight system</w:t>
        </w:r>
      </w:hyperlink>
    </w:p>
    <w:p>
      <w:hyperlink w:anchor="sec005">
        <w:r>
          <w:rPr>
            <w:rStyle w:val="Hyperlink"/>
          </w:rPr>
          <w:t>AutoISF settings → SMB delivery settings</w:t>
        </w:r>
      </w:hyperlink>
    </w:p>
    <w:p>
      <w:hyperlink w:anchor="sec006">
        <w:r>
          <w:rPr>
            <w:rStyle w:val="Hyperlink"/>
          </w:rPr>
          <w:t>Notes</w:t>
        </w:r>
      </w:hyperlink>
    </w:p>
    <w:p>
      <w:hyperlink w:anchor="sec007">
        <w:r>
          <w:rPr>
            <w:rStyle w:val="Hyperlink"/>
          </w:rPr>
          <w:t>Not Yet In This Snapshot (added after build 650)</w:t>
        </w:r>
      </w:hyperlink>
    </w:p>
    <w:p>
      <w:hyperlink w:anchor="sec008">
        <w:r>
          <w:rPr>
            <w:rStyle w:val="Hyperlink"/>
          </w:rPr>
          <w:t>Related Settings Present In The Export, Outside This Document's Tables</w:t>
        </w:r>
      </w:hyperlink>
    </w:p>
    <w:p>
      <w:hyperlink w:anchor="sec009">
        <w:r>
          <w:rPr>
            <w:rStyle w:val="Hyperlink"/>
          </w:rPr>
          <w:t>Internal / Non-Setting Keys In This Export</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7C9D3B8F" w14:textId="77777777" w:rsidR="00320BB2" w:rsidRDefault="009977A1">
      <w:bookmarkStart w:id="1" w:name="Top"/>
      <w:pPr>
        <w:pStyle w:val="Title"/>
        <w:spacing w:after="100"/>
      </w:pPr>
      <w:bookmarkStart w:id="0" w:name="here"/>
      <w:bookmarkEnd w:id="0"/>
      <w:proofErr w:type="spellStart"/>
      <w:r>
        <w:t>AutoISF</w:t>
      </w:r>
      <w:proofErr w:type="spellEnd"/>
      <w:r>
        <w:t xml:space="preserve"> Settings Reference</w:t>
      </w:r>
      <w:bookmarkEnd w:id="1"/>
    </w:p>
    <w:p w14:paraId="3702E326" w14:textId="77777777" w:rsidR="00320BB2" w:rsidRDefault="009977A1">
      <w:pPr>
        <w:spacing w:after="300"/>
      </w:pPr>
      <w:r>
        <w:rPr>
          <w:i/>
          <w:iCs/>
        </w:rPr>
        <w:t>UKF3426 — every GUI setting under Auto ISF, in menu order, with default values, ranges, and detailed usage notes.</w:t>
      </w:r>
    </w:p>
    <w:p w14:paraId="04D0E893" w14:textId="77777777" w:rsidR="00320BB2" w:rsidRDefault="009977A1">
      <w:pPr>
        <w:spacing w:after="200"/>
      </w:pPr>
      <w:r>
        <w:rPr>
          <w:i/>
          <w:iCs/>
        </w:rPr>
        <w:t xml:space="preserve">Generated directly from </w:t>
      </w:r>
      <w:proofErr w:type="spellStart"/>
      <w:r>
        <w:rPr>
          <w:i/>
          <w:iCs/>
        </w:rPr>
        <w:t>OpenAPSAutoISFPlugin.kt's</w:t>
      </w:r>
      <w:proofErr w:type="spellEnd"/>
      <w:r>
        <w:rPr>
          <w:i/>
          <w:iCs/>
        </w:rPr>
        <w:t xml:space="preserve"> </w:t>
      </w:r>
      <w:proofErr w:type="spellStart"/>
      <w:proofErr w:type="gramStart"/>
      <w:r>
        <w:rPr>
          <w:i/>
          <w:iCs/>
        </w:rPr>
        <w:t>addPreferenceScreen</w:t>
      </w:r>
      <w:proofErr w:type="spellEnd"/>
      <w:r>
        <w:rPr>
          <w:i/>
          <w:iCs/>
        </w:rPr>
        <w:t>(</w:t>
      </w:r>
      <w:proofErr w:type="gramEnd"/>
      <w:r>
        <w:rPr>
          <w:i/>
          <w:iCs/>
        </w:rPr>
        <w:t xml:space="preserve">) (the actual on-device menu structure), the matching key definitions in core/keys/ (defaults and ranges), and cross-referenced against where each setting is </w:t>
      </w:r>
      <w:proofErr w:type="gramStart"/>
      <w:r>
        <w:rPr>
          <w:i/>
          <w:iCs/>
        </w:rPr>
        <w:t>actually consumed</w:t>
      </w:r>
      <w:proofErr w:type="gramEnd"/>
      <w:r>
        <w:rPr>
          <w:i/>
          <w:iCs/>
        </w:rPr>
        <w:t xml:space="preserve"> in the codebase (</w:t>
      </w:r>
      <w:proofErr w:type="spellStart"/>
      <w:r>
        <w:rPr>
          <w:i/>
          <w:iCs/>
        </w:rPr>
        <w:t>DetermineBasalAutoISF.kt</w:t>
      </w:r>
      <w:proofErr w:type="spellEnd"/>
      <w:r>
        <w:rPr>
          <w:i/>
          <w:iCs/>
        </w:rPr>
        <w:t xml:space="preserve">, related automations) for the "detailed description" column. Scope: this fork's own </w:t>
      </w:r>
      <w:proofErr w:type="spellStart"/>
      <w:r>
        <w:rPr>
          <w:i/>
          <w:iCs/>
        </w:rPr>
        <w:t>AutoISF</w:t>
      </w:r>
      <w:proofErr w:type="spellEnd"/>
      <w:r>
        <w:rPr>
          <w:i/>
          <w:iCs/>
        </w:rPr>
        <w:t xml:space="preserve"> settings tree only, not the whole stock </w:t>
      </w:r>
      <w:proofErr w:type="spellStart"/>
      <w:r>
        <w:rPr>
          <w:i/>
          <w:iCs/>
        </w:rPr>
        <w:t>AndroidAPS</w:t>
      </w:r>
      <w:proofErr w:type="spellEnd"/>
      <w:r>
        <w:rPr>
          <w:i/>
          <w:iCs/>
        </w:rPr>
        <w:t xml:space="preserve"> preference set.</w:t>
      </w:r>
    </w:p>
    <w:p w14:paraId="5D76F29E" w14:textId="77777777" w:rsidR="00320BB2" w:rsidRDefault="009977A1">
      <w:bookmarkStart w:id="3" w:name="sec001"/>
      <w:pPr>
        <w:pStyle w:val="Heading1"/>
        <w:spacing w:before="400" w:after="200"/>
      </w:pPr>
      <w:r>
        <w:t>Auto ISF — top level</w:t>
      </w:r>
      <w:bookmarkEnd w:id="3"/>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01E6249D"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39BDE89A" w14:textId="77777777">
        <w:tc>
          <w:tcPr>
            <w:tcW w:w="2217" w:type="dxa"/>
            <w:tcMar>
              <w:top w:w="80" w:type="dxa"/>
              <w:left w:w="100" w:type="dxa"/>
              <w:bottom w:w="80" w:type="dxa"/>
              <w:right w:w="100" w:type="dxa"/>
            </w:tcMar>
            <w:vAlign w:val="center"/>
          </w:tcPr>
          <w:p w14:paraId="75173EB3" w14:textId="77777777" w:rsidR="00320BB2" w:rsidRDefault="009977A1">
            <w:r>
              <w:rPr>
                <w:b/>
                <w:bCs/>
                <w:color w:val="000000"/>
                <w:sz w:val="18"/>
                <w:szCs w:val="18"/>
              </w:rPr>
              <w:t>MJ Kotlin buttons</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"Start MJ" / "Restore MJ" button on the Overview screen instead of requiring the native Automation tab.</w:t>
              <w:br/>
              <w:t>MJ ("Morning Jog"-style state machine, per this fork's naming) is a coded state that several other automations key off (checkAutomationState("MJ", ...)) to gate profile-switch and boost behaviour.</w:t>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r>
              <w:t>on</w:t>
            </w:r>
          </w:p>
        </w:tc>
      </w:tr>
      <w:tr w:rsidR="00320BB2" w14:paraId="754B11B9" w14:textId="77777777">
        <w:tc>
          <w:tcPr>
            <w:tcW w:w="2217" w:type="dxa"/>
            <w:tcMar>
              <w:top w:w="80" w:type="dxa"/>
              <w:left w:w="100" w:type="dxa"/>
              <w:bottom w:w="80" w:type="dxa"/>
              <w:right w:w="100" w:type="dxa"/>
            </w:tcMar>
            <w:vAlign w:val="center"/>
          </w:tcPr>
          <w:p w14:paraId="45912A8C" w14:textId="77777777" w:rsidR="00320BB2" w:rsidRDefault="009977A1">
            <w:r>
              <w:rPr>
                <w:b/>
                <w:bCs/>
                <w:color w:val="000000"/>
                <w:sz w:val="18"/>
                <w:szCs w:val="18"/>
              </w:rPr>
              <w:t>Steroid Kotlin button</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"Steroids ON" button on Overview instead of requiring the native Automation entry.</w:t>
              <w:br/>
              <w:t>Feeds the steroid-adjustment automations (which progressively raise iobTH/ISF stringency while steroids are active) via the same EventSteroidUserAction path the native automation trigger would use.</w:t>
              <w:br/>
              <w:t>UI convenience only — the steroid automations themselves are controlled elsewhere.</w:t>
            </w:r>
          </w:p>
        </w:tc>
        <w:tc>
          <w:tcPr>
            <w:tcW w:w="1513" w:type="dxa"/>
            <w:tcMar>
              <w:top w:w="80" w:type="dxa"/>
              <w:left w:w="100" w:type="dxa"/>
              <w:bottom w:w="80" w:type="dxa"/>
              <w:right w:w="100" w:type="dxa"/>
            </w:tcMar>
            <w:vAlign w:val="center"/>
          </w:tcPr>
          <w:p>
            <w:r>
              <w:t>on</w:t>
            </w:r>
          </w:p>
        </w:tc>
      </w:tr>
      <w:tr w:rsidR="00320BB2" w14:paraId="1C28D2F1" w14:textId="77777777">
        <w:tc>
          <w:tcPr>
            <w:tcW w:w="2217" w:type="dxa"/>
            <w:tcMar>
              <w:top w:w="80" w:type="dxa"/>
              <w:left w:w="100" w:type="dxa"/>
              <w:bottom w:w="80" w:type="dxa"/>
              <w:right w:w="100" w:type="dxa"/>
            </w:tcMar>
            <w:vAlign w:val="center"/>
          </w:tcPr>
          <w:p w14:paraId="5BF3D673" w14:textId="77777777" w:rsidR="00320BB2" w:rsidRDefault="009977A1">
            <w:r>
              <w:rPr>
                <w:b/>
                <w:bCs/>
                <w:color w:val="000000"/>
                <w:sz w:val="18"/>
                <w:szCs w:val="18"/>
              </w:rPr>
              <w:t>Half basal exercise target</w:t>
            </w:r>
          </w:p>
        </w:tc>
        <w:tc>
          <w:tcPr>
            <w:tcW w:w="2016" w:type="dxa"/>
            <w:tcMar>
              <w:top w:w="80" w:type="dxa"/>
              <w:left w:w="100" w:type="dxa"/>
              <w:bottom w:w="80" w:type="dxa"/>
              <w:right w:w="100" w:type="dxa"/>
            </w:tcMar>
            <w:vAlign w:val="center"/>
          </w:tcPr>
          <w:p>
            <w:r>
              <w:t>160 (120–200) [number (unit-aware)]</w:t>
            </w:r>
          </w:p>
        </w:tc>
        <w:tc>
          <w:tcPr>
            <w:tcW w:w="4334" w:type="dxa"/>
            <w:tcMar>
              <w:top w:w="80" w:type="dxa"/>
              <w:left w:w="100" w:type="dxa"/>
              <w:bottom w:w="80" w:type="dxa"/>
              <w:right w:w="100" w:type="dxa"/>
            </w:tcMar>
            <w:vAlign w:val="center"/>
          </w:tcPr>
          <w:p>
            <w:r>
              <w:t>Defines the exercise-sensitivity curve's steepness: at this TT level (with "High temptarget raises sensitivity" on), basal runs at exactly 50%.</w:t>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r>
              <w:t>124 mg/dL / 6.90 mmol/L</w:t>
            </w:r>
          </w:p>
        </w:tc>
      </w:tr>
    </w:tbl>
    <w:p w14:paraId="65313686" w14:textId="77777777" w:rsidR="00320BB2" w:rsidRDefault="00320BB2">
      <w:pPr>
        <w:spacing w:after="200"/>
      </w:pPr>
    </w:p>
    <w:p w14:paraId="2C059DC1" w14:textId="77777777" w:rsidR="00320BB2" w:rsidRDefault="00320BB2">
      <w:pPr>
        <w:spacing w:after="200"/>
      </w:pPr>
    </w:p>
    <w:p w14:paraId="6E81BE3E" w14:textId="77777777" w:rsidR="00320BB2" w:rsidRDefault="009977A1">
      <w:bookmarkStart w:id="4" w:name="sec002"/>
      <w:pPr>
        <w:pStyle w:val="Heading1"/>
        <w:spacing w:before="400" w:after="200"/>
      </w:pPr>
      <w:r>
        <w:t>Activity Monitor</w:t>
      </w:r>
      <w:bookmarkEnd w:id="4"/>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305E147"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2918AA" w14:textId="77777777">
        <w:tc>
          <w:tcPr>
            <w:tcW w:w="2217" w:type="dxa"/>
            <w:tcMar>
              <w:top w:w="80" w:type="dxa"/>
              <w:left w:w="100" w:type="dxa"/>
              <w:bottom w:w="80" w:type="dxa"/>
              <w:right w:w="100" w:type="dxa"/>
            </w:tcMar>
            <w:vAlign w:val="center"/>
          </w:tcPr>
          <w:p w14:paraId="63A02234" w14:textId="77777777" w:rsidR="00320BB2" w:rsidRDefault="009977A1">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r>
              <w:t>Not in snapshot</w:t>
            </w:r>
          </w:p>
        </w:tc>
      </w:tr>
      <w:tr w:rsidR="00320BB2" w14:paraId="5CBAC2CB" w14:textId="77777777">
        <w:tc>
          <w:tcPr>
            <w:tcW w:w="2217" w:type="dxa"/>
            <w:tcMar>
              <w:top w:w="80" w:type="dxa"/>
              <w:left w:w="100" w:type="dxa"/>
              <w:bottom w:w="80" w:type="dxa"/>
              <w:right w:w="100" w:type="dxa"/>
            </w:tcMar>
            <w:vAlign w:val="center"/>
          </w:tcPr>
          <w:p w14:paraId="0DA4017C" w14:textId="77777777" w:rsidR="00320BB2" w:rsidRDefault="009977A1">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Same idea for inactivity's default 10–20% contribution. 0.0 disables just the inactivity side.</w:t>
            </w:r>
          </w:p>
        </w:tc>
        <w:tc>
          <w:tcPr>
            <w:tcW w:w="1513" w:type="dxa"/>
            <w:tcMar>
              <w:top w:w="80" w:type="dxa"/>
              <w:left w:w="100" w:type="dxa"/>
              <w:bottom w:w="80" w:type="dxa"/>
              <w:right w:w="100" w:type="dxa"/>
            </w:tcMar>
            <w:vAlign w:val="center"/>
          </w:tcPr>
          <w:p>
            <w:r>
              <w:t>Not in snapshot</w:t>
            </w:r>
          </w:p>
        </w:tc>
      </w:tr>
    </w:tbl>
    <w:p w14:paraId="03CFC549" w14:textId="77777777" w:rsidR="00320BB2" w:rsidRDefault="00320BB2">
      <w:pPr>
        <w:spacing w:after="200"/>
      </w:pPr>
    </w:p>
    <w:p w14:paraId="54D02556" w14:textId="77777777" w:rsidR="00320BB2" w:rsidRDefault="009977A1">
      <w:bookmarkStart w:id="5" w:name="sec003"/>
      <w:pPr>
        <w:pStyle w:val="Heading1"/>
        <w:spacing w:before="400" w:after="200"/>
      </w:pPr>
      <w:proofErr w:type="spellStart"/>
      <w:r>
        <w:t>AutoISF</w:t>
      </w:r>
      <w:proofErr w:type="spellEnd"/>
      <w:r>
        <w:t xml:space="preserve"> settings → Libre special settings</w:t>
      </w:r>
      <w:bookmarkEnd w:id="5"/>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1DDA9A1"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7D36A26" w14:textId="77777777">
        <w:tc>
          <w:tcPr>
            <w:tcW w:w="2217" w:type="dxa"/>
            <w:tcMar>
              <w:top w:w="80" w:type="dxa"/>
              <w:left w:w="100" w:type="dxa"/>
              <w:bottom w:w="80" w:type="dxa"/>
              <w:right w:w="100" w:type="dxa"/>
            </w:tcMar>
            <w:vAlign w:val="center"/>
          </w:tcPr>
          <w:p w14:paraId="5FC184DD" w14:textId="77777777" w:rsidR="00320BB2" w:rsidRDefault="009977A1">
            <w:r>
              <w:rPr>
                <w:b/>
                <w:bCs/>
                <w:color w:val="000000"/>
                <w:sz w:val="18"/>
                <w:szCs w:val="18"/>
              </w:rPr>
              <w:t>Offset of Libre calibration versus finger (</w:t>
            </w:r>
            <w:proofErr w:type="spellStart"/>
            <w:r>
              <w:rPr>
                <w:b/>
                <w:bCs/>
                <w:color w:val="000000"/>
                <w:sz w:val="18"/>
                <w:szCs w:val="18"/>
              </w:rPr>
              <w:t>fslCal_Offset</w:t>
            </w:r>
            <w:proofErr w:type="spellEnd"/>
            <w:r>
              <w:rPr>
                <w:b/>
                <w:bCs/>
                <w:color w:val="000000"/>
                <w:sz w:val="18"/>
                <w:szCs w:val="18"/>
              </w:rPr>
              <w:t>)</w:t>
            </w:r>
          </w:p>
        </w:tc>
        <w:tc>
          <w:tcPr>
            <w:tcW w:w="2016" w:type="dxa"/>
            <w:tcMar>
              <w:top w:w="80" w:type="dxa"/>
              <w:left w:w="100" w:type="dxa"/>
              <w:bottom w:w="80" w:type="dxa"/>
              <w:right w:w="100" w:type="dxa"/>
            </w:tcMar>
            <w:vAlign w:val="center"/>
          </w:tcPr>
          <w:p>
            <w:r>
              <w:t>0.0 (-50.0–50.0) [number]</w:t>
            </w:r>
          </w:p>
        </w:tc>
        <w:tc>
          <w:tcPr>
            <w:tcW w:w="4334" w:type="dxa"/>
            <w:tcMar>
              <w:top w:w="80" w:type="dxa"/>
              <w:left w:w="100" w:type="dxa"/>
              <w:bottom w:w="80" w:type="dxa"/>
              <w:right w:w="100" w:type="dxa"/>
            </w:tcMar>
            <w:vAlign w:val="center"/>
          </w:tcPr>
          <w:p>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r>
              <w:t>1.35</w:t>
            </w:r>
          </w:p>
        </w:tc>
      </w:tr>
      <w:tr w:rsidR="00320BB2" w14:paraId="38E9CABE" w14:textId="77777777">
        <w:tc>
          <w:tcPr>
            <w:tcW w:w="2217" w:type="dxa"/>
            <w:tcMar>
              <w:top w:w="80" w:type="dxa"/>
              <w:left w:w="100" w:type="dxa"/>
              <w:bottom w:w="80" w:type="dxa"/>
              <w:right w:w="100" w:type="dxa"/>
            </w:tcMar>
            <w:vAlign w:val="center"/>
          </w:tcPr>
          <w:p w14:paraId="549BD5E5" w14:textId="77777777" w:rsidR="00320BB2" w:rsidRDefault="009977A1">
            <w:r>
              <w:rPr>
                <w:b/>
                <w:bCs/>
                <w:color w:val="000000"/>
                <w:sz w:val="18"/>
                <w:szCs w:val="18"/>
              </w:rPr>
              <w:t>Slope of Libre calibration versus finger (</w:t>
            </w:r>
            <w:proofErr w:type="spellStart"/>
            <w:r>
              <w:rPr>
                <w:b/>
                <w:bCs/>
                <w:color w:val="000000"/>
                <w:sz w:val="18"/>
                <w:szCs w:val="18"/>
              </w:rPr>
              <w:t>fslCal_Slope</w:t>
            </w:r>
            <w:proofErr w:type="spellEnd"/>
            <w:r>
              <w:rPr>
                <w:b/>
                <w:bCs/>
                <w:color w:val="000000"/>
                <w:sz w:val="18"/>
                <w:szCs w:val="18"/>
              </w:rPr>
              <w:t>)</w:t>
            </w:r>
          </w:p>
        </w:tc>
        <w:tc>
          <w:tcPr>
            <w:tcW w:w="2016" w:type="dxa"/>
            <w:tcMar>
              <w:top w:w="80" w:type="dxa"/>
              <w:left w:w="100" w:type="dxa"/>
              <w:bottom w:w="80" w:type="dxa"/>
              <w:right w:w="100" w:type="dxa"/>
            </w:tcMar>
            <w:vAlign w:val="center"/>
          </w:tcPr>
          <w:p>
            <w:r>
              <w:t>1.0 (0.5–1.5) [number]</w:t>
            </w:r>
          </w:p>
        </w:tc>
        <w:tc>
          <w:tcPr>
            <w:tcW w:w="4334" w:type="dxa"/>
            <w:tcMar>
              <w:top w:w="80" w:type="dxa"/>
              <w:left w:w="100" w:type="dxa"/>
              <w:bottom w:w="80" w:type="dxa"/>
              <w:right w:w="100" w:type="dxa"/>
            </w:tcMar>
            <w:vAlign w:val="center"/>
          </w:tcPr>
          <w:p>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r>
              <w:t>0.74</w:t>
            </w:r>
          </w:p>
        </w:tc>
      </w:tr>
      <w:tr w:rsidR="00320BB2" w14:paraId="56194879" w14:textId="77777777">
        <w:tc>
          <w:tcPr>
            <w:tcW w:w="2217" w:type="dxa"/>
            <w:tcMar>
              <w:top w:w="80" w:type="dxa"/>
              <w:left w:w="100" w:type="dxa"/>
              <w:bottom w:w="80" w:type="dxa"/>
              <w:right w:w="100" w:type="dxa"/>
            </w:tcMar>
            <w:vAlign w:val="center"/>
          </w:tcPr>
          <w:p w14:paraId="7C13BA41" w14:textId="77777777" w:rsidR="00320BB2" w:rsidRDefault="009977A1">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r>
              <w:t>0.3 (0.1–1.0) [number]</w:t>
            </w:r>
          </w:p>
        </w:tc>
        <w:tc>
          <w:tcPr>
            <w:tcW w:w="4334" w:type="dxa"/>
            <w:tcMar>
              <w:top w:w="80" w:type="dxa"/>
              <w:left w:w="100" w:type="dxa"/>
              <w:bottom w:w="80" w:type="dxa"/>
              <w:right w:w="100" w:type="dxa"/>
            </w:tcMar>
            <w:vAlign w:val="center"/>
          </w:tcPr>
          <w:p>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r>
              <w:t>Not in snapshot</w:t>
            </w:r>
          </w:p>
        </w:tc>
      </w:tr>
      <w:tr w:rsidR="00320BB2" w14:paraId="0AC91486" w14:textId="77777777">
        <w:tc>
          <w:tcPr>
            <w:tcW w:w="2217" w:type="dxa"/>
            <w:tcMar>
              <w:top w:w="80" w:type="dxa"/>
              <w:left w:w="100" w:type="dxa"/>
              <w:bottom w:w="80" w:type="dxa"/>
              <w:right w:w="100" w:type="dxa"/>
            </w:tcMar>
            <w:vAlign w:val="center"/>
          </w:tcPr>
          <w:p w14:paraId="22FE234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slope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0.72 (0.5–1.5) [number]</w:t>
            </w:r>
          </w:p>
        </w:tc>
        <w:tc>
          <w:tcPr>
            <w:tcW w:w="4334" w:type="dxa"/>
            <w:tcMar>
              <w:top w:w="80" w:type="dxa"/>
              <w:left w:w="100" w:type="dxa"/>
              <w:bottom w:w="80" w:type="dxa"/>
              <w:right w:w="100" w:type="dxa"/>
            </w:tcMar>
            <w:vAlign w:val="center"/>
          </w:tcPr>
          <w:p>
            <w:r>
              <w:t>The baseline all of Aging-sensor calibration's tiers subtract from: −0.02 (mild, days 2-3 fresh / 11-13 aging), −0.04 (medium, day 1-2 fresh / 13-14 aging), −0.07 (extreme, day 0 fresh / 14-15 aging).</w:t>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r>
              <w:t>0.74</w:t>
            </w:r>
          </w:p>
        </w:tc>
      </w:tr>
      <w:tr w:rsidR="00320BB2" w14:paraId="75932E76" w14:textId="77777777">
        <w:tc>
          <w:tcPr>
            <w:tcW w:w="2217" w:type="dxa"/>
            <w:tcMar>
              <w:top w:w="80" w:type="dxa"/>
              <w:left w:w="100" w:type="dxa"/>
              <w:bottom w:w="80" w:type="dxa"/>
              <w:right w:w="100" w:type="dxa"/>
            </w:tcMar>
            <w:vAlign w:val="center"/>
          </w:tcPr>
          <w:p w14:paraId="5F25061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offset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1.4 (-50.0–50.0) [number]</w:t>
            </w:r>
          </w:p>
        </w:tc>
        <w:tc>
          <w:tcPr>
            <w:tcW w:w="4334" w:type="dxa"/>
            <w:tcMar>
              <w:top w:w="80" w:type="dxa"/>
              <w:left w:w="100" w:type="dxa"/>
              <w:bottom w:w="80" w:type="dxa"/>
              <w:right w:w="100" w:type="dxa"/>
            </w:tcMar>
            <w:vAlign w:val="center"/>
          </w:tcPr>
          <w:p>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r>
              <w:t>1.35</w:t>
            </w:r>
          </w:p>
        </w:tc>
      </w:tr>
    </w:tbl>
    <w:p w14:paraId="2A6A6AC4" w14:textId="77777777" w:rsidR="00320BB2" w:rsidRDefault="00320BB2">
      <w:pPr>
        <w:spacing w:after="200"/>
      </w:pPr>
    </w:p>
    <w:p w14:paraId="4F8EAB75" w14:textId="77777777" w:rsidR="00320BB2" w:rsidRDefault="009977A1">
      <w:bookmarkStart w:id="6" w:name="sec004"/>
      <w:pPr>
        <w:pStyle w:val="Heading1"/>
        <w:spacing w:before="400" w:after="200"/>
      </w:pPr>
      <w:proofErr w:type="spellStart"/>
      <w:r>
        <w:t>AutoISF</w:t>
      </w:r>
      <w:proofErr w:type="spellEnd"/>
      <w:r>
        <w:t xml:space="preserve"> settings → weight system</w:t>
      </w:r>
      <w:bookmarkEnd w:id="6"/>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F3ED5A5"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ED5725A" w14:textId="77777777" w:rsidTr="00107A84">
        <w:tc>
          <w:tcPr>
            <w:tcW w:w="2217" w:type="dxa"/>
            <w:tcMar>
              <w:top w:w="80" w:type="dxa"/>
              <w:left w:w="100" w:type="dxa"/>
              <w:bottom w:w="80" w:type="dxa"/>
              <w:right w:w="100" w:type="dxa"/>
            </w:tcMar>
            <w:vAlign w:val="center"/>
          </w:tcPr>
          <w:p w14:paraId="58971C31" w14:textId="77777777" w:rsidR="00320BB2" w:rsidRDefault="009977A1">
            <w:r>
              <w:rPr>
                <w:b/>
                <w:bCs/>
                <w:color w:val="000000"/>
                <w:sz w:val="18"/>
                <w:szCs w:val="18"/>
              </w:rPr>
              <w:t xml:space="preserve">Max </w:t>
            </w:r>
            <w:proofErr w:type="spellStart"/>
            <w:r>
              <w:rPr>
                <w:b/>
                <w:bCs/>
                <w:color w:val="000000"/>
                <w:sz w:val="18"/>
                <w:szCs w:val="18"/>
              </w:rPr>
              <w:t>autoISF</w:t>
            </w:r>
            <w:proofErr w:type="spellEnd"/>
            <w:r>
              <w:rPr>
                <w:b/>
                <w:bCs/>
                <w:color w:val="000000"/>
                <w:sz w:val="18"/>
                <w:szCs w:val="18"/>
              </w:rPr>
              <w:t xml:space="preserve"> ratio (</w:t>
            </w:r>
            <w:proofErr w:type="spellStart"/>
            <w:r>
              <w:rPr>
                <w:b/>
                <w:bCs/>
                <w:color w:val="000000"/>
                <w:sz w:val="18"/>
                <w:szCs w:val="18"/>
              </w:rPr>
              <w:t>autoISF_max</w:t>
            </w:r>
            <w:proofErr w:type="spellEnd"/>
            <w:r>
              <w:rPr>
                <w:b/>
                <w:bCs/>
                <w:color w:val="000000"/>
                <w:sz w:val="18"/>
                <w:szCs w:val="18"/>
              </w:rPr>
              <w:t>)</w:t>
            </w:r>
          </w:p>
        </w:tc>
        <w:tc>
          <w:tcPr>
            <w:tcW w:w="2016" w:type="dxa"/>
            <w:tcMar>
              <w:top w:w="80" w:type="dxa"/>
              <w:left w:w="100" w:type="dxa"/>
              <w:bottom w:w="80" w:type="dxa"/>
              <w:right w:w="100" w:type="dxa"/>
            </w:tcMar>
            <w:vAlign w:val="center"/>
          </w:tcPr>
          <w:p>
            <w:r>
              <w:t>1.0 (1.0–3.0) [number]</w:t>
            </w:r>
          </w:p>
        </w:tc>
        <w:tc>
          <w:tcPr>
            <w:tcW w:w="4334" w:type="dxa"/>
            <w:tcMar>
              <w:top w:w="80" w:type="dxa"/>
              <w:left w:w="100" w:type="dxa"/>
              <w:bottom w:w="80" w:type="dxa"/>
              <w:right w:w="100" w:type="dxa"/>
            </w:tcMar>
            <w:vAlign w:val="center"/>
          </w:tcPr>
          <w:p>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r>
              <w:t>2.60</w:t>
            </w:r>
          </w:p>
        </w:tc>
      </w:tr>
      <w:tr w:rsidR="00320BB2" w14:paraId="7618F6BA" w14:textId="77777777" w:rsidTr="00107A84">
        <w:tc>
          <w:tcPr>
            <w:tcW w:w="2217" w:type="dxa"/>
            <w:tcMar>
              <w:top w:w="80" w:type="dxa"/>
              <w:left w:w="100" w:type="dxa"/>
              <w:bottom w:w="80" w:type="dxa"/>
              <w:right w:w="100" w:type="dxa"/>
            </w:tcMar>
            <w:vAlign w:val="center"/>
          </w:tcPr>
          <w:p w14:paraId="2D90A231" w14:textId="77777777" w:rsidR="00320BB2" w:rsidRDefault="009977A1">
            <w:r>
              <w:rPr>
                <w:b/>
                <w:bCs/>
                <w:color w:val="000000"/>
                <w:sz w:val="18"/>
                <w:szCs w:val="18"/>
              </w:rPr>
              <w:t>Weight while BG accelerates (</w:t>
            </w:r>
            <w:proofErr w:type="spellStart"/>
            <w:r>
              <w:rPr>
                <w:b/>
                <w:bCs/>
                <w:color w:val="000000"/>
                <w:sz w:val="18"/>
                <w:szCs w:val="18"/>
              </w:rPr>
              <w:t>bgAccel_ISF_weight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(0.0–1.0) [number]</w:t>
            </w:r>
          </w:p>
        </w:tc>
        <w:tc>
          <w:tcPr>
            <w:tcW w:w="4334" w:type="dxa"/>
            <w:tcMar>
              <w:top w:w="80" w:type="dxa"/>
              <w:left w:w="100" w:type="dxa"/>
              <w:bottom w:w="80" w:type="dxa"/>
              <w:right w:w="100" w:type="dxa"/>
            </w:tcMar>
            <w:vAlign w:val="center"/>
          </w:tcPr>
          <w:p>
            <w:r>
              <w:t>Strengthens ISF while glucose is accelerating (rate-of-rise increasing), which potentially increases SMB sizing. 0.0 disables this contribution.</w:t>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r>
              <w:t>0.50</w:t>
            </w:r>
          </w:p>
        </w:tc>
      </w:tr>
      <w:tr w:rsidR="00320BB2" w14:paraId="2FE07E8B" w14:textId="77777777" w:rsidTr="00107A84">
        <w:tc>
          <w:tcPr>
            <w:tcW w:w="2217" w:type="dxa"/>
            <w:tcMar>
              <w:top w:w="80" w:type="dxa"/>
              <w:left w:w="100" w:type="dxa"/>
              <w:bottom w:w="80" w:type="dxa"/>
              <w:right w:w="100" w:type="dxa"/>
            </w:tcMar>
            <w:vAlign w:val="center"/>
          </w:tcPr>
          <w:p w14:paraId="36BE2712" w14:textId="77777777" w:rsidR="00320BB2" w:rsidRDefault="009977A1">
            <w:r>
              <w:rPr>
                <w:b/>
                <w:bCs/>
                <w:color w:val="000000"/>
                <w:sz w:val="18"/>
                <w:szCs w:val="18"/>
              </w:rPr>
              <w:t>Resting acceleration ISF weight</w:t>
            </w:r>
          </w:p>
        </w:tc>
        <w:tc>
          <w:tcPr>
            <w:tcW w:w="2016" w:type="dxa"/>
            <w:tcMar>
              <w:top w:w="80" w:type="dxa"/>
              <w:left w:w="100" w:type="dxa"/>
              <w:bottom w:w="80" w:type="dxa"/>
              <w:right w:w="100" w:type="dxa"/>
            </w:tcMar>
            <w:vAlign w:val="center"/>
          </w:tcPr>
          <w:p>
            <w:r>
              <w:t>0.70 (0.0–1.0) [number]</w:t>
            </w:r>
          </w:p>
        </w:tc>
        <w:tc>
          <w:tcPr>
            <w:tcW w:w="4334" w:type="dxa"/>
            <w:tcMar>
              <w:top w:w="80" w:type="dxa"/>
              <w:left w:w="100" w:type="dxa"/>
              <w:bottom w:w="80" w:type="dxa"/>
              <w:right w:w="100" w:type="dxa"/>
            </w:tcMar>
            <w:vAlign w:val="center"/>
          </w:tcPr>
          <w:p>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r>
              <w:t>0.70</w:t>
            </w:r>
          </w:p>
        </w:tc>
      </w:tr>
      <w:tr w:rsidR="00320BB2" w14:paraId="7E8B0A4D" w14:textId="77777777" w:rsidTr="00107A84">
        <w:tc>
          <w:tcPr>
            <w:tcW w:w="2217" w:type="dxa"/>
            <w:tcMar>
              <w:top w:w="80" w:type="dxa"/>
              <w:left w:w="100" w:type="dxa"/>
              <w:bottom w:w="80" w:type="dxa"/>
              <w:right w:w="100" w:type="dxa"/>
            </w:tcMar>
            <w:vAlign w:val="center"/>
          </w:tcPr>
          <w:p w14:paraId="52635CA8" w14:textId="77777777" w:rsidR="00320BB2" w:rsidRDefault="009977A1">
            <w:r>
              <w:rPr>
                <w:b/>
                <w:bCs/>
                <w:color w:val="000000"/>
                <w:sz w:val="18"/>
                <w:szCs w:val="18"/>
              </w:rPr>
              <w:t>Boosted acceleration ISF weight</w:t>
            </w:r>
          </w:p>
        </w:tc>
        <w:tc>
          <w:tcPr>
            <w:tcW w:w="2016" w:type="dxa"/>
            <w:tcMar>
              <w:top w:w="80" w:type="dxa"/>
              <w:left w:w="100" w:type="dxa"/>
              <w:bottom w:w="80" w:type="dxa"/>
              <w:right w:w="100" w:type="dxa"/>
            </w:tcMar>
            <w:vAlign w:val="center"/>
          </w:tcPr>
          <w:p>
            <w:r>
              <w:t>0.95 (0.0–1.0) [number]</w:t>
            </w:r>
          </w:p>
        </w:tc>
        <w:tc>
          <w:tcPr>
            <w:tcW w:w="4334" w:type="dxa"/>
            <w:tcMar>
              <w:top w:w="80" w:type="dxa"/>
              <w:left w:w="100" w:type="dxa"/>
              <w:bottom w:w="80" w:type="dxa"/>
              <w:right w:w="100" w:type="dxa"/>
            </w:tcMar>
            <w:vAlign w:val="center"/>
          </w:tcPr>
          <w:p>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r>
              <w:t>0.95</w:t>
            </w:r>
          </w:p>
        </w:tc>
      </w:tr>
      <w:tr w:rsidR="00320BB2" w14:paraId="228FF403" w14:textId="77777777" w:rsidTr="00107A84">
        <w:tc>
          <w:tcPr>
            <w:tcW w:w="2217" w:type="dxa"/>
            <w:tcMar>
              <w:top w:w="80" w:type="dxa"/>
              <w:left w:w="100" w:type="dxa"/>
              <w:bottom w:w="80" w:type="dxa"/>
              <w:right w:w="100" w:type="dxa"/>
            </w:tcMar>
            <w:vAlign w:val="center"/>
          </w:tcPr>
          <w:p w14:paraId="37173A43" w14:textId="77777777" w:rsidR="00320BB2" w:rsidRDefault="009977A1">
            <w:r>
              <w:rPr>
                <w:b/>
                <w:bCs/>
                <w:color w:val="000000"/>
                <w:sz w:val="18"/>
                <w:szCs w:val="18"/>
              </w:rPr>
              <w:t>Higher ISF-range weight (</w:t>
            </w:r>
            <w:proofErr w:type="spellStart"/>
            <w:r>
              <w:rPr>
                <w:b/>
                <w:bCs/>
                <w:color w:val="000000"/>
                <w:sz w:val="18"/>
                <w:szCs w:val="18"/>
              </w:rPr>
              <w:t>higher_ISFrange_weight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(0.0–2.0) [number]</w:t>
            </w:r>
          </w:p>
        </w:tc>
        <w:tc>
          <w:tcPr>
            <w:tcW w:w="4334" w:type="dxa"/>
            <w:tcMar>
              <w:top w:w="80" w:type="dxa"/>
              <w:left w:w="100" w:type="dxa"/>
              <w:bottom w:w="80" w:type="dxa"/>
              <w:right w:w="100" w:type="dxa"/>
            </w:tcMar>
            <w:vAlign w:val="center"/>
          </w:tcPr>
          <w:p>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r>
              <w:t>0.80</w:t>
            </w:r>
          </w:p>
        </w:tc>
      </w:tr>
      <w:tr w:rsidR="00320BB2" w14:paraId="475C49EC" w14:textId="77777777" w:rsidTr="00107A84">
        <w:tc>
          <w:tcPr>
            <w:tcW w:w="2217" w:type="dxa"/>
            <w:tcMar>
              <w:top w:w="80" w:type="dxa"/>
              <w:left w:w="100" w:type="dxa"/>
              <w:bottom w:w="80" w:type="dxa"/>
              <w:right w:w="100" w:type="dxa"/>
            </w:tcMar>
            <w:vAlign w:val="center"/>
          </w:tcPr>
          <w:p w14:paraId="0790E073" w14:textId="77777777" w:rsidR="00320BB2" w:rsidRDefault="009977A1">
            <w:r>
              <w:rPr>
                <w:b/>
                <w:bCs/>
                <w:color w:val="000000"/>
                <w:sz w:val="18"/>
                <w:szCs w:val="18"/>
              </w:rPr>
              <w:t>Postprandial ISF weight (</w:t>
            </w:r>
            <w:proofErr w:type="spellStart"/>
            <w:r>
              <w:rPr>
                <w:b/>
                <w:bCs/>
                <w:color w:val="000000"/>
                <w:sz w:val="18"/>
                <w:szCs w:val="18"/>
              </w:rPr>
              <w:t>pp_ISF_weight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(0.0–0.15) [number]</w:t>
            </w:r>
          </w:p>
        </w:tc>
        <w:tc>
          <w:tcPr>
            <w:tcW w:w="4334" w:type="dxa"/>
            <w:tcMar>
              <w:top w:w="80" w:type="dxa"/>
              <w:left w:w="100" w:type="dxa"/>
              <w:bottom w:w="80" w:type="dxa"/>
              <w:right w:w="100" w:type="dxa"/>
            </w:tcMar>
            <w:vAlign w:val="center"/>
          </w:tcPr>
          <w:p>
            <w:r>
              <w:t>Strengthens ISF while glucose is actively rising (the "pp" = postprandial signal), increasing SMB sizing during a rise. 0.0 disables it.</w:t>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r>
              <w:t>0.10</w:t>
            </w:r>
          </w:p>
        </w:tc>
      </w:tr>
      <w:tr w:rsidR="00320BB2" w14:paraId="0AF7891B" w14:textId="77777777" w:rsidTr="00107A84">
        <w:tc>
          <w:tcPr>
            <w:tcW w:w="2217" w:type="dxa"/>
            <w:tcMar>
              <w:top w:w="80" w:type="dxa"/>
              <w:left w:w="100" w:type="dxa"/>
              <w:bottom w:w="80" w:type="dxa"/>
              <w:right w:w="100" w:type="dxa"/>
            </w:tcMar>
            <w:vAlign w:val="center"/>
          </w:tcPr>
          <w:p w14:paraId="3A8CCD82" w14:textId="77777777" w:rsidR="00320BB2" w:rsidRDefault="009977A1">
            <w:r>
              <w:rPr>
                <w:b/>
                <w:bCs/>
                <w:color w:val="000000"/>
                <w:sz w:val="18"/>
                <w:szCs w:val="18"/>
              </w:rPr>
              <w:t>Resting postprandial ISF weight</w:t>
            </w:r>
          </w:p>
        </w:tc>
        <w:tc>
          <w:tcPr>
            <w:tcW w:w="2016" w:type="dxa"/>
            <w:tcMar>
              <w:top w:w="80" w:type="dxa"/>
              <w:left w:w="100" w:type="dxa"/>
              <w:bottom w:w="80" w:type="dxa"/>
              <w:right w:w="100" w:type="dxa"/>
            </w:tcMar>
            <w:vAlign w:val="center"/>
          </w:tcPr>
          <w:p>
            <w:r>
              <w:t>0.08 (0.0–0.15) [number]</w:t>
            </w:r>
          </w:p>
        </w:tc>
        <w:tc>
          <w:tcPr>
            <w:tcW w:w="4334" w:type="dxa"/>
            <w:tcMar>
              <w:top w:w="80" w:type="dxa"/>
              <w:left w:w="100" w:type="dxa"/>
              <w:bottom w:w="80" w:type="dxa"/>
              <w:right w:w="100" w:type="dxa"/>
            </w:tcMar>
            <w:vAlign w:val="center"/>
          </w:tcPr>
          <w:p>
            <w:r>
              <w:t>The value boost/recovery automations restore pp_ISF_weight to once a boost window ends.</w:t>
            </w:r>
          </w:p>
        </w:tc>
        <w:tc>
          <w:tcPr>
            <w:tcW w:w="1513" w:type="dxa"/>
            <w:tcMar>
              <w:top w:w="80" w:type="dxa"/>
              <w:left w:w="100" w:type="dxa"/>
              <w:bottom w:w="80" w:type="dxa"/>
              <w:right w:w="100" w:type="dxa"/>
            </w:tcMar>
            <w:vAlign w:val="center"/>
          </w:tcPr>
          <w:p>
            <w:r>
              <w:t>0.10</w:t>
            </w:r>
          </w:p>
        </w:tc>
      </w:tr>
      <w:tr w:rsidR="00320BB2" w14:paraId="40693F66" w14:textId="77777777" w:rsidTr="00107A84">
        <w:tc>
          <w:tcPr>
            <w:tcW w:w="2217" w:type="dxa"/>
            <w:tcMar>
              <w:top w:w="80" w:type="dxa"/>
              <w:left w:w="100" w:type="dxa"/>
              <w:bottom w:w="80" w:type="dxa"/>
              <w:right w:w="100" w:type="dxa"/>
            </w:tcMar>
            <w:vAlign w:val="center"/>
          </w:tcPr>
          <w:p w14:paraId="55538DF3" w14:textId="77777777" w:rsidR="00320BB2" w:rsidRDefault="009977A1">
            <w:r>
              <w:rPr>
                <w:b/>
                <w:bCs/>
                <w:color w:val="000000"/>
                <w:sz w:val="18"/>
                <w:szCs w:val="18"/>
              </w:rPr>
              <w:t>Boosted postprandial ISF weight</w:t>
            </w:r>
          </w:p>
        </w:tc>
        <w:tc>
          <w:tcPr>
            <w:tcW w:w="2016" w:type="dxa"/>
            <w:tcMar>
              <w:top w:w="80" w:type="dxa"/>
              <w:left w:w="100" w:type="dxa"/>
              <w:bottom w:w="80" w:type="dxa"/>
              <w:right w:w="100" w:type="dxa"/>
            </w:tcMar>
            <w:vAlign w:val="center"/>
          </w:tcPr>
          <w:p>
            <w:r>
              <w:t>0.15 (0.0–0.15) [number]</w:t>
            </w:r>
          </w:p>
        </w:tc>
        <w:tc>
          <w:tcPr>
            <w:tcW w:w="4334" w:type="dxa"/>
            <w:tcMar>
              <w:top w:w="80" w:type="dxa"/>
              <w:left w:w="100" w:type="dxa"/>
              <w:bottom w:w="80" w:type="dxa"/>
              <w:right w:w="100" w:type="dxa"/>
            </w:tcMar>
            <w:vAlign w:val="center"/>
          </w:tcPr>
          <w:p>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r>
              <w:t>0.15</w:t>
            </w:r>
          </w:p>
        </w:tc>
      </w:tr>
      <w:tr w:rsidR="00320BB2" w14:paraId="0D17001B" w14:textId="77777777" w:rsidTr="00107A84">
        <w:tc>
          <w:tcPr>
            <w:tcW w:w="2217" w:type="dxa"/>
            <w:tcMar>
              <w:top w:w="80" w:type="dxa"/>
              <w:left w:w="100" w:type="dxa"/>
              <w:bottom w:w="80" w:type="dxa"/>
              <w:right w:w="100" w:type="dxa"/>
            </w:tcMar>
            <w:vAlign w:val="center"/>
          </w:tcPr>
          <w:p w14:paraId="20B1FBA1" w14:textId="77777777" w:rsidR="00320BB2" w:rsidRDefault="009977A1">
            <w:proofErr w:type="spellStart"/>
            <w:r>
              <w:rPr>
                <w:b/>
                <w:bCs/>
                <w:color w:val="000000"/>
                <w:sz w:val="18"/>
                <w:szCs w:val="18"/>
              </w:rPr>
              <w:lastRenderedPageBreak/>
              <w:t>dura_ISF</w:t>
            </w:r>
            <w:proofErr w:type="spellEnd"/>
            <w:r>
              <w:rPr>
                <w:b/>
                <w:bCs/>
                <w:color w:val="000000"/>
                <w:sz w:val="18"/>
                <w:szCs w:val="18"/>
              </w:rPr>
              <w:t xml:space="preserve"> weight (</w:t>
            </w:r>
            <w:proofErr w:type="spellStart"/>
            <w:r>
              <w:rPr>
                <w:b/>
                <w:bCs/>
                <w:color w:val="000000"/>
                <w:sz w:val="18"/>
                <w:szCs w:val="18"/>
              </w:rPr>
              <w:t>dura_ISF_weight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(0.0–3.0) [number]</w:t>
            </w:r>
          </w:p>
        </w:tc>
        <w:tc>
          <w:tcPr>
            <w:tcW w:w="4334" w:type="dxa"/>
            <w:tcMar>
              <w:top w:w="80" w:type="dxa"/>
              <w:left w:w="100" w:type="dxa"/>
              <w:bottom w:w="80" w:type="dxa"/>
              <w:right w:w="100" w:type="dxa"/>
            </w:tcMar>
            <w:vAlign w:val="center"/>
          </w:tcPr>
          <w:p>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r>
              <w:t>2.50</w:t>
            </w:r>
          </w:p>
        </w:tc>
      </w:tr>
      <w:tr w:rsidR="00320BB2" w14:paraId="5181C083" w14:textId="77777777" w:rsidTr="00107A84">
        <w:tc>
          <w:tcPr>
            <w:tcW w:w="2217" w:type="dxa"/>
            <w:tcMar>
              <w:top w:w="80" w:type="dxa"/>
              <w:left w:w="100" w:type="dxa"/>
              <w:bottom w:w="80" w:type="dxa"/>
              <w:right w:w="100" w:type="dxa"/>
            </w:tcMar>
            <w:vAlign w:val="center"/>
          </w:tcPr>
          <w:p w14:paraId="466BC7D3" w14:textId="77777777" w:rsidR="00320BB2" w:rsidRDefault="009977A1">
            <w:r>
              <w:rPr>
                <w:b/>
                <w:bCs/>
                <w:color w:val="000000"/>
                <w:sz w:val="18"/>
                <w:szCs w:val="18"/>
              </w:rPr>
              <w:t>Resting duration ISF weight</w:t>
            </w:r>
          </w:p>
        </w:tc>
        <w:tc>
          <w:tcPr>
            <w:tcW w:w="2016" w:type="dxa"/>
            <w:tcMar>
              <w:top w:w="80" w:type="dxa"/>
              <w:left w:w="100" w:type="dxa"/>
              <w:bottom w:w="80" w:type="dxa"/>
              <w:right w:w="100" w:type="dxa"/>
            </w:tcMar>
            <w:vAlign w:val="center"/>
          </w:tcPr>
          <w:p>
            <w:r>
              <w:t>1.2 (0.0–3.0) [number]</w:t>
            </w:r>
          </w:p>
        </w:tc>
        <w:tc>
          <w:tcPr>
            <w:tcW w:w="4334" w:type="dxa"/>
            <w:tcMar>
              <w:top w:w="80" w:type="dxa"/>
              <w:left w:w="100" w:type="dxa"/>
              <w:bottom w:w="80" w:type="dxa"/>
              <w:right w:w="100" w:type="dxa"/>
            </w:tcMar>
            <w:vAlign w:val="center"/>
          </w:tcPr>
          <w:p>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r>
              <w:t>2.50</w:t>
            </w:r>
          </w:p>
        </w:tc>
      </w:tr>
      <w:tr w:rsidR="00320BB2" w14:paraId="660C527A" w14:textId="77777777" w:rsidTr="00107A84">
        <w:tc>
          <w:tcPr>
            <w:tcW w:w="2217" w:type="dxa"/>
            <w:tcMar>
              <w:top w:w="80" w:type="dxa"/>
              <w:left w:w="100" w:type="dxa"/>
              <w:bottom w:w="80" w:type="dxa"/>
              <w:right w:w="100" w:type="dxa"/>
            </w:tcMar>
            <w:vAlign w:val="center"/>
          </w:tcPr>
          <w:p w14:paraId="79C332BC" w14:textId="77777777" w:rsidR="00320BB2" w:rsidRDefault="009977A1">
            <w:proofErr w:type="spellStart"/>
            <w:r>
              <w:rPr>
                <w:b/>
                <w:bCs/>
                <w:color w:val="000000"/>
                <w:sz w:val="18"/>
                <w:szCs w:val="18"/>
              </w:rPr>
              <w:t>maxIOB</w:t>
            </w:r>
            <w:proofErr w:type="spellEnd"/>
            <w:r>
              <w:rPr>
                <w:b/>
                <w:bCs/>
                <w:color w:val="000000"/>
                <w:sz w:val="18"/>
                <w:szCs w:val="18"/>
              </w:rPr>
              <w:t xml:space="preserve"> threshold percent for SMB (</w:t>
            </w:r>
            <w:proofErr w:type="spellStart"/>
            <w:r>
              <w:rPr>
                <w:b/>
                <w:bCs/>
                <w:color w:val="000000"/>
                <w:sz w:val="18"/>
                <w:szCs w:val="18"/>
              </w:rPr>
              <w:t>iob_threshold_percent</w:t>
            </w:r>
            <w:proofErr w:type="spellEnd"/>
            <w:r>
              <w:rPr>
                <w:b/>
                <w:bCs/>
                <w:color w:val="000000"/>
                <w:sz w:val="18"/>
                <w:szCs w:val="18"/>
              </w:rPr>
              <w:t>)</w:t>
            </w:r>
          </w:p>
        </w:tc>
        <w:tc>
          <w:tcPr>
            <w:tcW w:w="2016" w:type="dxa"/>
            <w:tcMar>
              <w:top w:w="80" w:type="dxa"/>
              <w:left w:w="100" w:type="dxa"/>
              <w:bottom w:w="80" w:type="dxa"/>
              <w:right w:w="100" w:type="dxa"/>
            </w:tcMar>
            <w:vAlign w:val="center"/>
          </w:tcPr>
          <w:p>
            <w:r>
              <w:t>100% (10–100) [number]</w:t>
            </w:r>
          </w:p>
        </w:tc>
        <w:tc>
          <w:tcPr>
            <w:tcW w:w="4334" w:type="dxa"/>
            <w:tcMar>
              <w:top w:w="80" w:type="dxa"/>
              <w:left w:w="100" w:type="dxa"/>
              <w:bottom w:w="80" w:type="dxa"/>
              <w:right w:w="100" w:type="dxa"/>
            </w:tcMar>
            <w:vAlign w:val="center"/>
          </w:tcPr>
          <w:p>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r>
              <w:t>70%</w:t>
            </w:r>
          </w:p>
        </w:tc>
      </w:tr>
    </w:tbl>
    <w:p w14:paraId="01C5111A" w14:textId="77777777" w:rsidR="00320BB2" w:rsidRDefault="00320BB2">
      <w:pPr>
        <w:spacing w:after="200"/>
      </w:pPr>
    </w:p>
    <w:p w14:paraId="002DD2D0" w14:textId="77777777" w:rsidR="00320BB2" w:rsidRDefault="009977A1">
      <w:bookmarkStart w:id="7" w:name="sec005"/>
      <w:pPr>
        <w:pStyle w:val="Heading1"/>
        <w:spacing w:before="400" w:after="200"/>
      </w:pPr>
      <w:proofErr w:type="spellStart"/>
      <w:r>
        <w:t>AutoISF</w:t>
      </w:r>
      <w:proofErr w:type="spellEnd"/>
      <w:r>
        <w:t xml:space="preserve"> settings → SMB delivery settings</w:t>
      </w:r>
      <w:bookmarkEnd w:id="7"/>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79823F"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C88E29" w14:textId="77777777" w:rsidTr="00107A84">
        <w:tc>
          <w:tcPr>
            <w:tcW w:w="2217" w:type="dxa"/>
            <w:tcMar>
              <w:top w:w="80" w:type="dxa"/>
              <w:left w:w="100" w:type="dxa"/>
              <w:bottom w:w="80" w:type="dxa"/>
              <w:right w:w="100" w:type="dxa"/>
            </w:tcMar>
            <w:vAlign w:val="center"/>
          </w:tcPr>
          <w:p w14:paraId="08866988" w14:textId="77777777" w:rsidR="00320BB2" w:rsidRDefault="009977A1">
            <w:r>
              <w:rPr>
                <w:b/>
                <w:bCs/>
                <w:color w:val="000000"/>
                <w:sz w:val="18"/>
                <w:szCs w:val="18"/>
              </w:rPr>
              <w:t>FIXED SMB delivery ratio (</w:t>
            </w:r>
            <w:proofErr w:type="spellStart"/>
            <w:r>
              <w:rPr>
                <w:b/>
                <w:bCs/>
                <w:color w:val="000000"/>
                <w:sz w:val="18"/>
                <w:szCs w:val="18"/>
              </w:rPr>
              <w:t>smb_delivery_ratio</w:t>
            </w:r>
            <w:proofErr w:type="spellEnd"/>
            <w:r>
              <w:rPr>
                <w:b/>
                <w:bCs/>
                <w:color w:val="000000"/>
                <w:sz w:val="18"/>
                <w:szCs w:val="18"/>
              </w:rPr>
              <w:t>)</w:t>
            </w:r>
          </w:p>
        </w:tc>
        <w:tc>
          <w:tcPr>
            <w:tcW w:w="2016" w:type="dxa"/>
            <w:tcMar>
              <w:top w:w="80" w:type="dxa"/>
              <w:left w:w="100" w:type="dxa"/>
              <w:bottom w:w="80" w:type="dxa"/>
              <w:right w:w="100" w:type="dxa"/>
            </w:tcMar>
            <w:vAlign w:val="center"/>
          </w:tcPr>
          <w:p>
            <w:r>
              <w:t>0.2 (0.1–1.0) [number]</w:t>
            </w:r>
          </w:p>
        </w:tc>
        <w:tc>
          <w:tcPr>
            <w:tcW w:w="4334" w:type="dxa"/>
            <w:tcMar>
              <w:top w:w="80" w:type="dxa"/>
              <w:left w:w="100" w:type="dxa"/>
              <w:bottom w:w="80" w:type="dxa"/>
              <w:right w:w="100" w:type="dxa"/>
            </w:tcMar>
            <w:vAlign w:val="center"/>
          </w:tcPr>
          <w:p>
            <w:r>
              <w:t>The share of total calculated insulin requirement that can actually be delivered as a single SMB — a core OpenAPS safety cap, since delivering the full requirement at once would risk stacking.</w:t>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r>
              <w:t>0.15</w:t>
            </w:r>
          </w:p>
        </w:tc>
      </w:tr>
      <w:tr w:rsidR="00320BB2" w14:paraId="28B37DCA" w14:textId="77777777" w:rsidTr="00107A84">
        <w:tc>
          <w:tcPr>
            <w:tcW w:w="2217" w:type="dxa"/>
            <w:tcMar>
              <w:top w:w="80" w:type="dxa"/>
              <w:left w:w="100" w:type="dxa"/>
              <w:bottom w:w="80" w:type="dxa"/>
              <w:right w:w="100" w:type="dxa"/>
            </w:tcMar>
            <w:vAlign w:val="center"/>
          </w:tcPr>
          <w:p w14:paraId="7302A657" w14:textId="77777777" w:rsidR="00320BB2" w:rsidRDefault="009977A1">
            <w:r>
              <w:rPr>
                <w:b/>
                <w:bCs/>
                <w:color w:val="000000"/>
                <w:sz w:val="18"/>
                <w:szCs w:val="18"/>
              </w:rPr>
              <w:t>Simple SMB offset override</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r>
              <w:t>on</w:t>
            </w:r>
          </w:p>
        </w:tc>
      </w:tr>
      <w:tr w:rsidR="00320BB2" w14:paraId="6198F51E" w14:textId="77777777" w:rsidTr="00107A84">
        <w:tc>
          <w:tcPr>
            <w:tcW w:w="2217" w:type="dxa"/>
            <w:tcMar>
              <w:top w:w="80" w:type="dxa"/>
              <w:left w:w="100" w:type="dxa"/>
              <w:bottom w:w="80" w:type="dxa"/>
              <w:right w:w="100" w:type="dxa"/>
            </w:tcMar>
            <w:vAlign w:val="center"/>
          </w:tcPr>
          <w:p w14:paraId="08ED7246" w14:textId="77777777" w:rsidR="00320BB2" w:rsidRDefault="009977A1">
            <w:r>
              <w:rPr>
                <w:b/>
                <w:bCs/>
                <w:color w:val="000000"/>
                <w:sz w:val="18"/>
                <w:szCs w:val="18"/>
              </w:rPr>
              <w:t>SMB offset (mmol/L above target)</w:t>
            </w:r>
          </w:p>
        </w:tc>
        <w:tc>
          <w:tcPr>
            <w:tcW w:w="2016" w:type="dxa"/>
            <w:tcMar>
              <w:top w:w="80" w:type="dxa"/>
              <w:left w:w="100" w:type="dxa"/>
              <w:bottom w:w="80" w:type="dxa"/>
              <w:right w:w="100" w:type="dxa"/>
            </w:tcMar>
            <w:vAlign w:val="center"/>
          </w:tcPr>
          <w:p>
            <w:r>
              <w:t>0.5 (0.0–2.0) [number]</w:t>
            </w:r>
          </w:p>
        </w:tc>
        <w:tc>
          <w:tcPr>
            <w:tcW w:w="4334" w:type="dxa"/>
            <w:tcMar>
              <w:top w:w="80" w:type="dxa"/>
              <w:left w:w="100" w:type="dxa"/>
              <w:bottom w:w="80" w:type="dxa"/>
              <w:right w:w="100" w:type="dxa"/>
            </w:tcMar>
            <w:vAlign w:val="center"/>
          </w:tcPr>
          <w:p>
            <w:r>
              <w:t>The fixed offset the override above uses. Only has any effect while "Simple SMB offset override" is on.</w:t>
            </w:r>
          </w:p>
        </w:tc>
        <w:tc>
          <w:tcPr>
            <w:tcW w:w="1513" w:type="dxa"/>
            <w:tcMar>
              <w:top w:w="80" w:type="dxa"/>
              <w:left w:w="100" w:type="dxa"/>
              <w:bottom w:w="80" w:type="dxa"/>
              <w:right w:w="100" w:type="dxa"/>
            </w:tcMar>
            <w:vAlign w:val="center"/>
          </w:tcPr>
          <w:p>
            <w:r>
              <w:t>0.80</w:t>
            </w:r>
          </w:p>
        </w:tc>
      </w:tr>
      <w:tr w:rsidR="00320BB2" w14:paraId="3E9DA937" w14:textId="77777777" w:rsidTr="00107A84">
        <w:tc>
          <w:tcPr>
            <w:tcW w:w="2217" w:type="dxa"/>
            <w:tcMar>
              <w:top w:w="80" w:type="dxa"/>
              <w:left w:w="100" w:type="dxa"/>
              <w:bottom w:w="80" w:type="dxa"/>
              <w:right w:w="100" w:type="dxa"/>
            </w:tcMar>
            <w:vAlign w:val="center"/>
          </w:tcPr>
          <w:p w14:paraId="44005A30" w14:textId="77777777" w:rsidR="00320BB2" w:rsidRDefault="009977A1">
            <w:r>
              <w:rPr>
                <w:b/>
                <w:bCs/>
                <w:color w:val="000000"/>
                <w:sz w:val="18"/>
                <w:szCs w:val="18"/>
              </w:rPr>
              <w:t>Time-of-day offset, 00–02h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r>
              <w:t>0.00</w:t>
            </w:r>
          </w:p>
        </w:tc>
      </w:tr>
      <w:tr w:rsidR="00320BB2" w14:paraId="2C9828E4" w14:textId="77777777" w:rsidTr="00107A84">
        <w:tc>
          <w:tcPr>
            <w:tcW w:w="2217" w:type="dxa"/>
            <w:tcMar>
              <w:top w:w="80" w:type="dxa"/>
              <w:left w:w="100" w:type="dxa"/>
              <w:bottom w:w="80" w:type="dxa"/>
              <w:right w:w="100" w:type="dxa"/>
            </w:tcMar>
            <w:vAlign w:val="center"/>
          </w:tcPr>
          <w:p w14:paraId="4171666B" w14:textId="77777777" w:rsidR="00320BB2" w:rsidRDefault="009977A1">
            <w:r>
              <w:rPr>
                <w:b/>
                <w:bCs/>
                <w:color w:val="000000"/>
                <w:sz w:val="18"/>
                <w:szCs w:val="18"/>
              </w:rPr>
              <w:t>Time-of-day offset, 02–04h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02:00–04:00 window.</w:t>
            </w:r>
          </w:p>
        </w:tc>
        <w:tc>
          <w:tcPr>
            <w:tcW w:w="1513" w:type="dxa"/>
            <w:tcMar>
              <w:top w:w="80" w:type="dxa"/>
              <w:left w:w="100" w:type="dxa"/>
              <w:bottom w:w="80" w:type="dxa"/>
              <w:right w:w="100" w:type="dxa"/>
            </w:tcMar>
            <w:vAlign w:val="center"/>
          </w:tcPr>
          <w:p>
            <w:r>
              <w:t>0.00</w:t>
            </w:r>
          </w:p>
        </w:tc>
      </w:tr>
      <w:tr w:rsidR="00320BB2" w14:paraId="27D967FA" w14:textId="77777777" w:rsidTr="00107A84">
        <w:tc>
          <w:tcPr>
            <w:tcW w:w="2217" w:type="dxa"/>
            <w:tcMar>
              <w:top w:w="80" w:type="dxa"/>
              <w:left w:w="100" w:type="dxa"/>
              <w:bottom w:w="80" w:type="dxa"/>
              <w:right w:w="100" w:type="dxa"/>
            </w:tcMar>
            <w:vAlign w:val="center"/>
          </w:tcPr>
          <w:p w14:paraId="64657643" w14:textId="77777777" w:rsidR="00320BB2" w:rsidRDefault="009977A1">
            <w:r>
              <w:rPr>
                <w:b/>
                <w:bCs/>
                <w:color w:val="000000"/>
                <w:sz w:val="18"/>
                <w:szCs w:val="18"/>
              </w:rPr>
              <w:t>Time-of-day offset, 04–06h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04:00–06:00 window.</w:t>
            </w:r>
          </w:p>
        </w:tc>
        <w:tc>
          <w:tcPr>
            <w:tcW w:w="1513" w:type="dxa"/>
            <w:tcMar>
              <w:top w:w="80" w:type="dxa"/>
              <w:left w:w="100" w:type="dxa"/>
              <w:bottom w:w="80" w:type="dxa"/>
              <w:right w:w="100" w:type="dxa"/>
            </w:tcMar>
            <w:vAlign w:val="center"/>
          </w:tcPr>
          <w:p>
            <w:r>
              <w:t>0.00</w:t>
            </w:r>
          </w:p>
        </w:tc>
      </w:tr>
      <w:tr w:rsidR="00320BB2" w14:paraId="3C1ABA06" w14:textId="77777777" w:rsidTr="00107A84">
        <w:tc>
          <w:tcPr>
            <w:tcW w:w="2217" w:type="dxa"/>
            <w:tcMar>
              <w:top w:w="80" w:type="dxa"/>
              <w:left w:w="100" w:type="dxa"/>
              <w:bottom w:w="80" w:type="dxa"/>
              <w:right w:w="100" w:type="dxa"/>
            </w:tcMar>
            <w:vAlign w:val="center"/>
          </w:tcPr>
          <w:p w14:paraId="5A769E49" w14:textId="77777777" w:rsidR="00320BB2" w:rsidRDefault="009977A1">
            <w:r>
              <w:rPr>
                <w:b/>
                <w:bCs/>
                <w:color w:val="000000"/>
                <w:sz w:val="18"/>
                <w:szCs w:val="18"/>
              </w:rPr>
              <w:t>Time-of-day offset, 06–09h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06:00–09:00 window.</w:t>
            </w:r>
          </w:p>
        </w:tc>
        <w:tc>
          <w:tcPr>
            <w:tcW w:w="1513" w:type="dxa"/>
            <w:tcMar>
              <w:top w:w="80" w:type="dxa"/>
              <w:left w:w="100" w:type="dxa"/>
              <w:bottom w:w="80" w:type="dxa"/>
              <w:right w:w="100" w:type="dxa"/>
            </w:tcMar>
            <w:vAlign w:val="center"/>
          </w:tcPr>
          <w:p>
            <w:r>
              <w:t>0.00</w:t>
            </w:r>
          </w:p>
        </w:tc>
      </w:tr>
      <w:tr w:rsidR="00320BB2" w14:paraId="60F633D5" w14:textId="77777777" w:rsidTr="00107A84">
        <w:tc>
          <w:tcPr>
            <w:tcW w:w="2217" w:type="dxa"/>
            <w:tcMar>
              <w:top w:w="80" w:type="dxa"/>
              <w:left w:w="100" w:type="dxa"/>
              <w:bottom w:w="80" w:type="dxa"/>
              <w:right w:w="100" w:type="dxa"/>
            </w:tcMar>
            <w:vAlign w:val="center"/>
          </w:tcPr>
          <w:p w14:paraId="685F5922" w14:textId="77777777" w:rsidR="00320BB2" w:rsidRDefault="009977A1">
            <w:r>
              <w:rPr>
                <w:b/>
                <w:bCs/>
                <w:color w:val="000000"/>
                <w:sz w:val="18"/>
                <w:szCs w:val="18"/>
              </w:rPr>
              <w:t>Time-of-day offset, 09–12h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09:00–12:00 window.</w:t>
            </w:r>
          </w:p>
        </w:tc>
        <w:tc>
          <w:tcPr>
            <w:tcW w:w="1513" w:type="dxa"/>
            <w:tcMar>
              <w:top w:w="80" w:type="dxa"/>
              <w:left w:w="100" w:type="dxa"/>
              <w:bottom w:w="80" w:type="dxa"/>
              <w:right w:w="100" w:type="dxa"/>
            </w:tcMar>
            <w:vAlign w:val="center"/>
          </w:tcPr>
          <w:p>
            <w:r>
              <w:t>0.00</w:t>
            </w:r>
          </w:p>
        </w:tc>
      </w:tr>
      <w:tr w:rsidR="00320BB2" w14:paraId="32E43A6F" w14:textId="77777777" w:rsidTr="00107A84">
        <w:tc>
          <w:tcPr>
            <w:tcW w:w="2217" w:type="dxa"/>
            <w:tcMar>
              <w:top w:w="80" w:type="dxa"/>
              <w:left w:w="100" w:type="dxa"/>
              <w:bottom w:w="80" w:type="dxa"/>
              <w:right w:w="100" w:type="dxa"/>
            </w:tcMar>
            <w:vAlign w:val="center"/>
          </w:tcPr>
          <w:p w14:paraId="602F63BE" w14:textId="77777777" w:rsidR="00320BB2" w:rsidRDefault="009977A1">
            <w:r>
              <w:rPr>
                <w:b/>
                <w:bCs/>
                <w:color w:val="000000"/>
                <w:sz w:val="18"/>
                <w:szCs w:val="18"/>
              </w:rPr>
              <w:t>Time-of-day offset, 12–18h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12:00–18:00 window.</w:t>
            </w:r>
          </w:p>
        </w:tc>
        <w:tc>
          <w:tcPr>
            <w:tcW w:w="1513" w:type="dxa"/>
            <w:tcMar>
              <w:top w:w="80" w:type="dxa"/>
              <w:left w:w="100" w:type="dxa"/>
              <w:bottom w:w="80" w:type="dxa"/>
              <w:right w:w="100" w:type="dxa"/>
            </w:tcMar>
            <w:vAlign w:val="center"/>
          </w:tcPr>
          <w:p>
            <w:r>
              <w:t>0.00</w:t>
            </w:r>
          </w:p>
        </w:tc>
      </w:tr>
      <w:tr w:rsidR="00320BB2" w14:paraId="1D8B8902" w14:textId="77777777" w:rsidTr="00107A84">
        <w:tc>
          <w:tcPr>
            <w:tcW w:w="2217" w:type="dxa"/>
            <w:tcMar>
              <w:top w:w="80" w:type="dxa"/>
              <w:left w:w="100" w:type="dxa"/>
              <w:bottom w:w="80" w:type="dxa"/>
              <w:right w:w="100" w:type="dxa"/>
            </w:tcMar>
            <w:vAlign w:val="center"/>
          </w:tcPr>
          <w:p w14:paraId="78A27536" w14:textId="77777777" w:rsidR="00320BB2" w:rsidRDefault="009977A1">
            <w:r>
              <w:rPr>
                <w:b/>
                <w:bCs/>
                <w:color w:val="000000"/>
                <w:sz w:val="18"/>
                <w:szCs w:val="18"/>
              </w:rPr>
              <w:t>Time-of-day offset, 18–22h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18:00–22:00 window.</w:t>
            </w:r>
          </w:p>
        </w:tc>
        <w:tc>
          <w:tcPr>
            <w:tcW w:w="1513" w:type="dxa"/>
            <w:tcMar>
              <w:top w:w="80" w:type="dxa"/>
              <w:left w:w="100" w:type="dxa"/>
              <w:bottom w:w="80" w:type="dxa"/>
              <w:right w:w="100" w:type="dxa"/>
            </w:tcMar>
            <w:vAlign w:val="center"/>
          </w:tcPr>
          <w:p>
            <w:r>
              <w:t>0.00</w:t>
            </w:r>
          </w:p>
        </w:tc>
      </w:tr>
      <w:tr w:rsidR="00320BB2" w14:paraId="37D1A73F" w14:textId="77777777" w:rsidTr="00107A84">
        <w:tc>
          <w:tcPr>
            <w:tcW w:w="2217" w:type="dxa"/>
            <w:tcMar>
              <w:top w:w="80" w:type="dxa"/>
              <w:left w:w="100" w:type="dxa"/>
              <w:bottom w:w="80" w:type="dxa"/>
              <w:right w:w="100" w:type="dxa"/>
            </w:tcMar>
            <w:vAlign w:val="center"/>
          </w:tcPr>
          <w:p w14:paraId="0D13C93E" w14:textId="77777777" w:rsidR="00320BB2" w:rsidRDefault="009977A1">
            <w:r>
              <w:rPr>
                <w:b/>
                <w:bCs/>
                <w:color w:val="000000"/>
                <w:sz w:val="18"/>
                <w:szCs w:val="18"/>
              </w:rPr>
              <w:t>Time-of-day offset, 22–00h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22:00–00:00 window (the overnight boundary).</w:t>
            </w:r>
          </w:p>
        </w:tc>
        <w:tc>
          <w:tcPr>
            <w:tcW w:w="1513" w:type="dxa"/>
            <w:tcMar>
              <w:top w:w="80" w:type="dxa"/>
              <w:left w:w="100" w:type="dxa"/>
              <w:bottom w:w="80" w:type="dxa"/>
              <w:right w:w="100" w:type="dxa"/>
            </w:tcMar>
            <w:vAlign w:val="center"/>
          </w:tcPr>
          <w:p>
            <w:r>
              <w:t>0.00</w:t>
            </w:r>
          </w:p>
        </w:tc>
      </w:tr>
      <w:tr w:rsidR="00320BB2" w14:paraId="4BD9C726" w14:textId="77777777" w:rsidTr="00107A84">
        <w:tc>
          <w:tcPr>
            <w:tcW w:w="2217" w:type="dxa"/>
            <w:tcMar>
              <w:top w:w="80" w:type="dxa"/>
              <w:left w:w="100" w:type="dxa"/>
              <w:bottom w:w="80" w:type="dxa"/>
              <w:right w:w="100" w:type="dxa"/>
            </w:tcMar>
            <w:vAlign w:val="center"/>
          </w:tcPr>
          <w:p w14:paraId="0109F0C9" w14:textId="77777777" w:rsidR="00320BB2" w:rsidRDefault="009977A1">
            <w:r>
              <w:rPr>
                <w:b/>
                <w:bCs/>
                <w:color w:val="000000"/>
                <w:sz w:val="18"/>
                <w:szCs w:val="18"/>
              </w:rPr>
              <w:t>Resting SMB delivery ratio</w:t>
            </w:r>
          </w:p>
        </w:tc>
        <w:tc>
          <w:tcPr>
            <w:tcW w:w="2016" w:type="dxa"/>
            <w:tcMar>
              <w:top w:w="80" w:type="dxa"/>
              <w:left w:w="100" w:type="dxa"/>
              <w:bottom w:w="80" w:type="dxa"/>
              <w:right w:w="100" w:type="dxa"/>
            </w:tcMar>
            <w:vAlign w:val="center"/>
          </w:tcPr>
          <w:p>
            <w:r>
              <w:t>0.14 (0.1–0.5) [number]</w:t>
            </w:r>
          </w:p>
        </w:tc>
        <w:tc>
          <w:tcPr>
            <w:tcW w:w="4334" w:type="dxa"/>
            <w:tcMar>
              <w:top w:w="80" w:type="dxa"/>
              <w:left w:w="100" w:type="dxa"/>
              <w:bottom w:w="80" w:type="dxa"/>
              <w:right w:w="100" w:type="dxa"/>
            </w:tcMar>
            <w:vAlign w:val="center"/>
          </w:tcPr>
          <w:p>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r>
              <w:t>0.15</w:t>
            </w:r>
          </w:p>
        </w:tc>
      </w:tr>
      <w:tr w:rsidR="00320BB2" w14:paraId="01D24BD9" w14:textId="77777777" w:rsidTr="00107A84">
        <w:tc>
          <w:tcPr>
            <w:tcW w:w="2217" w:type="dxa"/>
            <w:tcMar>
              <w:top w:w="80" w:type="dxa"/>
              <w:left w:w="100" w:type="dxa"/>
              <w:bottom w:w="80" w:type="dxa"/>
              <w:right w:w="100" w:type="dxa"/>
            </w:tcMar>
            <w:vAlign w:val="center"/>
          </w:tcPr>
          <w:p w14:paraId="7CB9E76D" w14:textId="77777777" w:rsidR="00320BB2" w:rsidRDefault="009977A1">
            <w:r>
              <w:rPr>
                <w:b/>
                <w:bCs/>
                <w:color w:val="000000"/>
                <w:sz w:val="18"/>
                <w:szCs w:val="18"/>
              </w:rPr>
              <w:lastRenderedPageBreak/>
              <w:t>Enable boost automations (</w:t>
            </w:r>
            <w:proofErr w:type="spellStart"/>
            <w:r>
              <w:rPr>
                <w:b/>
                <w:bCs/>
                <w:color w:val="000000"/>
                <w:sz w:val="18"/>
                <w:szCs w:val="18"/>
              </w:rPr>
              <w:t>BolusGiven</w:t>
            </w:r>
            <w:proofErr w:type="spellEnd"/>
            <w:r>
              <w:rPr>
                <w:b/>
                <w:bCs/>
                <w:color w:val="000000"/>
                <w:sz w:val="18"/>
                <w:szCs w:val="18"/>
              </w:rPr>
              <w:t xml:space="preserve"> + Mild)</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r>
              <w:t>on</w:t>
            </w:r>
          </w:p>
        </w:tc>
      </w:tr>
      <w:tr w:rsidR="00320BB2" w14:paraId="53F1022E" w14:textId="77777777" w:rsidTr="00107A84">
        <w:tc>
          <w:tcPr>
            <w:tcW w:w="2217" w:type="dxa"/>
            <w:tcMar>
              <w:top w:w="80" w:type="dxa"/>
              <w:left w:w="100" w:type="dxa"/>
              <w:bottom w:w="80" w:type="dxa"/>
              <w:right w:w="100" w:type="dxa"/>
            </w:tcMar>
            <w:vAlign w:val="center"/>
          </w:tcPr>
          <w:p w14:paraId="7BB47B80" w14:textId="77777777" w:rsidR="00320BB2" w:rsidRDefault="009977A1">
            <w:r>
              <w:rPr>
                <w:b/>
                <w:bCs/>
                <w:color w:val="000000"/>
                <w:sz w:val="18"/>
                <w:szCs w:val="18"/>
              </w:rPr>
              <w:t>Mild boost delivery ratio</w:t>
            </w:r>
          </w:p>
        </w:tc>
        <w:tc>
          <w:tcPr>
            <w:tcW w:w="2016" w:type="dxa"/>
            <w:tcMar>
              <w:top w:w="80" w:type="dxa"/>
              <w:left w:w="100" w:type="dxa"/>
              <w:bottom w:w="80" w:type="dxa"/>
              <w:right w:w="100" w:type="dxa"/>
            </w:tcMar>
            <w:vAlign w:val="center"/>
          </w:tcPr>
          <w:p>
            <w:r>
              <w:t>0.20 (0.1–0.5) [number]</w:t>
            </w:r>
          </w:p>
        </w:tc>
        <w:tc>
          <w:tcPr>
            <w:tcW w:w="4334" w:type="dxa"/>
            <w:tcMar>
              <w:top w:w="80" w:type="dxa"/>
              <w:left w:w="100" w:type="dxa"/>
              <w:bottom w:w="80" w:type="dxa"/>
              <w:right w:w="100" w:type="dxa"/>
            </w:tcMar>
            <w:vAlign w:val="center"/>
          </w:tcPr>
          <w:p>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r>
              <w:t>0.23</w:t>
            </w:r>
          </w:p>
        </w:tc>
      </w:tr>
      <w:tr w:rsidR="00320BB2" w14:paraId="19D02977" w14:textId="77777777" w:rsidTr="00107A84">
        <w:tc>
          <w:tcPr>
            <w:tcW w:w="2217" w:type="dxa"/>
            <w:tcMar>
              <w:top w:w="80" w:type="dxa"/>
              <w:left w:w="100" w:type="dxa"/>
              <w:bottom w:w="80" w:type="dxa"/>
              <w:right w:w="100" w:type="dxa"/>
            </w:tcMar>
            <w:vAlign w:val="center"/>
          </w:tcPr>
          <w:p w14:paraId="5FED8E5A" w14:textId="77777777" w:rsidR="00320BB2" w:rsidRDefault="009977A1">
            <w:r>
              <w:rPr>
                <w:b/>
                <w:bCs/>
                <w:color w:val="000000"/>
                <w:sz w:val="18"/>
                <w:szCs w:val="18"/>
              </w:rPr>
              <w:t>Enable Tier 3 UAM Boost</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Master switch for a separate, newer boost condition in DetermineBasalAutoISF.kt (strong glucose acceleration combined with a positive delta) — distinct from "Enable boost automations" above, which is BolusGiven/BolusGivenMild's own unrelated feature.</w:t>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r>
              <w:t>Not in snapshot</w:t>
            </w:r>
          </w:p>
        </w:tc>
      </w:tr>
      <w:tr w:rsidR="00320BB2" w14:paraId="1D5A4645" w14:textId="77777777" w:rsidTr="00107A84">
        <w:tc>
          <w:tcPr>
            <w:tcW w:w="2217" w:type="dxa"/>
            <w:tcMar>
              <w:top w:w="80" w:type="dxa"/>
              <w:left w:w="100" w:type="dxa"/>
              <w:bottom w:w="80" w:type="dxa"/>
              <w:right w:w="100" w:type="dxa"/>
            </w:tcMar>
            <w:vAlign w:val="center"/>
          </w:tcPr>
          <w:p w14:paraId="61D38AB4" w14:textId="77777777" w:rsidR="00320BB2" w:rsidRDefault="009977A1">
            <w:r>
              <w:rPr>
                <w:b/>
                <w:bCs/>
                <w:color w:val="000000"/>
                <w:sz w:val="18"/>
                <w:szCs w:val="18"/>
              </w:rPr>
              <w:t>UAM Boost max bolus (</w:t>
            </w:r>
            <w:proofErr w:type="spellStart"/>
            <w:r>
              <w:rPr>
                <w:b/>
                <w:bCs/>
                <w:color w:val="000000"/>
                <w:sz w:val="18"/>
                <w:szCs w:val="18"/>
              </w:rPr>
              <w:t>boost_max</w:t>
            </w:r>
            <w:proofErr w:type="spellEnd"/>
            <w:r>
              <w:rPr>
                <w:b/>
                <w:bCs/>
                <w:color w:val="000000"/>
                <w:sz w:val="18"/>
                <w:szCs w:val="18"/>
              </w:rPr>
              <w:t>)</w:t>
            </w:r>
          </w:p>
        </w:tc>
        <w:tc>
          <w:tcPr>
            <w:tcW w:w="2016" w:type="dxa"/>
            <w:tcMar>
              <w:top w:w="80" w:type="dxa"/>
              <w:left w:w="100" w:type="dxa"/>
              <w:bottom w:w="80" w:type="dxa"/>
              <w:right w:w="100" w:type="dxa"/>
            </w:tcMar>
            <w:vAlign w:val="center"/>
          </w:tcPr>
          <w:p>
            <w:r>
              <w:t>2.5 U (0.1–10.0) [number]</w:t>
            </w:r>
          </w:p>
        </w:tc>
        <w:tc>
          <w:tcPr>
            <w:tcW w:w="4334" w:type="dxa"/>
            <w:tcMar>
              <w:top w:w="80" w:type="dxa"/>
              <w:left w:w="100" w:type="dxa"/>
              <w:bottom w:w="80" w:type="dxa"/>
              <w:right w:w="100" w:type="dxa"/>
            </w:tcMar>
            <w:vAlign w:val="center"/>
          </w:tcPr>
          <w:p>
            <w:r>
              <w:t>Hard cap on the size of a single UAM Boost SMB.</w:t>
            </w:r>
          </w:p>
        </w:tc>
        <w:tc>
          <w:tcPr>
            <w:tcW w:w="1513" w:type="dxa"/>
            <w:tcMar>
              <w:top w:w="80" w:type="dxa"/>
              <w:left w:w="100" w:type="dxa"/>
              <w:bottom w:w="80" w:type="dxa"/>
              <w:right w:w="100" w:type="dxa"/>
            </w:tcMar>
            <w:vAlign w:val="center"/>
          </w:tcPr>
          <w:p>
            <w:r>
              <w:t>Not in snapshot</w:t>
            </w:r>
          </w:p>
        </w:tc>
      </w:tr>
      <w:tr w:rsidR="00320BB2" w14:paraId="7C4B7A2F" w14:textId="77777777" w:rsidTr="00107A84">
        <w:tc>
          <w:tcPr>
            <w:tcW w:w="2217" w:type="dxa"/>
            <w:tcMar>
              <w:top w:w="80" w:type="dxa"/>
              <w:left w:w="100" w:type="dxa"/>
              <w:bottom w:w="80" w:type="dxa"/>
              <w:right w:w="100" w:type="dxa"/>
            </w:tcMar>
            <w:vAlign w:val="center"/>
          </w:tcPr>
          <w:p w14:paraId="2B46965D" w14:textId="77777777" w:rsidR="00320BB2" w:rsidRDefault="009977A1">
            <w:r>
              <w:rPr>
                <w:b/>
                <w:bCs/>
                <w:color w:val="000000"/>
                <w:sz w:val="18"/>
                <w:szCs w:val="18"/>
              </w:rPr>
              <w:t>UAM Boost max IOB (</w:t>
            </w:r>
            <w:proofErr w:type="spellStart"/>
            <w:r>
              <w:rPr>
                <w:b/>
                <w:bCs/>
                <w:color w:val="000000"/>
                <w:sz w:val="18"/>
                <w:szCs w:val="18"/>
              </w:rPr>
              <w:t>boostMaxIOB</w:t>
            </w:r>
            <w:proofErr w:type="spellEnd"/>
            <w:r>
              <w:rPr>
                <w:b/>
                <w:bCs/>
                <w:color w:val="000000"/>
                <w:sz w:val="18"/>
                <w:szCs w:val="18"/>
              </w:rPr>
              <w:t>)</w:t>
            </w:r>
          </w:p>
        </w:tc>
        <w:tc>
          <w:tcPr>
            <w:tcW w:w="2016" w:type="dxa"/>
            <w:tcMar>
              <w:top w:w="80" w:type="dxa"/>
              <w:left w:w="100" w:type="dxa"/>
              <w:bottom w:w="80" w:type="dxa"/>
              <w:right w:w="100" w:type="dxa"/>
            </w:tcMar>
            <w:vAlign w:val="center"/>
          </w:tcPr>
          <w:p>
            <w:r>
              <w:t>1.0 U (0.1–12.0) [number]</w:t>
            </w:r>
          </w:p>
        </w:tc>
        <w:tc>
          <w:tcPr>
            <w:tcW w:w="4334" w:type="dxa"/>
            <w:tcMar>
              <w:top w:w="80" w:type="dxa"/>
              <w:left w:w="100" w:type="dxa"/>
              <w:bottom w:w="80" w:type="dxa"/>
              <w:right w:w="100" w:type="dxa"/>
            </w:tcMar>
            <w:vAlign w:val="center"/>
          </w:tcPr>
          <w:p>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r>
              <w:t>Not in snapshot</w:t>
            </w:r>
          </w:p>
        </w:tc>
      </w:tr>
      <w:tr w:rsidR="00320BB2" w14:paraId="75B62DDE" w14:textId="77777777" w:rsidTr="00107A84">
        <w:tc>
          <w:tcPr>
            <w:tcW w:w="2217" w:type="dxa"/>
            <w:tcMar>
              <w:top w:w="80" w:type="dxa"/>
              <w:left w:w="100" w:type="dxa"/>
              <w:bottom w:w="80" w:type="dxa"/>
              <w:right w:w="100" w:type="dxa"/>
            </w:tcMar>
            <w:vAlign w:val="center"/>
          </w:tcPr>
          <w:p w14:paraId="769B6631" w14:textId="77777777" w:rsidR="00320BB2" w:rsidRDefault="009977A1">
            <w:r>
              <w:rPr>
                <w:b/>
                <w:bCs/>
                <w:color w:val="000000"/>
                <w:sz w:val="18"/>
                <w:szCs w:val="18"/>
              </w:rPr>
              <w:t>UAM Boost scale (</w:t>
            </w:r>
            <w:proofErr w:type="spellStart"/>
            <w:r>
              <w:rPr>
                <w:b/>
                <w:bCs/>
                <w:color w:val="000000"/>
                <w:sz w:val="18"/>
                <w:szCs w:val="18"/>
              </w:rPr>
              <w:t>boost_scale</w:t>
            </w:r>
            <w:proofErr w:type="spellEnd"/>
            <w:r>
              <w:rPr>
                <w:b/>
                <w:bCs/>
                <w:color w:val="000000"/>
                <w:sz w:val="18"/>
                <w:szCs w:val="18"/>
              </w:rPr>
              <w:t>)</w:t>
            </w:r>
          </w:p>
        </w:tc>
        <w:tc>
          <w:tcPr>
            <w:tcW w:w="2016" w:type="dxa"/>
            <w:tcMar>
              <w:top w:w="80" w:type="dxa"/>
              <w:left w:w="100" w:type="dxa"/>
              <w:bottom w:w="80" w:type="dxa"/>
              <w:right w:w="100" w:type="dxa"/>
            </w:tcMar>
            <w:vAlign w:val="center"/>
          </w:tcPr>
          <w:p>
            <w:r>
              <w:t>1.0 (0.1–3.0) [number]</w:t>
            </w:r>
          </w:p>
        </w:tc>
        <w:tc>
          <w:tcPr>
            <w:tcW w:w="4334" w:type="dxa"/>
            <w:tcMar>
              <w:top w:w="80" w:type="dxa"/>
              <w:left w:w="100" w:type="dxa"/>
              <w:bottom w:w="80" w:type="dxa"/>
              <w:right w:w="100" w:type="dxa"/>
            </w:tcMar>
            <w:vAlign w:val="center"/>
          </w:tcPr>
          <w:p>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r>
              <w:t>Not in snapshot</w:t>
            </w:r>
          </w:p>
        </w:tc>
      </w:tr>
      <w:tr w:rsidR="00320BB2" w14:paraId="449F8D70" w14:textId="77777777" w:rsidTr="00107A84">
        <w:tc>
          <w:tcPr>
            <w:tcW w:w="2217" w:type="dxa"/>
            <w:tcMar>
              <w:top w:w="80" w:type="dxa"/>
              <w:left w:w="100" w:type="dxa"/>
              <w:bottom w:w="80" w:type="dxa"/>
              <w:right w:w="100" w:type="dxa"/>
            </w:tcMar>
            <w:vAlign w:val="center"/>
          </w:tcPr>
          <w:p w14:paraId="690A8C8A" w14:textId="77777777" w:rsidR="00320BB2" w:rsidRDefault="009977A1">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r>
              <w:t>Not in snapshot</w:t>
            </w:r>
          </w:p>
        </w:tc>
      </w:tr>
      <w:tr w:rsidR="00320BB2" w14:paraId="208F564E" w14:textId="77777777" w:rsidTr="00107A84">
        <w:tc>
          <w:tcPr>
            <w:tcW w:w="2217" w:type="dxa"/>
            <w:tcMar>
              <w:top w:w="80" w:type="dxa"/>
              <w:left w:w="100" w:type="dxa"/>
              <w:bottom w:w="80" w:type="dxa"/>
              <w:right w:w="100" w:type="dxa"/>
            </w:tcMar>
            <w:vAlign w:val="center"/>
          </w:tcPr>
          <w:p w14:paraId="3801D070" w14:textId="77777777" w:rsidR="00320BB2" w:rsidRDefault="009977A1">
            <w:r>
              <w:rPr>
                <w:b/>
                <w:bCs/>
                <w:color w:val="000000"/>
                <w:sz w:val="18"/>
                <w:szCs w:val="18"/>
              </w:rPr>
              <w:t>Split Bolus</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r>
              <w:t>on</w:t>
            </w:r>
          </w:p>
        </w:tc>
      </w:tr>
      <w:tr w:rsidR="00320BB2" w14:paraId="0959773D" w14:textId="77777777" w:rsidTr="00107A84">
        <w:tc>
          <w:tcPr>
            <w:tcW w:w="2217" w:type="dxa"/>
            <w:tcMar>
              <w:top w:w="80" w:type="dxa"/>
              <w:left w:w="100" w:type="dxa"/>
              <w:bottom w:w="80" w:type="dxa"/>
              <w:right w:w="100" w:type="dxa"/>
            </w:tcMar>
            <w:vAlign w:val="center"/>
          </w:tcPr>
          <w:p w14:paraId="35EEA6D5" w14:textId="77777777" w:rsidR="00320BB2" w:rsidRDefault="009977A1">
            <w:r>
              <w:rPr>
                <w:b/>
                <w:bCs/>
                <w:color w:val="000000"/>
                <w:sz w:val="18"/>
                <w:szCs w:val="18"/>
              </w:rPr>
              <w:t>Show Carb Model Curve</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r>
              <w:t>on</w:t>
            </w:r>
          </w:p>
        </w:tc>
      </w:tr>
      <w:tr w:rsidR="00320BB2" w14:paraId="290FA160" w14:textId="77777777" w:rsidTr="00107A84">
        <w:tc>
          <w:tcPr>
            <w:tcW w:w="2217" w:type="dxa"/>
            <w:tcMar>
              <w:top w:w="80" w:type="dxa"/>
              <w:left w:w="100" w:type="dxa"/>
              <w:bottom w:w="80" w:type="dxa"/>
              <w:right w:w="100" w:type="dxa"/>
            </w:tcMar>
            <w:vAlign w:val="center"/>
          </w:tcPr>
          <w:p w14:paraId="48401C4D" w14:textId="77777777" w:rsidR="00320BB2" w:rsidRDefault="009977A1">
            <w:r>
              <w:rPr>
                <w:b/>
                <w:bCs/>
                <w:color w:val="000000"/>
                <w:sz w:val="18"/>
                <w:szCs w:val="18"/>
              </w:rPr>
              <w:t>Split Bolus Interval (min)</w:t>
            </w:r>
          </w:p>
        </w:tc>
        <w:tc>
          <w:tcPr>
            <w:tcW w:w="2016" w:type="dxa"/>
            <w:tcMar>
              <w:top w:w="80" w:type="dxa"/>
              <w:left w:w="100" w:type="dxa"/>
              <w:bottom w:w="80" w:type="dxa"/>
              <w:right w:w="100" w:type="dxa"/>
            </w:tcMar>
            <w:vAlign w:val="center"/>
          </w:tcPr>
          <w:p>
            <w:r>
              <w:t>7 (1–10) [number]</w:t>
            </w:r>
          </w:p>
        </w:tc>
        <w:tc>
          <w:tcPr>
            <w:tcW w:w="4334" w:type="dxa"/>
            <w:tcMar>
              <w:top w:w="80" w:type="dxa"/>
              <w:left w:w="100" w:type="dxa"/>
              <w:bottom w:w="80" w:type="dxa"/>
              <w:right w:w="100" w:type="dxa"/>
            </w:tcMar>
            <w:vAlign w:val="center"/>
          </w:tcPr>
          <w:p>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r>
              <w:t>7</w:t>
            </w:r>
          </w:p>
        </w:tc>
      </w:tr>
      <w:tr w:rsidR="00320BB2" w14:paraId="247B3F98" w14:textId="77777777" w:rsidTr="00107A84">
        <w:tc>
          <w:tcPr>
            <w:tcW w:w="2217" w:type="dxa"/>
            <w:tcMar>
              <w:top w:w="80" w:type="dxa"/>
              <w:left w:w="100" w:type="dxa"/>
              <w:bottom w:w="80" w:type="dxa"/>
              <w:right w:w="100" w:type="dxa"/>
            </w:tcMar>
            <w:vAlign w:val="center"/>
          </w:tcPr>
          <w:p w14:paraId="57AEA0D6" w14:textId="77777777" w:rsidR="00320BB2" w:rsidRDefault="009977A1">
            <w:r>
              <w:rPr>
                <w:b/>
                <w:bCs/>
                <w:color w:val="000000"/>
                <w:sz w:val="18"/>
                <w:szCs w:val="18"/>
              </w:rPr>
              <w:t>TDD Sensitivity (ISF/Basal)</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r>
              <w:t>on</w:t>
            </w:r>
          </w:p>
        </w:tc>
      </w:tr>
      <w:tr w:rsidR="00320BB2" w14:paraId="45645490" w14:textId="77777777" w:rsidTr="00107A84">
        <w:tc>
          <w:tcPr>
            <w:tcW w:w="2217" w:type="dxa"/>
            <w:tcMar>
              <w:top w:w="80" w:type="dxa"/>
              <w:left w:w="100" w:type="dxa"/>
              <w:bottom w:w="80" w:type="dxa"/>
              <w:right w:w="100" w:type="dxa"/>
            </w:tcMar>
            <w:vAlign w:val="center"/>
          </w:tcPr>
          <w:p w14:paraId="27438290" w14:textId="77777777" w:rsidR="00320BB2" w:rsidRDefault="009977A1">
            <w:r>
              <w:rPr>
                <w:b/>
                <w:bCs/>
                <w:color w:val="000000"/>
                <w:sz w:val="18"/>
                <w:szCs w:val="18"/>
              </w:rPr>
              <w:t>TDD Factor (</w:t>
            </w:r>
            <w:proofErr w:type="spellStart"/>
            <w:r>
              <w:rPr>
                <w:b/>
                <w:bCs/>
                <w:color w:val="000000"/>
                <w:sz w:val="18"/>
                <w:szCs w:val="18"/>
              </w:rPr>
              <w:t>max_iob</w:t>
            </w:r>
            <w:proofErr w:type="spellEnd"/>
            <w:r>
              <w:rPr>
                <w:b/>
                <w:bCs/>
                <w:color w:val="000000"/>
                <w:sz w:val="18"/>
                <w:szCs w:val="18"/>
              </w:rPr>
              <w:t>/</w:t>
            </w:r>
            <w:proofErr w:type="spellStart"/>
            <w:r>
              <w:rPr>
                <w:b/>
                <w:bCs/>
                <w:color w:val="000000"/>
                <w:sz w:val="18"/>
                <w:szCs w:val="18"/>
              </w:rPr>
              <w:t>insulinReq</w:t>
            </w:r>
            <w:proofErr w:type="spellEnd"/>
            <w:r>
              <w:rPr>
                <w:b/>
                <w:bCs/>
                <w:color w:val="000000"/>
                <w:sz w:val="18"/>
                <w:szCs w:val="18"/>
              </w:rPr>
              <w:t>)</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r>
              <w:t>on</w:t>
            </w:r>
          </w:p>
        </w:tc>
      </w:tr>
      <w:tr w:rsidR="00320BB2" w14:paraId="3237BE91" w14:textId="77777777" w:rsidTr="00107A84">
        <w:tc>
          <w:tcPr>
            <w:tcW w:w="2217" w:type="dxa"/>
            <w:tcMar>
              <w:top w:w="80" w:type="dxa"/>
              <w:left w:w="100" w:type="dxa"/>
              <w:bottom w:w="80" w:type="dxa"/>
              <w:right w:w="100" w:type="dxa"/>
            </w:tcMar>
            <w:vAlign w:val="center"/>
          </w:tcPr>
          <w:p w14:paraId="350D00C3" w14:textId="77777777" w:rsidR="00320BB2" w:rsidRDefault="009977A1">
            <w:r>
              <w:rPr>
                <w:b/>
                <w:bCs/>
                <w:color w:val="000000"/>
                <w:sz w:val="18"/>
                <w:szCs w:val="18"/>
              </w:rPr>
              <w:t>TDD Factor fallback value</w:t>
            </w:r>
          </w:p>
        </w:tc>
        <w:tc>
          <w:tcPr>
            <w:tcW w:w="2016" w:type="dxa"/>
            <w:tcMar>
              <w:top w:w="80" w:type="dxa"/>
              <w:left w:w="100" w:type="dxa"/>
              <w:bottom w:w="80" w:type="dxa"/>
              <w:right w:w="100" w:type="dxa"/>
            </w:tcMar>
            <w:vAlign w:val="center"/>
          </w:tcPr>
          <w:p>
            <w:r>
              <w:t>1.0 (0.8–1.2) [number]</w:t>
            </w:r>
          </w:p>
        </w:tc>
        <w:tc>
          <w:tcPr>
            <w:tcW w:w="4334" w:type="dxa"/>
            <w:tcMar>
              <w:top w:w="80" w:type="dxa"/>
              <w:left w:w="100" w:type="dxa"/>
              <w:bottom w:w="80" w:type="dxa"/>
              <w:right w:w="100" w:type="dxa"/>
            </w:tcMar>
            <w:vAlign w:val="center"/>
          </w:tcPr>
          <w:p>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r>
              <w:t>1.00</w:t>
            </w:r>
          </w:p>
        </w:tc>
      </w:tr>
    </w:tbl>
    <w:p w14:paraId="1F969DBD" w14:textId="77777777" w:rsidR="00320BB2" w:rsidRDefault="00320BB2">
      <w:pPr>
        <w:spacing w:after="200"/>
      </w:pPr>
    </w:p>
    <w:p w14:paraId="702E2610" w14:textId="77777777" w:rsidR="00320BB2" w:rsidRDefault="009977A1">
      <w:bookmarkStart w:id="8" w:name="sec006"/>
      <w:pPr>
        <w:pStyle w:val="Heading1"/>
        <w:spacing w:before="400" w:after="200"/>
      </w:pPr>
      <w:r>
        <w:lastRenderedPageBreak/>
        <w:t>Notes</w:t>
      </w:r>
      <w:bookmarkEnd w:id="8"/>
      <w:r>
        <w:t xml:space="preserve"> </w:t>
      </w:r>
      <w:hyperlink w:anchor="TOC">
        <w:r>
          <w:rPr>
            <w:rStyle w:val="Hyperlink"/>
          </w:rPr>
          <w:t>Back to TOC</w:t>
        </w:r>
      </w:hyperlink>
    </w:p>
    <w:p w14:paraId="35771BD0" w14:textId="77777777" w:rsidR="00320BB2" w:rsidRDefault="009977A1">
      <w:pPr>
        <w:spacing w:after="200"/>
      </w:pPr>
      <w:r>
        <w:t xml:space="preserve">• "UAM Boost insulin req %" is used internally by Tier 3 UAM Boost's bypass path but has no GUI entry of its own — it is calculated as (FIXED SMB delivery ratio × 100) rather than being independently </w:t>
      </w:r>
      <w:proofErr w:type="spellStart"/>
      <w:r>
        <w:t>tunable</w:t>
      </w:r>
      <w:proofErr w:type="spellEnd"/>
      <w:r>
        <w:t>, so it always tracks that setting.</w:t>
      </w:r>
    </w:p>
    <w:p w14:paraId="3572D8E6" w14:textId="77777777" w:rsidR="00320BB2" w:rsidRDefault="009977A1">
      <w:pPr>
        <w:spacing w:after="200"/>
      </w:pPr>
      <w:r>
        <w:t>• Settings marked as a live/transient pair (e.g. “Weight while BG accelerates” plus its “Resting” and “Boosted” counterparts) share one underlying live preference that several automations write to and restore — the “Resting”</w:t>
      </w:r>
      <w:proofErr w:type="gramStart"/>
      <w:r>
        <w:t>/“</w:t>
      </w:r>
      <w:proofErr w:type="gramEnd"/>
      <w:r>
        <w:t>Boosted” settings are the values those automations use, not independent effects of their own.</w:t>
      </w:r>
    </w:p>
    <w:p w14:paraId="08B835B3" w14:textId="77777777" w:rsidR="00062202" w:rsidRDefault="00A3769A">
      <w:bookmarkStart w:id="9" w:name="sec007"/>
      <w:pPr>
        <w:pStyle w:val="Heading1"/>
        <w:spacing w:before="400" w:after="200"/>
      </w:pPr>
      <w:r>
        <w:t xml:space="preserve">Not Yet </w:t>
      </w:r>
      <w:proofErr w:type="gramStart"/>
      <w:r>
        <w:t>In</w:t>
      </w:r>
      <w:proofErr w:type="gramEnd"/>
      <w:r>
        <w:t xml:space="preserve"> This Snapshot (added after build 650)</w:t>
      </w:r>
      <w:bookmarkEnd w:id="9"/>
      <w:r>
        <w:t xml:space="preserve"> </w:t>
      </w:r>
      <w:hyperlink w:anchor="TOC">
        <w:r>
          <w:rPr>
            <w:rStyle w:val="Hyperlink"/>
          </w:rPr>
          <w:t>Back to TOC</w:t>
        </w:r>
      </w:hyperlink>
    </w:p>
    <w:p w14:paraId="1DF0D465" w14:textId="77777777" w:rsidR="00062202" w:rsidRDefault="00A3769A">
      <w:pPr>
        <w:spacing w:after="120"/>
      </w:pPr>
      <w:r>
        <w:t>• Enable Tier 3 UAM Boost — default off, no live value available from this build's export.</w:t>
      </w:r>
    </w:p>
    <w:p w14:paraId="3B10DB4B" w14:textId="77777777" w:rsidR="00062202" w:rsidRDefault="00A3769A">
      <w:pPr>
        <w:spacing w:after="120"/>
      </w:pPr>
      <w:r>
        <w:t>• UAM Boost max bolus (</w:t>
      </w:r>
      <w:proofErr w:type="spellStart"/>
      <w:r>
        <w:t>boost_max</w:t>
      </w:r>
      <w:proofErr w:type="spellEnd"/>
      <w:r>
        <w:t>) — default 2.5 U (0.1–10.0), no live value available from this build's export.</w:t>
      </w:r>
    </w:p>
    <w:p w14:paraId="10B9935B" w14:textId="77777777" w:rsidR="00062202" w:rsidRDefault="00A3769A">
      <w:pPr>
        <w:spacing w:after="120"/>
      </w:pPr>
      <w:r>
        <w:t>• UAM Boost max IOB (% of max_iob) — default 10% (1–100%), no live value available from this build's export.</w:t>
      </w:r>
    </w:p>
    <w:p w14:paraId="3A56CBFF" w14:textId="77777777" w:rsidR="00062202" w:rsidRDefault="00A3769A">
      <w:pPr>
        <w:spacing w:after="120"/>
      </w:pPr>
      <w:r>
        <w:t>• UAM Boost scale (</w:t>
      </w:r>
      <w:proofErr w:type="spellStart"/>
      <w:r>
        <w:t>boost_scale</w:t>
      </w:r>
      <w:proofErr w:type="spellEnd"/>
      <w:r>
        <w:t>) — default 1.0 (0.1–3.0), no live value available from this build's export.</w:t>
      </w:r>
    </w:p>
    <w:p w14:paraId="2EDCC97C" w14:textId="77777777" w:rsidR="00062202" w:rsidRDefault="00A3769A">
      <w:bookmarkStart w:id="10" w:name="sec008"/>
      <w:pPr>
        <w:pStyle w:val="Heading1"/>
        <w:spacing w:before="400" w:after="200"/>
      </w:pPr>
      <w:r>
        <w:t xml:space="preserve">Related Settings Present </w:t>
      </w:r>
      <w:proofErr w:type="gramStart"/>
      <w:r>
        <w:t>In</w:t>
      </w:r>
      <w:proofErr w:type="gramEnd"/>
      <w:r>
        <w:t xml:space="preserve"> </w:t>
      </w:r>
      <w:proofErr w:type="gramStart"/>
      <w:r>
        <w:t>The</w:t>
      </w:r>
      <w:proofErr w:type="gramEnd"/>
      <w:r>
        <w:t xml:space="preserve"> Export, Outside This Document's Tables</w:t>
      </w:r>
      <w:bookmarkEnd w:id="10"/>
      <w:r>
        <w:t xml:space="preserve"> </w:t>
      </w:r>
      <w:hyperlink w:anchor="TOC">
        <w:r>
          <w:rPr>
            <w:rStyle w:val="Hyperlink"/>
          </w:rPr>
          <w:t>Back to TOC</w:t>
        </w:r>
      </w:hyperlink>
    </w:p>
    <w:p w14:paraId="672A5756" w14:textId="77777777" w:rsidR="00062202" w:rsidRDefault="00A3769A">
      <w:pPr>
        <w:spacing w:after="200"/>
      </w:pPr>
      <w:r>
        <w:t>Real values from the device, for settings this document's earlier tables don't individually list — included for completeness rather than silently dropped.</w:t>
      </w:r>
    </w:p>
    <w:p w14:paraId="5E656E69" w14:textId="77777777" w:rsidR="00062202" w:rsidRDefault="00A3769A">
      <w:pPr>
        <w:spacing w:after="120"/>
      </w:pPr>
      <w:r>
        <w:t>• Aging-sensor calibration adjustment (master enable) (</w:t>
      </w:r>
      <w:proofErr w:type="spellStart"/>
      <w:r>
        <w:t>autoisf_old_sensor_adj_enabled</w:t>
      </w:r>
      <w:proofErr w:type="spellEnd"/>
      <w:r>
        <w:t>): true. Referenced in the Libre section's description text but has no row of its own in this document's table.</w:t>
      </w:r>
    </w:p>
    <w:p w14:paraId="744988C2" w14:textId="77777777" w:rsidR="00062202" w:rsidRDefault="00A3769A">
      <w:pPr>
        <w:spacing w:after="120"/>
      </w:pPr>
      <w:r>
        <w:t>• Weight while BG decelerates (</w:t>
      </w:r>
      <w:proofErr w:type="spellStart"/>
      <w:r>
        <w:t>bgBrake_ISF_weight</w:t>
      </w:r>
      <w:proofErr w:type="spellEnd"/>
      <w:r>
        <w:t>): 0.25. Sibling of “Weight while BG accelerates”; not currently listed as its own row in this document.</w:t>
      </w:r>
    </w:p>
    <w:p w14:paraId="441079C8" w14:textId="77777777" w:rsidR="00062202" w:rsidRDefault="00A3769A">
      <w:pPr>
        <w:spacing w:after="120"/>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71CB882" w14:textId="77777777" w:rsidR="00062202" w:rsidRDefault="00A3769A">
      <w:pPr>
        <w:spacing w:after="120"/>
      </w:pPr>
      <w:r>
        <w:lastRenderedPageBreak/>
        <w:t xml:space="preserve">• Min </w:t>
      </w:r>
      <w:proofErr w:type="spellStart"/>
      <w:r>
        <w:t>autoISF</w:t>
      </w:r>
      <w:proofErr w:type="spellEnd"/>
      <w:r>
        <w:t xml:space="preserve"> ratio / low-BG max ratio (</w:t>
      </w:r>
      <w:proofErr w:type="spellStart"/>
      <w:r>
        <w:t>autoISF_min</w:t>
      </w:r>
      <w:proofErr w:type="spellEnd"/>
      <w:r>
        <w:t xml:space="preserve"> / </w:t>
      </w:r>
      <w:proofErr w:type="spellStart"/>
      <w:r>
        <w:t>autoISF_max_low</w:t>
      </w:r>
      <w:proofErr w:type="spellEnd"/>
      <w:r>
        <w:t xml:space="preserve">): 0.30 / 1.00. Not present in this document's tables — likely governed elsewhere in the </w:t>
      </w:r>
      <w:proofErr w:type="spellStart"/>
      <w:r>
        <w:t>AutoISF</w:t>
      </w:r>
      <w:proofErr w:type="spellEnd"/>
      <w:r>
        <w:t xml:space="preserve"> weight system </w:t>
      </w:r>
      <w:proofErr w:type="gramStart"/>
      <w:r>
        <w:t>code, or</w:t>
      </w:r>
      <w:proofErr w:type="gramEnd"/>
      <w:r>
        <w:t xml:space="preserve"> scoped out.</w:t>
      </w:r>
    </w:p>
    <w:p w14:paraId="33DF3EAD" w14:textId="77777777" w:rsidR="00062202" w:rsidRDefault="00A3769A">
      <w:pPr>
        <w:spacing w:after="120"/>
      </w:pPr>
      <w:r>
        <w:t>• Enable ISF adaptation by glucose behaviour (</w:t>
      </w:r>
      <w:proofErr w:type="spellStart"/>
      <w:r>
        <w:t>openapsama_enable_autoISF</w:t>
      </w:r>
      <w:proofErr w:type="spellEnd"/>
      <w:r>
        <w:t>): true. Plugin-level master switch, outside this document's per-setting tables.</w:t>
      </w:r>
    </w:p>
    <w:p w14:paraId="16743875" w14:textId="77777777" w:rsidR="00062202" w:rsidRDefault="00A3769A">
      <w:pPr>
        <w:spacing w:after="120"/>
      </w:pPr>
      <w:r>
        <w:t>• SMB delivery ratio — BG range / max / min, range extension (</w:t>
      </w:r>
      <w:proofErr w:type="spellStart"/>
      <w:r>
        <w:t>openapsama_smb_delivery_ratio_bg_range</w:t>
      </w:r>
      <w:proofErr w:type="spellEnd"/>
      <w:r>
        <w:t xml:space="preserve"> / _max / _min / </w:t>
      </w:r>
      <w:proofErr w:type="spellStart"/>
      <w:r>
        <w:t>smb_max_range_extension</w:t>
      </w:r>
      <w:proofErr w:type="spellEnd"/>
      <w:r>
        <w:t>): 0.00 / 0.50 / 0.95 / 4.00. Related sibling settings to “FIXED SMB delivery ratio”, not individually tabled in this document.</w:t>
      </w:r>
    </w:p>
    <w:p w14:paraId="03A6B088" w14:textId="77777777" w:rsidR="00062202" w:rsidRDefault="00A3769A">
      <w:pPr>
        <w:spacing w:after="120"/>
      </w:pPr>
      <w:r>
        <w:t xml:space="preserve">• High/low </w:t>
      </w:r>
      <w:proofErr w:type="spellStart"/>
      <w:r>
        <w:t>temptarget</w:t>
      </w:r>
      <w:proofErr w:type="spellEnd"/>
      <w:r>
        <w:t xml:space="preserve"> sensitivity toggles (</w:t>
      </w:r>
      <w:proofErr w:type="spellStart"/>
      <w:r>
        <w:t>high_temptarget_raises_sensitivity</w:t>
      </w:r>
      <w:proofErr w:type="spellEnd"/>
      <w:r>
        <w:t xml:space="preserve"> / </w:t>
      </w:r>
      <w:proofErr w:type="spellStart"/>
      <w:r>
        <w:t>low_temptarget_lowers_sensitivity</w:t>
      </w:r>
      <w:proofErr w:type="spellEnd"/>
      <w:r>
        <w:t xml:space="preserve">): true / true. Stock AAPS sensitivity settings, not part of the </w:t>
      </w:r>
      <w:proofErr w:type="spellStart"/>
      <w:r>
        <w:t>AutoISF</w:t>
      </w:r>
      <w:proofErr w:type="spellEnd"/>
      <w:r>
        <w:t>-specific screens this document covers.</w:t>
      </w:r>
    </w:p>
    <w:p w14:paraId="2CCF0495" w14:textId="77777777" w:rsidR="00062202" w:rsidRDefault="00A3769A">
      <w:bookmarkStart w:id="11" w:name="sec009"/>
      <w:pPr>
        <w:pStyle w:val="Heading1"/>
        <w:spacing w:before="400" w:after="200"/>
      </w:pPr>
      <w:r>
        <w:t xml:space="preserve">Internal / Non-Setting Keys </w:t>
      </w:r>
      <w:proofErr w:type="gramStart"/>
      <w:r>
        <w:t>In</w:t>
      </w:r>
      <w:proofErr w:type="gramEnd"/>
      <w:r>
        <w:t xml:space="preserve"> This Export</w:t>
      </w:r>
      <w:bookmarkEnd w:id="11"/>
      <w:r>
        <w:t xml:space="preserve"> </w:t>
      </w:r>
      <w:hyperlink w:anchor="TOC">
        <w:r>
          <w:rPr>
            <w:rStyle w:val="Hyperlink"/>
          </w:rPr>
          <w:t>Back to TOC</w:t>
        </w:r>
      </w:hyperlink>
    </w:p>
    <w:p w14:paraId="1CEFA44B" w14:textId="77777777" w:rsidR="00062202" w:rsidRDefault="00A3769A">
      <w:pPr>
        <w:spacing w:after="200"/>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29C669B" w14:textId="77777777">
        <w:trPr>
          <w:tblHeader/>
        </w:trPr>
        <w:tc>
          <w:tcPr>
            <w:tcW w:w="2600" w:type="dxa"/>
            <w:shd w:val="clear" w:color="auto" w:fill="2F5496"/>
            <w:tcMar>
              <w:top w:w="80" w:type="dxa"/>
              <w:left w:w="100" w:type="dxa"/>
              <w:bottom w:w="80" w:type="dxa"/>
              <w:right w:w="100" w:type="dxa"/>
            </w:tcMar>
            <w:vAlign w:val="center"/>
          </w:tcPr>
          <w:p w14:paraId="307E94C2" w14:textId="77777777" w:rsidR="00062202" w:rsidRDefault="00A3769A">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31DA335" w14:textId="77777777" w:rsidR="00062202" w:rsidRDefault="00A3769A">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30ADBBB" w14:textId="77777777" w:rsidR="00062202" w:rsidRDefault="00A3769A">
            <w:r>
              <w:rPr>
                <w:b/>
                <w:bCs/>
                <w:color w:val="FFFFFF"/>
                <w:sz w:val="18"/>
                <w:szCs w:val="18"/>
              </w:rPr>
              <w:t>Why it's not a setting</w:t>
            </w:r>
          </w:p>
        </w:tc>
      </w:tr>
      <w:tr w:rsidR="00062202" w14:paraId="1067C340" w14:textId="77777777">
        <w:tc>
          <w:tcPr>
            <w:tcW w:w="2600" w:type="dxa"/>
            <w:tcMar>
              <w:top w:w="80" w:type="dxa"/>
              <w:left w:w="100" w:type="dxa"/>
              <w:bottom w:w="80" w:type="dxa"/>
              <w:right w:w="100" w:type="dxa"/>
            </w:tcMar>
            <w:vAlign w:val="center"/>
          </w:tcPr>
          <w:p w14:paraId="751938B3" w14:textId="77777777" w:rsidR="00062202" w:rsidRDefault="00A3769A">
            <w:proofErr w:type="spellStart"/>
            <w:r>
              <w:rPr>
                <w:color w:val="000000"/>
                <w:sz w:val="18"/>
                <w:szCs w:val="18"/>
              </w:rPr>
              <w:t>autoisf_clean_graph_requested</w:t>
            </w:r>
            <w:proofErr w:type="spellEnd"/>
          </w:p>
        </w:tc>
        <w:tc>
          <w:tcPr>
            <w:tcW w:w="2200" w:type="dxa"/>
            <w:tcMar>
              <w:top w:w="80" w:type="dxa"/>
              <w:left w:w="100" w:type="dxa"/>
              <w:bottom w:w="80" w:type="dxa"/>
              <w:right w:w="100" w:type="dxa"/>
            </w:tcMar>
            <w:vAlign w:val="center"/>
          </w:tcPr>
          <w:p w14:paraId="63A1168C" w14:textId="77777777" w:rsidR="00062202" w:rsidRDefault="00A3769A">
            <w:r>
              <w:rPr>
                <w:color w:val="000000"/>
                <w:sz w:val="18"/>
                <w:szCs w:val="18"/>
              </w:rPr>
              <w:t>false</w:t>
            </w:r>
          </w:p>
        </w:tc>
        <w:tc>
          <w:tcPr>
            <w:tcW w:w="2780" w:type="dxa"/>
            <w:tcMar>
              <w:top w:w="80" w:type="dxa"/>
              <w:left w:w="100" w:type="dxa"/>
              <w:bottom w:w="80" w:type="dxa"/>
              <w:right w:w="100" w:type="dxa"/>
            </w:tcMar>
            <w:vAlign w:val="center"/>
          </w:tcPr>
          <w:p w14:paraId="35EAEBE0" w14:textId="77777777" w:rsidR="00062202" w:rsidRDefault="00A3769A">
            <w:r>
              <w:rPr>
                <w:color w:val="000000"/>
                <w:sz w:val="18"/>
                <w:szCs w:val="18"/>
              </w:rPr>
              <w:t>One-shot internal flag, not a setting.</w:t>
            </w:r>
          </w:p>
        </w:tc>
      </w:tr>
      <w:tr w:rsidR="00062202" w14:paraId="695E4948" w14:textId="77777777">
        <w:tc>
          <w:tcPr>
            <w:tcW w:w="2600" w:type="dxa"/>
            <w:tcMar>
              <w:top w:w="80" w:type="dxa"/>
              <w:left w:w="100" w:type="dxa"/>
              <w:bottom w:w="80" w:type="dxa"/>
              <w:right w:w="100" w:type="dxa"/>
            </w:tcMar>
            <w:vAlign w:val="center"/>
          </w:tcPr>
          <w:p w14:paraId="77BA1DAD" w14:textId="77777777" w:rsidR="00062202" w:rsidRDefault="00A3769A">
            <w:proofErr w:type="spellStart"/>
            <w:r>
              <w:rPr>
                <w:color w:val="000000"/>
                <w:sz w:val="18"/>
                <w:szCs w:val="18"/>
              </w:rPr>
              <w:t>autoisf_custom_automations_enabled</w:t>
            </w:r>
            <w:proofErr w:type="spellEnd"/>
          </w:p>
        </w:tc>
        <w:tc>
          <w:tcPr>
            <w:tcW w:w="2200" w:type="dxa"/>
            <w:tcMar>
              <w:top w:w="80" w:type="dxa"/>
              <w:left w:w="100" w:type="dxa"/>
              <w:bottom w:w="80" w:type="dxa"/>
              <w:right w:w="100" w:type="dxa"/>
            </w:tcMar>
            <w:vAlign w:val="center"/>
          </w:tcPr>
          <w:p w14:paraId="3A11753A"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ACB03D1" w14:textId="77777777" w:rsidR="00062202" w:rsidRDefault="00A3769A">
            <w:r>
              <w:rPr>
                <w:color w:val="000000"/>
                <w:sz w:val="18"/>
                <w:szCs w:val="18"/>
              </w:rPr>
              <w:t xml:space="preserve">Not exposed via </w:t>
            </w:r>
            <w:proofErr w:type="spellStart"/>
            <w:r>
              <w:rPr>
                <w:color w:val="000000"/>
                <w:sz w:val="18"/>
                <w:szCs w:val="18"/>
              </w:rPr>
              <w:t>addPreferenceScreen</w:t>
            </w:r>
            <w:proofErr w:type="spellEnd"/>
            <w:r>
              <w:rPr>
                <w:color w:val="000000"/>
                <w:sz w:val="18"/>
                <w:szCs w:val="18"/>
              </w:rPr>
              <w:t>; read directly by code.</w:t>
            </w:r>
          </w:p>
        </w:tc>
      </w:tr>
      <w:tr w:rsidR="00062202" w14:paraId="6E4EDDD0" w14:textId="77777777">
        <w:tc>
          <w:tcPr>
            <w:tcW w:w="2600" w:type="dxa"/>
            <w:tcMar>
              <w:top w:w="80" w:type="dxa"/>
              <w:left w:w="100" w:type="dxa"/>
              <w:bottom w:w="80" w:type="dxa"/>
              <w:right w:w="100" w:type="dxa"/>
            </w:tcMar>
            <w:vAlign w:val="center"/>
          </w:tcPr>
          <w:p w14:paraId="612E3F9F" w14:textId="77777777" w:rsidR="00062202" w:rsidRDefault="00A3769A">
            <w:proofErr w:type="spellStart"/>
            <w:r>
              <w:rPr>
                <w:color w:val="000000"/>
                <w:sz w:val="18"/>
                <w:szCs w:val="18"/>
              </w:rPr>
              <w:t>autoisf_fslcal_offset_normal</w:t>
            </w:r>
            <w:proofErr w:type="spellEnd"/>
            <w:r>
              <w:rPr>
                <w:color w:val="000000"/>
                <w:sz w:val="18"/>
                <w:szCs w:val="18"/>
              </w:rPr>
              <w:t xml:space="preserve"> / _</w:t>
            </w:r>
            <w:proofErr w:type="spellStart"/>
            <w:r>
              <w:rPr>
                <w:color w:val="000000"/>
                <w:sz w:val="18"/>
                <w:szCs w:val="18"/>
              </w:rPr>
              <w:t>slope_normal</w:t>
            </w:r>
            <w:proofErr w:type="spellEnd"/>
          </w:p>
        </w:tc>
        <w:tc>
          <w:tcPr>
            <w:tcW w:w="2200" w:type="dxa"/>
            <w:tcMar>
              <w:top w:w="80" w:type="dxa"/>
              <w:left w:w="100" w:type="dxa"/>
              <w:bottom w:w="80" w:type="dxa"/>
              <w:right w:w="100" w:type="dxa"/>
            </w:tcMar>
            <w:vAlign w:val="center"/>
          </w:tcPr>
          <w:p w14:paraId="464BA941" w14:textId="77777777" w:rsidR="00062202" w:rsidRDefault="00A3769A">
            <w:r>
              <w:rPr>
                <w:color w:val="000000"/>
                <w:sz w:val="18"/>
                <w:szCs w:val="18"/>
              </w:rPr>
              <w:t>1.40 / 0.72</w:t>
            </w:r>
          </w:p>
        </w:tc>
        <w:tc>
          <w:tcPr>
            <w:tcW w:w="2780" w:type="dxa"/>
            <w:tcMar>
              <w:top w:w="80" w:type="dxa"/>
              <w:left w:w="100" w:type="dxa"/>
              <w:bottom w:w="80" w:type="dxa"/>
              <w:right w:w="100" w:type="dxa"/>
            </w:tcMar>
            <w:vAlign w:val="center"/>
          </w:tcPr>
          <w:p w14:paraId="5FA8EB11" w14:textId="77777777" w:rsidR="00062202" w:rsidRDefault="00A3769A">
            <w:r>
              <w:rPr>
                <w:color w:val="000000"/>
                <w:sz w:val="18"/>
                <w:szCs w:val="18"/>
              </w:rPr>
              <w:t xml:space="preserve">Internal backup of </w:t>
            </w:r>
            <w:proofErr w:type="spellStart"/>
            <w:r>
              <w:rPr>
                <w:color w:val="000000"/>
                <w:sz w:val="18"/>
                <w:szCs w:val="18"/>
              </w:rPr>
              <w:t>fslCal_Offset</w:t>
            </w:r>
            <w:proofErr w:type="spellEnd"/>
            <w:r>
              <w:rPr>
                <w:color w:val="000000"/>
                <w:sz w:val="18"/>
                <w:szCs w:val="18"/>
              </w:rPr>
              <w:t xml:space="preserve">/Slope taken before </w:t>
            </w:r>
            <w:proofErr w:type="spellStart"/>
            <w:r>
              <w:rPr>
                <w:color w:val="000000"/>
                <w:sz w:val="18"/>
                <w:szCs w:val="18"/>
              </w:rPr>
              <w:t>OldSensorAdj</w:t>
            </w:r>
            <w:proofErr w:type="spellEnd"/>
            <w:r>
              <w:rPr>
                <w:color w:val="000000"/>
                <w:sz w:val="18"/>
                <w:szCs w:val="18"/>
              </w:rPr>
              <w:t xml:space="preserve"> overrides them.</w:t>
            </w:r>
          </w:p>
        </w:tc>
      </w:tr>
      <w:tr w:rsidR="00062202" w14:paraId="62A4A3FD" w14:textId="77777777">
        <w:tc>
          <w:tcPr>
            <w:tcW w:w="2600" w:type="dxa"/>
            <w:tcMar>
              <w:top w:w="80" w:type="dxa"/>
              <w:left w:w="100" w:type="dxa"/>
              <w:bottom w:w="80" w:type="dxa"/>
              <w:right w:w="100" w:type="dxa"/>
            </w:tcMar>
            <w:vAlign w:val="center"/>
          </w:tcPr>
          <w:p w14:paraId="62A07151" w14:textId="77777777" w:rsidR="00062202" w:rsidRDefault="00A3769A">
            <w:proofErr w:type="spellStart"/>
            <w:r>
              <w:rPr>
                <w:color w:val="000000"/>
                <w:sz w:val="18"/>
                <w:szCs w:val="18"/>
              </w:rPr>
              <w:t>autoisf_low_profile_name</w:t>
            </w:r>
            <w:proofErr w:type="spellEnd"/>
            <w:r>
              <w:rPr>
                <w:color w:val="000000"/>
                <w:sz w:val="18"/>
                <w:szCs w:val="18"/>
              </w:rPr>
              <w:t xml:space="preserve"> / </w:t>
            </w:r>
            <w:proofErr w:type="spellStart"/>
            <w:r>
              <w:rPr>
                <w:color w:val="000000"/>
                <w:sz w:val="18"/>
                <w:szCs w:val="18"/>
              </w:rPr>
              <w:t>autoisf_standard_profile_name</w:t>
            </w:r>
            <w:proofErr w:type="spellEnd"/>
          </w:p>
        </w:tc>
        <w:tc>
          <w:tcPr>
            <w:tcW w:w="2200" w:type="dxa"/>
            <w:tcMar>
              <w:top w:w="80" w:type="dxa"/>
              <w:left w:w="100" w:type="dxa"/>
              <w:bottom w:w="80" w:type="dxa"/>
              <w:right w:w="100" w:type="dxa"/>
            </w:tcMar>
            <w:vAlign w:val="center"/>
          </w:tcPr>
          <w:p w14:paraId="40281AE6" w14:textId="77777777" w:rsidR="00062202" w:rsidRDefault="00A3769A">
            <w:r>
              <w:rPr>
                <w:color w:val="000000"/>
                <w:sz w:val="18"/>
                <w:szCs w:val="18"/>
              </w:rPr>
              <w:t xml:space="preserve">Current Profile / Current </w:t>
            </w:r>
            <w:proofErr w:type="spellStart"/>
            <w:r>
              <w:rPr>
                <w:color w:val="000000"/>
                <w:sz w:val="18"/>
                <w:szCs w:val="18"/>
              </w:rPr>
              <w:t>ProfileReal</w:t>
            </w:r>
            <w:proofErr w:type="spellEnd"/>
          </w:p>
        </w:tc>
        <w:tc>
          <w:tcPr>
            <w:tcW w:w="2780" w:type="dxa"/>
            <w:tcMar>
              <w:top w:w="80" w:type="dxa"/>
              <w:left w:w="100" w:type="dxa"/>
              <w:bottom w:w="80" w:type="dxa"/>
              <w:right w:w="100" w:type="dxa"/>
            </w:tcMar>
            <w:vAlign w:val="center"/>
          </w:tcPr>
          <w:p w14:paraId="5D9CC7AA" w14:textId="77777777" w:rsidR="00062202" w:rsidRDefault="00A3769A">
            <w:r>
              <w:rPr>
                <w:color w:val="000000"/>
                <w:sz w:val="18"/>
                <w:szCs w:val="18"/>
              </w:rPr>
              <w:t>String-type profile-name settings, outside this document's numeric/switch scope.</w:t>
            </w:r>
          </w:p>
        </w:tc>
      </w:tr>
      <w:tr w:rsidR="00062202" w14:paraId="3965EB2D" w14:textId="77777777">
        <w:tc>
          <w:tcPr>
            <w:tcW w:w="2600" w:type="dxa"/>
            <w:tcMar>
              <w:top w:w="80" w:type="dxa"/>
              <w:left w:w="100" w:type="dxa"/>
              <w:bottom w:w="80" w:type="dxa"/>
              <w:right w:w="100" w:type="dxa"/>
            </w:tcMar>
            <w:vAlign w:val="center"/>
          </w:tcPr>
          <w:p w14:paraId="61341BF1" w14:textId="77777777" w:rsidR="00062202" w:rsidRDefault="00A3769A">
            <w:r>
              <w:rPr>
                <w:color w:val="000000"/>
                <w:sz w:val="18"/>
                <w:szCs w:val="18"/>
              </w:rPr>
              <w:t>autoisf_low_raw_24_override_active / _armed</w:t>
            </w:r>
          </w:p>
        </w:tc>
        <w:tc>
          <w:tcPr>
            <w:tcW w:w="2200" w:type="dxa"/>
            <w:tcMar>
              <w:top w:w="80" w:type="dxa"/>
              <w:left w:w="100" w:type="dxa"/>
              <w:bottom w:w="80" w:type="dxa"/>
              <w:right w:w="100" w:type="dxa"/>
            </w:tcMar>
            <w:vAlign w:val="center"/>
          </w:tcPr>
          <w:p w14:paraId="2720D022"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30DD6B30" w14:textId="77777777" w:rsidR="00062202" w:rsidRDefault="00A3769A">
            <w:r>
              <w:rPr>
                <w:color w:val="000000"/>
                <w:sz w:val="18"/>
                <w:szCs w:val="18"/>
              </w:rPr>
              <w:t>Internal LowRaw24Cal state. Note: _armed no longer exists in the current codebase (removed the same day this export predates).</w:t>
            </w:r>
          </w:p>
        </w:tc>
      </w:tr>
      <w:tr w:rsidR="00062202" w14:paraId="61B53C17" w14:textId="77777777">
        <w:tc>
          <w:tcPr>
            <w:tcW w:w="2600" w:type="dxa"/>
            <w:tcMar>
              <w:top w:w="80" w:type="dxa"/>
              <w:left w:w="100" w:type="dxa"/>
              <w:bottom w:w="80" w:type="dxa"/>
              <w:right w:w="100" w:type="dxa"/>
            </w:tcMar>
            <w:vAlign w:val="center"/>
          </w:tcPr>
          <w:p w14:paraId="15FBF5EA" w14:textId="77777777" w:rsidR="00062202" w:rsidRDefault="00A3769A">
            <w:proofErr w:type="spellStart"/>
            <w:r>
              <w:rPr>
                <w:color w:val="000000"/>
                <w:sz w:val="18"/>
                <w:szCs w:val="18"/>
              </w:rPr>
              <w:t>autoisf_low_storage_notified</w:t>
            </w:r>
            <w:proofErr w:type="spellEnd"/>
            <w:r>
              <w:rPr>
                <w:color w:val="000000"/>
                <w:sz w:val="18"/>
                <w:szCs w:val="18"/>
              </w:rPr>
              <w:t xml:space="preserve"> / </w:t>
            </w:r>
            <w:proofErr w:type="spellStart"/>
            <w:r>
              <w:rPr>
                <w:color w:val="000000"/>
                <w:sz w:val="18"/>
                <w:szCs w:val="18"/>
              </w:rPr>
              <w:t>autoisf_old_pod_notified</w:t>
            </w:r>
            <w:proofErr w:type="spellEnd"/>
          </w:p>
        </w:tc>
        <w:tc>
          <w:tcPr>
            <w:tcW w:w="2200" w:type="dxa"/>
            <w:tcMar>
              <w:top w:w="80" w:type="dxa"/>
              <w:left w:w="100" w:type="dxa"/>
              <w:bottom w:w="80" w:type="dxa"/>
              <w:right w:w="100" w:type="dxa"/>
            </w:tcMar>
            <w:vAlign w:val="center"/>
          </w:tcPr>
          <w:p w14:paraId="7E15E04E"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284B096C" w14:textId="77777777" w:rsidR="00062202" w:rsidRDefault="00A3769A">
            <w:r>
              <w:rPr>
                <w:color w:val="000000"/>
                <w:sz w:val="18"/>
                <w:szCs w:val="18"/>
              </w:rPr>
              <w:t>Internal notify-once latches.</w:t>
            </w:r>
          </w:p>
        </w:tc>
      </w:tr>
      <w:tr w:rsidR="00062202" w14:paraId="34D8D427" w14:textId="77777777">
        <w:tc>
          <w:tcPr>
            <w:tcW w:w="2600" w:type="dxa"/>
            <w:tcMar>
              <w:top w:w="80" w:type="dxa"/>
              <w:left w:w="100" w:type="dxa"/>
              <w:bottom w:w="80" w:type="dxa"/>
              <w:right w:w="100" w:type="dxa"/>
            </w:tcMar>
            <w:vAlign w:val="center"/>
          </w:tcPr>
          <w:p w14:paraId="00CF1F9E" w14:textId="77777777" w:rsidR="00062202" w:rsidRDefault="00A3769A">
            <w:proofErr w:type="spellStart"/>
            <w:r>
              <w:rPr>
                <w:color w:val="000000"/>
                <w:sz w:val="18"/>
                <w:szCs w:val="18"/>
              </w:rPr>
              <w:t>autoisf_mild_offset_zero_active</w:t>
            </w:r>
            <w:proofErr w:type="spellEnd"/>
            <w:r>
              <w:rPr>
                <w:color w:val="000000"/>
                <w:sz w:val="18"/>
                <w:szCs w:val="18"/>
              </w:rPr>
              <w:t xml:space="preserve"> / </w:t>
            </w:r>
            <w:proofErr w:type="spellStart"/>
            <w:r>
              <w:rPr>
                <w:color w:val="000000"/>
                <w:sz w:val="18"/>
                <w:szCs w:val="18"/>
              </w:rPr>
              <w:t>autoisf_old_sensor_adj_active</w:t>
            </w:r>
            <w:proofErr w:type="spellEnd"/>
          </w:p>
        </w:tc>
        <w:tc>
          <w:tcPr>
            <w:tcW w:w="2200" w:type="dxa"/>
            <w:tcMar>
              <w:top w:w="80" w:type="dxa"/>
              <w:left w:w="100" w:type="dxa"/>
              <w:bottom w:w="80" w:type="dxa"/>
              <w:right w:w="100" w:type="dxa"/>
            </w:tcMar>
            <w:vAlign w:val="center"/>
          </w:tcPr>
          <w:p w14:paraId="24FC9B09"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09D46950" w14:textId="77777777" w:rsidR="00062202" w:rsidRDefault="00A3769A">
            <w:r>
              <w:rPr>
                <w:color w:val="000000"/>
                <w:sz w:val="18"/>
                <w:szCs w:val="18"/>
              </w:rPr>
              <w:t>Internal live-state flags reflecting whether a tier is currently applying.</w:t>
            </w:r>
          </w:p>
        </w:tc>
      </w:tr>
      <w:tr w:rsidR="00062202" w14:paraId="6EE9E9EA" w14:textId="77777777">
        <w:tc>
          <w:tcPr>
            <w:tcW w:w="2600" w:type="dxa"/>
            <w:tcMar>
              <w:top w:w="80" w:type="dxa"/>
              <w:left w:w="100" w:type="dxa"/>
              <w:bottom w:w="80" w:type="dxa"/>
              <w:right w:w="100" w:type="dxa"/>
            </w:tcMar>
            <w:vAlign w:val="center"/>
          </w:tcPr>
          <w:p w14:paraId="7D4FB332" w14:textId="77777777" w:rsidR="00062202" w:rsidRDefault="00A3769A">
            <w:proofErr w:type="spellStart"/>
            <w:r>
              <w:rPr>
                <w:color w:val="000000"/>
                <w:sz w:val="18"/>
                <w:szCs w:val="18"/>
              </w:rPr>
              <w:t>autoisf_sensor_age_code_enabled</w:t>
            </w:r>
            <w:proofErr w:type="spellEnd"/>
          </w:p>
        </w:tc>
        <w:tc>
          <w:tcPr>
            <w:tcW w:w="2200" w:type="dxa"/>
            <w:tcMar>
              <w:top w:w="80" w:type="dxa"/>
              <w:left w:w="100" w:type="dxa"/>
              <w:bottom w:w="80" w:type="dxa"/>
              <w:right w:w="100" w:type="dxa"/>
            </w:tcMar>
            <w:vAlign w:val="center"/>
          </w:tcPr>
          <w:p w14:paraId="759A713F"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0F76BA8" w14:textId="77777777" w:rsidR="00062202" w:rsidRDefault="00A3769A">
            <w:r>
              <w:rPr>
                <w:color w:val="000000"/>
                <w:sz w:val="18"/>
                <w:szCs w:val="18"/>
              </w:rPr>
              <w:t>Related but separate gate from “Aging-sensor calibration adjustment” above; not confirmed to have its own row.</w:t>
            </w:r>
          </w:p>
        </w:tc>
      </w:tr>
      <w:tr w:rsidR="00062202" w14:paraId="421320AF" w14:textId="77777777">
        <w:tc>
          <w:tcPr>
            <w:tcW w:w="2600" w:type="dxa"/>
            <w:tcMar>
              <w:top w:w="80" w:type="dxa"/>
              <w:left w:w="100" w:type="dxa"/>
              <w:bottom w:w="80" w:type="dxa"/>
              <w:right w:w="100" w:type="dxa"/>
            </w:tcMar>
            <w:vAlign w:val="center"/>
          </w:tcPr>
          <w:p w14:paraId="1EBFA6B4" w14:textId="77777777" w:rsidR="00062202" w:rsidRDefault="00A3769A">
            <w:proofErr w:type="spellStart"/>
            <w:r>
              <w:rPr>
                <w:color w:val="000000"/>
                <w:sz w:val="18"/>
                <w:szCs w:val="18"/>
              </w:rPr>
              <w:t>automation_state_MJ</w:t>
            </w:r>
            <w:proofErr w:type="spellEnd"/>
          </w:p>
        </w:tc>
        <w:tc>
          <w:tcPr>
            <w:tcW w:w="2200" w:type="dxa"/>
            <w:tcMar>
              <w:top w:w="80" w:type="dxa"/>
              <w:left w:w="100" w:type="dxa"/>
              <w:bottom w:w="80" w:type="dxa"/>
              <w:right w:w="100" w:type="dxa"/>
            </w:tcMar>
            <w:vAlign w:val="center"/>
          </w:tcPr>
          <w:p w14:paraId="396B020F" w14:textId="77777777" w:rsidR="00062202" w:rsidRDefault="00A3769A">
            <w:r>
              <w:rPr>
                <w:color w:val="000000"/>
                <w:sz w:val="18"/>
                <w:szCs w:val="18"/>
              </w:rPr>
              <w:t>MJ3</w:t>
            </w:r>
          </w:p>
        </w:tc>
        <w:tc>
          <w:tcPr>
            <w:tcW w:w="2780" w:type="dxa"/>
            <w:tcMar>
              <w:top w:w="80" w:type="dxa"/>
              <w:left w:w="100" w:type="dxa"/>
              <w:bottom w:w="80" w:type="dxa"/>
              <w:right w:w="100" w:type="dxa"/>
            </w:tcMar>
            <w:vAlign w:val="center"/>
          </w:tcPr>
          <w:p w14:paraId="593ADBE7" w14:textId="77777777" w:rsidR="00062202" w:rsidRDefault="00A3769A">
            <w:r>
              <w:rPr>
                <w:color w:val="000000"/>
                <w:sz w:val="18"/>
                <w:szCs w:val="18"/>
              </w:rPr>
              <w:t>MJ state-machine's current value, not a preference.</w:t>
            </w:r>
          </w:p>
        </w:tc>
      </w:tr>
      <w:tr w:rsidR="00062202" w14:paraId="183AD6A0" w14:textId="77777777">
        <w:tc>
          <w:tcPr>
            <w:tcW w:w="2600" w:type="dxa"/>
            <w:tcMar>
              <w:top w:w="80" w:type="dxa"/>
              <w:left w:w="100" w:type="dxa"/>
              <w:bottom w:w="80" w:type="dxa"/>
              <w:right w:w="100" w:type="dxa"/>
            </w:tcMar>
            <w:vAlign w:val="center"/>
          </w:tcPr>
          <w:p w14:paraId="72D9A566" w14:textId="77777777" w:rsidR="00062202" w:rsidRDefault="00A3769A">
            <w:proofErr w:type="spellStart"/>
            <w:r>
              <w:rPr>
                <w:color w:val="000000"/>
                <w:sz w:val="18"/>
                <w:szCs w:val="18"/>
              </w:rPr>
              <w:t>boluswizard_percentage</w:t>
            </w:r>
            <w:proofErr w:type="spellEnd"/>
            <w:r>
              <w:rPr>
                <w:color w:val="000000"/>
                <w:sz w:val="18"/>
                <w:szCs w:val="18"/>
              </w:rPr>
              <w:t xml:space="preserve"> / </w:t>
            </w:r>
            <w:proofErr w:type="spellStart"/>
            <w:r>
              <w:rPr>
                <w:color w:val="000000"/>
                <w:sz w:val="18"/>
                <w:szCs w:val="18"/>
              </w:rPr>
              <w:t>insulin_oref_peak</w:t>
            </w:r>
            <w:proofErr w:type="spellEnd"/>
          </w:p>
        </w:tc>
        <w:tc>
          <w:tcPr>
            <w:tcW w:w="2200" w:type="dxa"/>
            <w:tcMar>
              <w:top w:w="80" w:type="dxa"/>
              <w:left w:w="100" w:type="dxa"/>
              <w:bottom w:w="80" w:type="dxa"/>
              <w:right w:w="100" w:type="dxa"/>
            </w:tcMar>
            <w:vAlign w:val="center"/>
          </w:tcPr>
          <w:p w14:paraId="22AB335E" w14:textId="77777777" w:rsidR="00062202" w:rsidRDefault="00A3769A">
            <w:r>
              <w:rPr>
                <w:color w:val="000000"/>
                <w:sz w:val="18"/>
                <w:szCs w:val="18"/>
              </w:rPr>
              <w:t>70 / 45</w:t>
            </w:r>
          </w:p>
        </w:tc>
        <w:tc>
          <w:tcPr>
            <w:tcW w:w="2780" w:type="dxa"/>
            <w:tcMar>
              <w:top w:w="80" w:type="dxa"/>
              <w:left w:w="100" w:type="dxa"/>
              <w:bottom w:w="80" w:type="dxa"/>
              <w:right w:w="100" w:type="dxa"/>
            </w:tcMar>
            <w:vAlign w:val="center"/>
          </w:tcPr>
          <w:p w14:paraId="1CDE53A0" w14:textId="77777777" w:rsidR="00062202" w:rsidRDefault="00A3769A">
            <w:r>
              <w:rPr>
                <w:color w:val="000000"/>
                <w:sz w:val="18"/>
                <w:szCs w:val="18"/>
              </w:rPr>
              <w:t xml:space="preserve">Belong to the Bolus Wizard / Insulin plugins, not </w:t>
            </w:r>
            <w:proofErr w:type="spellStart"/>
            <w:r>
              <w:rPr>
                <w:color w:val="000000"/>
                <w:sz w:val="18"/>
                <w:szCs w:val="18"/>
              </w:rPr>
              <w:t>AutoISF</w:t>
            </w:r>
            <w:proofErr w:type="spellEnd"/>
            <w:r>
              <w:rPr>
                <w:color w:val="000000"/>
                <w:sz w:val="18"/>
                <w:szCs w:val="18"/>
              </w:rPr>
              <w:t>.</w:t>
            </w:r>
          </w:p>
        </w:tc>
      </w:tr>
      <w:tr w:rsidR="00062202" w14:paraId="171C8D64" w14:textId="77777777">
        <w:tc>
          <w:tcPr>
            <w:tcW w:w="2600" w:type="dxa"/>
            <w:tcMar>
              <w:top w:w="80" w:type="dxa"/>
              <w:left w:w="100" w:type="dxa"/>
              <w:bottom w:w="80" w:type="dxa"/>
              <w:right w:w="100" w:type="dxa"/>
            </w:tcMar>
            <w:vAlign w:val="center"/>
          </w:tcPr>
          <w:p w14:paraId="24488621" w14:textId="77777777" w:rsidR="00062202" w:rsidRDefault="00A3769A">
            <w:proofErr w:type="spellStart"/>
            <w:r>
              <w:rPr>
                <w:color w:val="000000"/>
                <w:sz w:val="18"/>
                <w:szCs w:val="18"/>
              </w:rPr>
              <w:t>fsl_use_ukf_smoothing</w:t>
            </w:r>
            <w:proofErr w:type="spellEnd"/>
            <w:r>
              <w:rPr>
                <w:color w:val="000000"/>
                <w:sz w:val="18"/>
                <w:szCs w:val="18"/>
              </w:rPr>
              <w:t xml:space="preserve"> / graph5_bgl_only / show_graph5</w:t>
            </w:r>
          </w:p>
        </w:tc>
        <w:tc>
          <w:tcPr>
            <w:tcW w:w="2200" w:type="dxa"/>
            <w:tcMar>
              <w:top w:w="80" w:type="dxa"/>
              <w:left w:w="100" w:type="dxa"/>
              <w:bottom w:w="80" w:type="dxa"/>
              <w:right w:w="100" w:type="dxa"/>
            </w:tcMar>
            <w:vAlign w:val="center"/>
          </w:tcPr>
          <w:p w14:paraId="0D4E56D7" w14:textId="77777777" w:rsidR="00062202" w:rsidRDefault="00A3769A">
            <w:r>
              <w:rPr>
                <w:color w:val="000000"/>
                <w:sz w:val="18"/>
                <w:szCs w:val="18"/>
              </w:rPr>
              <w:t>false / false / true</w:t>
            </w:r>
          </w:p>
        </w:tc>
        <w:tc>
          <w:tcPr>
            <w:tcW w:w="2780" w:type="dxa"/>
            <w:tcMar>
              <w:top w:w="80" w:type="dxa"/>
              <w:left w:w="100" w:type="dxa"/>
              <w:bottom w:w="80" w:type="dxa"/>
              <w:right w:w="100" w:type="dxa"/>
            </w:tcMar>
            <w:vAlign w:val="center"/>
          </w:tcPr>
          <w:p w14:paraId="11662816" w14:textId="77777777" w:rsidR="00062202" w:rsidRDefault="00A3769A">
            <w:r>
              <w:rPr>
                <w:color w:val="000000"/>
                <w:sz w:val="18"/>
                <w:szCs w:val="18"/>
              </w:rPr>
              <w:t xml:space="preserve">Overview double-tap-gesture toggles, not part of the </w:t>
            </w:r>
            <w:proofErr w:type="spellStart"/>
            <w:r>
              <w:rPr>
                <w:color w:val="000000"/>
                <w:sz w:val="18"/>
                <w:szCs w:val="18"/>
              </w:rPr>
              <w:t>AutoISF</w:t>
            </w:r>
            <w:proofErr w:type="spellEnd"/>
            <w:r>
              <w:rPr>
                <w:color w:val="000000"/>
                <w:sz w:val="18"/>
                <w:szCs w:val="18"/>
              </w:rPr>
              <w:t xml:space="preserve"> preference screens.</w:t>
            </w:r>
          </w:p>
        </w:tc>
      </w:tr>
      <w:tr w:rsidR="00062202" w14:paraId="6FC2A5E4" w14:textId="77777777">
        <w:tc>
          <w:tcPr>
            <w:tcW w:w="2600" w:type="dxa"/>
            <w:tcMar>
              <w:top w:w="80" w:type="dxa"/>
              <w:left w:w="100" w:type="dxa"/>
              <w:bottom w:w="80" w:type="dxa"/>
              <w:right w:w="100" w:type="dxa"/>
            </w:tcMar>
            <w:vAlign w:val="center"/>
          </w:tcPr>
          <w:p w14:paraId="3D68EE0D" w14:textId="77777777" w:rsidR="00062202" w:rsidRDefault="00A3769A">
            <w:r>
              <w:rPr>
                <w:color w:val="000000"/>
                <w:sz w:val="18"/>
                <w:szCs w:val="18"/>
              </w:rPr>
              <w:t xml:space="preserve">configuration_* / source / </w:t>
            </w:r>
            <w:proofErr w:type="spellStart"/>
            <w:r>
              <w:rPr>
                <w:color w:val="000000"/>
                <w:sz w:val="18"/>
                <w:szCs w:val="18"/>
              </w:rPr>
              <w:t>main_phone_snapshot_time</w:t>
            </w:r>
            <w:proofErr w:type="spellEnd"/>
          </w:p>
        </w:tc>
        <w:tc>
          <w:tcPr>
            <w:tcW w:w="2200" w:type="dxa"/>
            <w:tcMar>
              <w:top w:w="80" w:type="dxa"/>
              <w:left w:w="100" w:type="dxa"/>
              <w:bottom w:w="80" w:type="dxa"/>
              <w:right w:w="100" w:type="dxa"/>
            </w:tcMar>
            <w:vAlign w:val="center"/>
          </w:tcPr>
          <w:p w14:paraId="7D812F74" w14:textId="77777777" w:rsidR="00062202" w:rsidRDefault="00A3769A">
            <w:r>
              <w:rPr>
                <w:color w:val="000000"/>
                <w:sz w:val="18"/>
                <w:szCs w:val="18"/>
              </w:rPr>
              <w:t>(device metadata)</w:t>
            </w:r>
          </w:p>
        </w:tc>
        <w:tc>
          <w:tcPr>
            <w:tcW w:w="2780" w:type="dxa"/>
            <w:tcMar>
              <w:top w:w="80" w:type="dxa"/>
              <w:left w:w="100" w:type="dxa"/>
              <w:bottom w:w="80" w:type="dxa"/>
              <w:right w:w="100" w:type="dxa"/>
            </w:tcMar>
            <w:vAlign w:val="center"/>
          </w:tcPr>
          <w:p w14:paraId="600660F6" w14:textId="77777777" w:rsidR="00062202" w:rsidRDefault="00A3769A">
            <w:r>
              <w:rPr>
                <w:color w:val="000000"/>
                <w:sz w:val="18"/>
                <w:szCs w:val="18"/>
              </w:rPr>
              <w:t>Export/device metadata, not settings.</w:t>
            </w:r>
          </w:p>
        </w:tc>
      </w:tr>
    </w:tbl>
    <w:p w14:paraId="19630495" w14:textId="77777777" w:rsidR="00A3769A" w:rsidRDefault="00A3769A">
      <w:bookmarkStart w:id="2" w:name="Bottom"/>
      <w:bookmarkEnd w:id="2"/>
    </w:p>
    <w:p>
      <w:pPr>
        <w:pStyle w:val="Heading1"/>
      </w:pPr>
      <w:r>
        <w:rPr>
          <w:u w:val="single"/>
        </w:rPr>
        <w:t>List 1 and List 2 command/temporary-target reference</w:t>
      </w:r>
    </w:p>
    <w:p>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pPr>
        <w:pStyle w:val="Heading2"/>
        <w:ind w:left="360"/>
      </w:pPr>
      <w:r>
        <w:t>a. List 1 - settings and relay commands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Current-setting behavior</w:t>
            </w:r>
          </w:p>
        </w:tc>
      </w:tr>
      <w:tr>
        <w:tc>
          <w:tcPr>
            <w:tcW w:type="dxa" w:w="1850"/>
            <w:vAlign w:val="center"/>
          </w:tcPr>
          <w:p>
            <w:pPr>
              <w:spacing w:before="0" w:after="30"/>
            </w:pPr>
            <w:r>
              <w:rPr>
                <w:sz w:val="15"/>
              </w:rPr>
              <w:t>SMBdel base + mild-Bst</w:t>
            </w:r>
          </w:p>
        </w:tc>
        <w:tc>
          <w:tcPr>
            <w:tcW w:type="dxa" w:w="1100"/>
            <w:vAlign w:val="center"/>
          </w:tcPr>
          <w:p>
            <w:pPr>
              <w:spacing w:before="0" w:after="30"/>
            </w:pPr>
            <w:r>
              <w:rPr>
                <w:sz w:val="15"/>
              </w:rPr>
              <w:t>5.002 / 5.004</w:t>
            </w:r>
          </w:p>
        </w:tc>
        <w:tc>
          <w:tcPr>
            <w:tcW w:type="dxa" w:w="3760"/>
            <w:vAlign w:val="center"/>
          </w:tcPr>
          <w:p>
            <w:pPr>
              <w:spacing w:before="0" w:after="30"/>
            </w:pPr>
            <w:r>
              <w:rPr>
                <w:sz w:val="15"/>
              </w:rPr>
              <w:t>Decrease/increase both SMB-delivery baseline and Mild Boost ratio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Libre sensor adjustment</w:t>
            </w:r>
          </w:p>
        </w:tc>
        <w:tc>
          <w:tcPr>
            <w:tcW w:type="dxa" w:w="1100"/>
            <w:vAlign w:val="center"/>
          </w:tcPr>
          <w:p>
            <w:pPr>
              <w:spacing w:before="0" w:after="30"/>
            </w:pPr>
            <w:r>
              <w:rPr>
                <w:sz w:val="15"/>
              </w:rPr>
              <w:t>5.006</w:t>
            </w:r>
          </w:p>
        </w:tc>
        <w:tc>
          <w:tcPr>
            <w:tcW w:type="dxa" w:w="3760"/>
            <w:vAlign w:val="center"/>
          </w:tcPr>
          <w:p>
            <w:pPr>
              <w:spacing w:before="0" w:after="30"/>
            </w:pPr>
            <w:r>
              <w:rPr>
                <w:sz w:val="15"/>
              </w:rPr>
              <w:t>Toggle aging-sensor/Libre adjustment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boost automations</w:t>
            </w:r>
          </w:p>
        </w:tc>
        <w:tc>
          <w:tcPr>
            <w:tcW w:type="dxa" w:w="1100"/>
            <w:vAlign w:val="center"/>
          </w:tcPr>
          <w:p>
            <w:pPr>
              <w:spacing w:before="0" w:after="30"/>
            </w:pPr>
            <w:r>
              <w:rPr>
                <w:sz w:val="15"/>
              </w:rPr>
              <w:t>5.008</w:t>
            </w:r>
          </w:p>
        </w:tc>
        <w:tc>
          <w:tcPr>
            <w:tcW w:type="dxa" w:w="3760"/>
            <w:vAlign w:val="center"/>
          </w:tcPr>
          <w:p>
            <w:pPr>
              <w:spacing w:before="0" w:after="30"/>
            </w:pPr>
            <w:r>
              <w:rPr>
                <w:sz w:val="15"/>
              </w:rPr>
              <w:t>Toggle the whole boost-automation group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normal</w:t>
            </w:r>
          </w:p>
        </w:tc>
        <w:tc>
          <w:tcPr>
            <w:tcW w:type="dxa" w:w="1100"/>
            <w:vAlign w:val="center"/>
          </w:tcPr>
          <w:p>
            <w:pPr>
              <w:spacing w:before="0" w:after="30"/>
            </w:pPr>
            <w:r>
              <w:rPr>
                <w:sz w:val="15"/>
              </w:rPr>
              <w:t>5.012 / 5.014</w:t>
            </w:r>
          </w:p>
        </w:tc>
        <w:tc>
          <w:tcPr>
            <w:tcW w:type="dxa" w:w="3760"/>
            <w:vAlign w:val="center"/>
          </w:tcPr>
          <w:p>
            <w:pPr>
              <w:spacing w:before="0" w:after="30"/>
            </w:pPr>
            <w:r>
              <w:rPr>
                <w:sz w:val="15"/>
              </w:rPr>
              <w:t>Decrease/increase normal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normal</w:t>
            </w:r>
          </w:p>
        </w:tc>
        <w:tc>
          <w:tcPr>
            <w:tcW w:type="dxa" w:w="1100"/>
            <w:vAlign w:val="center"/>
          </w:tcPr>
          <w:p>
            <w:pPr>
              <w:spacing w:before="0" w:after="30"/>
            </w:pPr>
            <w:r>
              <w:rPr>
                <w:sz w:val="15"/>
              </w:rPr>
              <w:t>5.016 / 5.018</w:t>
            </w:r>
          </w:p>
        </w:tc>
        <w:tc>
          <w:tcPr>
            <w:tcW w:type="dxa" w:w="3760"/>
            <w:vAlign w:val="center"/>
          </w:tcPr>
          <w:p>
            <w:pPr>
              <w:spacing w:before="0" w:after="30"/>
            </w:pPr>
            <w:r>
              <w:rPr>
                <w:sz w:val="15"/>
              </w:rPr>
              <w:t>Decrease/increase normal acceleration ISF weight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Duration ISF weight - normal</w:t>
            </w:r>
          </w:p>
        </w:tc>
        <w:tc>
          <w:tcPr>
            <w:tcW w:type="dxa" w:w="1100"/>
            <w:vAlign w:val="center"/>
          </w:tcPr>
          <w:p>
            <w:pPr>
              <w:spacing w:before="0" w:after="30"/>
            </w:pPr>
            <w:r>
              <w:rPr>
                <w:sz w:val="15"/>
              </w:rPr>
              <w:t>5.022 / 5.024</w:t>
            </w:r>
          </w:p>
        </w:tc>
        <w:tc>
          <w:tcPr>
            <w:tcW w:type="dxa" w:w="3760"/>
            <w:vAlign w:val="center"/>
          </w:tcPr>
          <w:p>
            <w:pPr>
              <w:spacing w:before="0" w:after="30"/>
            </w:pPr>
            <w:r>
              <w:rPr>
                <w:sz w:val="15"/>
              </w:rPr>
              <w:t>Decrease/increase normal duration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slope - original</w:t>
            </w:r>
          </w:p>
        </w:tc>
        <w:tc>
          <w:tcPr>
            <w:tcW w:type="dxa" w:w="1100"/>
            <w:vAlign w:val="center"/>
          </w:tcPr>
          <w:p>
            <w:pPr>
              <w:spacing w:before="0" w:after="30"/>
            </w:pPr>
            <w:r>
              <w:rPr>
                <w:sz w:val="15"/>
              </w:rPr>
              <w:t>5.026 / 5.028</w:t>
            </w:r>
          </w:p>
        </w:tc>
        <w:tc>
          <w:tcPr>
            <w:tcW w:type="dxa" w:w="3760"/>
            <w:vAlign w:val="center"/>
          </w:tcPr>
          <w:p>
            <w:pPr>
              <w:spacing w:before="0" w:after="30"/>
            </w:pPr>
            <w:r>
              <w:rPr>
                <w:sz w:val="15"/>
              </w:rPr>
              <w:t>Decrease/increase the baseline Libre calibration slope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offset - original</w:t>
            </w:r>
          </w:p>
        </w:tc>
        <w:tc>
          <w:tcPr>
            <w:tcW w:type="dxa" w:w="1100"/>
            <w:vAlign w:val="center"/>
          </w:tcPr>
          <w:p>
            <w:pPr>
              <w:spacing w:before="0" w:after="30"/>
            </w:pPr>
            <w:r>
              <w:rPr>
                <w:sz w:val="15"/>
              </w:rPr>
              <w:t>5.032 / 5.034</w:t>
            </w:r>
          </w:p>
        </w:tc>
        <w:tc>
          <w:tcPr>
            <w:tcW w:type="dxa" w:w="3760"/>
            <w:vAlign w:val="center"/>
          </w:tcPr>
          <w:p>
            <w:pPr>
              <w:spacing w:before="0" w:after="30"/>
            </w:pPr>
            <w:r>
              <w:rPr>
                <w:sz w:val="15"/>
              </w:rPr>
              <w:t>Decrease/increase the baseline Libre calibration offset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SMB offset</w:t>
            </w:r>
          </w:p>
        </w:tc>
        <w:tc>
          <w:tcPr>
            <w:tcW w:type="dxa" w:w="1100"/>
            <w:vAlign w:val="center"/>
          </w:tcPr>
          <w:p>
            <w:pPr>
              <w:spacing w:before="0" w:after="30"/>
            </w:pPr>
            <w:r>
              <w:rPr>
                <w:sz w:val="15"/>
              </w:rPr>
              <w:t>5.036 / 5.038</w:t>
            </w:r>
          </w:p>
        </w:tc>
        <w:tc>
          <w:tcPr>
            <w:tcW w:type="dxa" w:w="3760"/>
            <w:vAlign w:val="center"/>
          </w:tcPr>
          <w:p>
            <w:pPr>
              <w:spacing w:before="0" w:after="30"/>
            </w:pPr>
            <w:r>
              <w:rPr>
                <w:sz w:val="15"/>
              </w:rPr>
              <w:t>Decrease/increase the hard SMB-offset override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Clean graph view</w:t>
            </w:r>
          </w:p>
        </w:tc>
        <w:tc>
          <w:tcPr>
            <w:tcW w:type="dxa" w:w="1100"/>
            <w:vAlign w:val="center"/>
          </w:tcPr>
          <w:p>
            <w:pPr>
              <w:spacing w:before="0" w:after="30"/>
            </w:pPr>
            <w:r>
              <w:rPr>
                <w:sz w:val="15"/>
              </w:rPr>
              <w:t>5.042</w:t>
            </w:r>
          </w:p>
        </w:tc>
        <w:tc>
          <w:tcPr>
            <w:tcW w:type="dxa" w:w="3760"/>
            <w:vAlign w:val="center"/>
          </w:tcPr>
          <w:p>
            <w:pPr>
              <w:spacing w:before="0" w:after="30"/>
            </w:pPr>
            <w:r>
              <w:rPr>
                <w:sz w:val="15"/>
              </w:rPr>
              <w:t>Hide SMB dose labels/arrows and show the plain solid-green view.</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Wizard bolus percentage</w:t>
            </w:r>
          </w:p>
        </w:tc>
        <w:tc>
          <w:tcPr>
            <w:tcW w:type="dxa" w:w="1100"/>
            <w:vAlign w:val="center"/>
          </w:tcPr>
          <w:p>
            <w:pPr>
              <w:spacing w:before="0" w:after="30"/>
            </w:pPr>
            <w:r>
              <w:rPr>
                <w:sz w:val="15"/>
              </w:rPr>
              <w:t>5.046 / 5.048</w:t>
            </w:r>
          </w:p>
        </w:tc>
        <w:tc>
          <w:tcPr>
            <w:tcW w:type="dxa" w:w="3760"/>
            <w:vAlign w:val="center"/>
          </w:tcPr>
          <w:p>
            <w:pPr>
              <w:spacing w:before="0" w:after="30"/>
            </w:pPr>
            <w:r>
              <w:rPr>
                <w:sz w:val="15"/>
              </w:rPr>
              <w:t>Decrease/increase the Wizard percentage by five percentage points.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Mild Boost ratio</w:t>
            </w:r>
          </w:p>
        </w:tc>
        <w:tc>
          <w:tcPr>
            <w:tcW w:type="dxa" w:w="1100"/>
            <w:vAlign w:val="center"/>
          </w:tcPr>
          <w:p>
            <w:pPr>
              <w:spacing w:before="0" w:after="30"/>
            </w:pPr>
            <w:r>
              <w:rPr>
                <w:sz w:val="15"/>
              </w:rPr>
              <w:t>5.052 / 5.054</w:t>
            </w:r>
          </w:p>
        </w:tc>
        <w:tc>
          <w:tcPr>
            <w:tcW w:type="dxa" w:w="3760"/>
            <w:vAlign w:val="center"/>
          </w:tcPr>
          <w:p>
            <w:pPr>
              <w:spacing w:before="0" w:after="30"/>
            </w:pPr>
            <w:r>
              <w:rPr>
                <w:sz w:val="15"/>
              </w:rPr>
              <w:t>Decrease/increase Mild Boost ratio alone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high</w:t>
            </w:r>
          </w:p>
        </w:tc>
        <w:tc>
          <w:tcPr>
            <w:tcW w:type="dxa" w:w="1100"/>
            <w:vAlign w:val="center"/>
          </w:tcPr>
          <w:p>
            <w:pPr>
              <w:spacing w:before="0" w:after="30"/>
            </w:pPr>
            <w:r>
              <w:rPr>
                <w:sz w:val="15"/>
              </w:rPr>
              <w:t>5.056 / 5.058</w:t>
            </w:r>
          </w:p>
        </w:tc>
        <w:tc>
          <w:tcPr>
            <w:tcW w:type="dxa" w:w="3760"/>
            <w:vAlign w:val="center"/>
          </w:tcPr>
          <w:p>
            <w:pPr>
              <w:spacing w:before="0" w:after="30"/>
            </w:pPr>
            <w:r>
              <w:rPr>
                <w:sz w:val="15"/>
              </w:rPr>
              <w:t>Decrease/increase boosted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high</w:t>
            </w:r>
          </w:p>
        </w:tc>
        <w:tc>
          <w:tcPr>
            <w:tcW w:type="dxa" w:w="1100"/>
            <w:vAlign w:val="center"/>
          </w:tcPr>
          <w:p>
            <w:pPr>
              <w:spacing w:before="0" w:after="30"/>
            </w:pPr>
            <w:r>
              <w:rPr>
                <w:sz w:val="15"/>
              </w:rPr>
              <w:t>5.062 / 5.064</w:t>
            </w:r>
          </w:p>
        </w:tc>
        <w:tc>
          <w:tcPr>
            <w:tcW w:type="dxa" w:w="3760"/>
            <w:vAlign w:val="center"/>
          </w:tcPr>
          <w:p>
            <w:pPr>
              <w:spacing w:before="0" w:after="30"/>
            </w:pPr>
            <w:r>
              <w:rPr>
                <w:sz w:val="15"/>
              </w:rPr>
              <w:t>Decrease/increase boosted acceleration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Higher-ISF-range weight</w:t>
            </w:r>
          </w:p>
        </w:tc>
        <w:tc>
          <w:tcPr>
            <w:tcW w:type="dxa" w:w="1100"/>
            <w:vAlign w:val="center"/>
          </w:tcPr>
          <w:p>
            <w:pPr>
              <w:spacing w:before="0" w:after="30"/>
            </w:pPr>
            <w:r>
              <w:rPr>
                <w:sz w:val="15"/>
              </w:rPr>
              <w:t>5.068 / 5.070</w:t>
            </w:r>
          </w:p>
        </w:tc>
        <w:tc>
          <w:tcPr>
            <w:tcW w:type="dxa" w:w="3760"/>
            <w:vAlign w:val="center"/>
          </w:tcPr>
          <w:p>
            <w:pPr>
              <w:spacing w:before="0" w:after="30"/>
            </w:pPr>
            <w:r>
              <w:rPr>
                <w:sz w:val="15"/>
              </w:rPr>
              <w:t>Decrease/increase high-BG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Peak insulin time</w:t>
            </w:r>
          </w:p>
        </w:tc>
        <w:tc>
          <w:tcPr>
            <w:tcW w:type="dxa" w:w="1100"/>
            <w:vAlign w:val="center"/>
          </w:tcPr>
          <w:p>
            <w:pPr>
              <w:spacing w:before="0" w:after="30"/>
            </w:pPr>
            <w:r>
              <w:rPr>
                <w:sz w:val="15"/>
              </w:rPr>
              <w:t>5.074 / 5.076</w:t>
            </w:r>
          </w:p>
        </w:tc>
        <w:tc>
          <w:tcPr>
            <w:tcW w:type="dxa" w:w="3760"/>
            <w:vAlign w:val="center"/>
          </w:tcPr>
          <w:p>
            <w:pPr>
              <w:spacing w:before="0" w:after="30"/>
            </w:pPr>
            <w:r>
              <w:rPr>
                <w:sz w:val="15"/>
              </w:rPr>
              <w:t>Decrease/increase insulin peak by five minutes.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low BG</w:t>
            </w:r>
          </w:p>
        </w:tc>
        <w:tc>
          <w:tcPr>
            <w:tcW w:type="dxa" w:w="1100"/>
            <w:vAlign w:val="center"/>
          </w:tcPr>
          <w:p>
            <w:pPr>
              <w:spacing w:before="0" w:after="30"/>
            </w:pPr>
            <w:r>
              <w:rPr>
                <w:sz w:val="15"/>
              </w:rPr>
              <w:t>5.080 / 5.082</w:t>
            </w:r>
          </w:p>
        </w:tc>
        <w:tc>
          <w:tcPr>
            <w:tcW w:type="dxa" w:w="3760"/>
            <w:vAlign w:val="center"/>
          </w:tcPr>
          <w:p>
            <w:pPr>
              <w:spacing w:before="0" w:after="30"/>
            </w:pPr>
            <w:r>
              <w:rPr>
                <w:sz w:val="15"/>
              </w:rPr>
              <w:t>Decrease/increase the low-BG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normal</w:t>
            </w:r>
          </w:p>
        </w:tc>
        <w:tc>
          <w:tcPr>
            <w:tcW w:type="dxa" w:w="1100"/>
            <w:vAlign w:val="center"/>
          </w:tcPr>
          <w:p>
            <w:pPr>
              <w:spacing w:before="0" w:after="30"/>
            </w:pPr>
            <w:r>
              <w:rPr>
                <w:sz w:val="15"/>
              </w:rPr>
              <w:t>5.086 / 5.088</w:t>
            </w:r>
          </w:p>
        </w:tc>
        <w:tc>
          <w:tcPr>
            <w:tcW w:type="dxa" w:w="3760"/>
            <w:vAlign w:val="center"/>
          </w:tcPr>
          <w:p>
            <w:pPr>
              <w:spacing w:before="0" w:after="30"/>
            </w:pPr>
            <w:r>
              <w:rPr>
                <w:sz w:val="15"/>
              </w:rPr>
              <w:t>Decrease/increase the normal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00:00-02:00</w:t>
            </w:r>
          </w:p>
        </w:tc>
        <w:tc>
          <w:tcPr>
            <w:tcW w:type="dxa" w:w="1100"/>
            <w:vAlign w:val="center"/>
          </w:tcPr>
          <w:p>
            <w:pPr>
              <w:spacing w:before="0" w:after="30"/>
            </w:pPr>
            <w:r>
              <w:rPr>
                <w:sz w:val="15"/>
              </w:rPr>
              <w:t>5.092 / 5.094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02:00-04:00</w:t>
            </w:r>
          </w:p>
        </w:tc>
        <w:tc>
          <w:tcPr>
            <w:tcW w:type="dxa" w:w="1100"/>
            <w:vAlign w:val="center"/>
          </w:tcPr>
          <w:p>
            <w:pPr>
              <w:spacing w:before="0" w:after="30"/>
            </w:pPr>
            <w:r>
              <w:rPr>
                <w:sz w:val="15"/>
              </w:rPr>
              <w:t>5.098 / 5.100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04:00-06:00</w:t>
            </w:r>
          </w:p>
        </w:tc>
        <w:tc>
          <w:tcPr>
            <w:tcW w:type="dxa" w:w="1100"/>
            <w:vAlign w:val="center"/>
          </w:tcPr>
          <w:p>
            <w:pPr>
              <w:spacing w:before="0" w:after="30"/>
            </w:pPr>
            <w:r>
              <w:rPr>
                <w:sz w:val="15"/>
              </w:rPr>
              <w:t>5.104 / 5.106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06:00-09:00</w:t>
            </w:r>
          </w:p>
        </w:tc>
        <w:tc>
          <w:tcPr>
            <w:tcW w:type="dxa" w:w="1100"/>
            <w:vAlign w:val="center"/>
          </w:tcPr>
          <w:p>
            <w:pPr>
              <w:spacing w:before="0" w:after="30"/>
            </w:pPr>
            <w:r>
              <w:rPr>
                <w:sz w:val="15"/>
              </w:rPr>
              <w:t>5.110 / 5.112</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09:00-12:00</w:t>
            </w:r>
          </w:p>
        </w:tc>
        <w:tc>
          <w:tcPr>
            <w:tcW w:type="dxa" w:w="1100"/>
            <w:vAlign w:val="center"/>
          </w:tcPr>
          <w:p>
            <w:pPr>
              <w:spacing w:before="0" w:after="30"/>
            </w:pPr>
            <w:r>
              <w:rPr>
                <w:sz w:val="15"/>
              </w:rPr>
              <w:t>5.116 / 5.118</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12:00-18:00</w:t>
            </w:r>
          </w:p>
        </w:tc>
        <w:tc>
          <w:tcPr>
            <w:tcW w:type="dxa" w:w="1100"/>
            <w:vAlign w:val="center"/>
          </w:tcPr>
          <w:p>
            <w:pPr>
              <w:spacing w:before="0" w:after="30"/>
            </w:pPr>
            <w:r>
              <w:rPr>
                <w:sz w:val="15"/>
              </w:rPr>
              <w:t>5.122 / 5.124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18:00-22:00</w:t>
            </w:r>
          </w:p>
        </w:tc>
        <w:tc>
          <w:tcPr>
            <w:tcW w:type="dxa" w:w="1100"/>
            <w:vAlign w:val="center"/>
          </w:tcPr>
          <w:p>
            <w:pPr>
              <w:spacing w:before="0" w:after="30"/>
            </w:pPr>
            <w:r>
              <w:rPr>
                <w:sz w:val="15"/>
              </w:rPr>
              <w:t>5.128 / 5.130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22:00-00:00</w:t>
            </w:r>
          </w:p>
        </w:tc>
        <w:tc>
          <w:tcPr>
            <w:tcW w:type="dxa" w:w="1100"/>
            <w:vAlign w:val="center"/>
          </w:tcPr>
          <w:p>
            <w:pPr>
              <w:spacing w:before="0" w:after="30"/>
            </w:pPr>
            <w:r>
              <w:rPr>
                <w:sz w:val="15"/>
              </w:rPr>
              <w:t>5.134 / 5.136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Graph2 carb-model curve</w:t>
            </w:r>
          </w:p>
        </w:tc>
        <w:tc>
          <w:tcPr>
            <w:tcW w:type="dxa" w:w="1100"/>
            <w:vAlign w:val="center"/>
          </w:tcPr>
          <w:p>
            <w:pPr>
              <w:spacing w:before="0" w:after="30"/>
            </w:pPr>
            <w:r>
              <w:rPr>
                <w:sz w:val="15"/>
              </w:rPr>
              <w:t>5.138</w:t>
            </w:r>
          </w:p>
        </w:tc>
        <w:tc>
          <w:tcPr>
            <w:tcW w:type="dxa" w:w="3760"/>
            <w:vAlign w:val="center"/>
          </w:tcPr>
          <w:p>
            <w:pPr>
              <w:spacing w:before="0" w:after="30"/>
            </w:pPr>
            <w:r>
              <w:rPr>
                <w:sz w:val="15"/>
              </w:rPr>
              <w:t>Toggle the empirical/theoretical carb-model curve display.</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Cloud logs upload</w:t>
            </w:r>
          </w:p>
        </w:tc>
        <w:tc>
          <w:tcPr>
            <w:tcW w:type="dxa" w:w="1100"/>
            <w:vAlign w:val="center"/>
          </w:tcPr>
          <w:p>
            <w:pPr>
              <w:spacing w:before="0" w:after="30"/>
            </w:pPr>
            <w:r>
              <w:rPr>
                <w:sz w:val="15"/>
              </w:rPr>
              <w:t>5.140</w:t>
            </w:r>
          </w:p>
        </w:tc>
        <w:tc>
          <w:tcPr>
            <w:tcW w:type="dxa" w:w="3760"/>
            <w:vAlign w:val="center"/>
          </w:tcPr>
          <w:p>
            <w:pPr>
              <w:spacing w:before="0" w:after="30"/>
            </w:pPr>
            <w:r>
              <w:rPr>
                <w:sz w:val="15"/>
              </w:rPr>
              <w:t>Zip and send logs to configured cloud storage, otherwise use email.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Graph5</w:t>
            </w:r>
          </w:p>
        </w:tc>
        <w:tc>
          <w:tcPr>
            <w:tcW w:type="dxa" w:w="1100"/>
            <w:vAlign w:val="center"/>
          </w:tcPr>
          <w:p>
            <w:pPr>
              <w:spacing w:before="0" w:after="30"/>
            </w:pPr>
            <w:r>
              <w:rPr>
                <w:sz w:val="15"/>
              </w:rPr>
              <w:t>5.142</w:t>
            </w:r>
          </w:p>
        </w:tc>
        <w:tc>
          <w:tcPr>
            <w:tcW w:type="dxa" w:w="3760"/>
            <w:vAlign w:val="center"/>
          </w:tcPr>
          <w:p>
            <w:pPr>
              <w:spacing w:before="0" w:after="30"/>
            </w:pPr>
            <w:r>
              <w:rPr>
                <w:sz w:val="15"/>
              </w:rPr>
              <w:t>Toggle the Graph5 comparison panel.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MJ state manual override</w:t>
            </w:r>
          </w:p>
        </w:tc>
        <w:tc>
          <w:tcPr>
            <w:tcW w:type="dxa" w:w="1100"/>
            <w:vAlign w:val="center"/>
          </w:tcPr>
          <w:p>
            <w:pPr>
              <w:spacing w:before="0" w:after="30"/>
            </w:pPr>
            <w:r>
              <w:rPr>
                <w:sz w:val="15"/>
              </w:rPr>
              <w:t>5.144 / 5.146</w:t>
            </w:r>
          </w:p>
        </w:tc>
        <w:tc>
          <w:tcPr>
            <w:tcW w:type="dxa" w:w="3760"/>
            <w:vAlign w:val="center"/>
          </w:tcPr>
          <w:p>
            <w:pPr>
              <w:spacing w:before="0" w:after="30"/>
            </w:pPr>
            <w:r>
              <w:rPr>
                <w:sz w:val="15"/>
              </w:rPr>
              <w:t>Set MJ to NOMJremains or MJ3.</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Profile manual override</w:t>
            </w:r>
          </w:p>
        </w:tc>
        <w:tc>
          <w:tcPr>
            <w:tcW w:type="dxa" w:w="1100"/>
            <w:vAlign w:val="center"/>
          </w:tcPr>
          <w:p>
            <w:pPr>
              <w:spacing w:before="0" w:after="30"/>
            </w:pPr>
            <w:r>
              <w:rPr>
                <w:sz w:val="15"/>
              </w:rPr>
              <w:t>5.148 / 5.150</w:t>
            </w:r>
          </w:p>
        </w:tc>
        <w:tc>
          <w:tcPr>
            <w:tcW w:type="dxa" w:w="3760"/>
            <w:vAlign w:val="center"/>
          </w:tcPr>
          <w:p>
            <w:pPr>
              <w:spacing w:before="0" w:after="30"/>
            </w:pPr>
            <w:r>
              <w:rPr>
                <w:sz w:val="15"/>
              </w:rPr>
              <w:t>Select the configured Standard or Low profile.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UKFset1 live comparison</w:t>
            </w:r>
          </w:p>
        </w:tc>
        <w:tc>
          <w:tcPr>
            <w:tcW w:type="dxa" w:w="1100"/>
            <w:vAlign w:val="center"/>
          </w:tcPr>
          <w:p>
            <w:pPr>
              <w:spacing w:before="0" w:after="30"/>
            </w:pPr>
            <w:r>
              <w:rPr>
                <w:sz w:val="15"/>
              </w:rPr>
              <w:t>5.152</w:t>
            </w:r>
          </w:p>
        </w:tc>
        <w:tc>
          <w:tcPr>
            <w:tcW w:type="dxa" w:w="3760"/>
            <w:vAlign w:val="center"/>
          </w:tcPr>
          <w:p>
            <w:pPr>
              <w:spacing w:before="0" w:after="30"/>
            </w:pPr>
            <w:r>
              <w:rPr>
                <w:sz w:val="15"/>
              </w:rPr>
              <w:t>Toggle the Virtual-Pump, non-Client live UKFset1 comparison; hidden elsewhere.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Run SensorAge code</w:t>
            </w:r>
          </w:p>
        </w:tc>
        <w:tc>
          <w:tcPr>
            <w:tcW w:type="dxa" w:w="1100"/>
            <w:vAlign w:val="center"/>
          </w:tcPr>
          <w:p>
            <w:pPr>
              <w:spacing w:before="0" w:after="30"/>
            </w:pPr>
            <w:r>
              <w:rPr>
                <w:sz w:val="15"/>
              </w:rPr>
              <w:t>5.156</w:t>
            </w:r>
          </w:p>
        </w:tc>
        <w:tc>
          <w:tcPr>
            <w:tcW w:type="dxa" w:w="3760"/>
            <w:vAlign w:val="center"/>
          </w:tcPr>
          <w:p>
            <w:pPr>
              <w:spacing w:before="0" w:after="30"/>
            </w:pPr>
            <w:r>
              <w:rPr>
                <w:sz w:val="15"/>
              </w:rPr>
              <w:t>Toggle the sensor-age code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bl>
    <w:p>
      <w:pPr>
        <w:pStyle w:val="Heading2"/>
        <w:ind w:left="360"/>
      </w:pPr>
      <w:r>
        <w:t>b. List 2 - actions, relays and local graph controls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Transport/status</w:t>
            </w:r>
          </w:p>
        </w:tc>
      </w:tr>
      <w:tr>
        <w:tc>
          <w:tcPr>
            <w:tcW w:type="dxa" w:w="1850"/>
            <w:vAlign w:val="center"/>
          </w:tcPr>
          <w:p>
            <w:pPr>
              <w:spacing w:before="0" w:after="30"/>
            </w:pPr>
            <w:r>
              <w:rPr>
                <w:sz w:val="15"/>
              </w:rPr>
              <w:t>MJ start</w:t>
            </w:r>
          </w:p>
        </w:tc>
        <w:tc>
          <w:tcPr>
            <w:tcW w:type="dxa" w:w="1100"/>
            <w:vAlign w:val="center"/>
          </w:tcPr>
          <w:p>
            <w:pPr>
              <w:spacing w:before="0" w:after="30"/>
            </w:pPr>
            <w:r>
              <w:rPr>
                <w:sz w:val="15"/>
              </w:rPr>
              <w:t>5.158</w:t>
            </w:r>
          </w:p>
        </w:tc>
        <w:tc>
          <w:tcPr>
            <w:tcW w:type="dxa" w:w="3760"/>
            <w:vAlign w:val="center"/>
          </w:tcPr>
          <w:p>
            <w:pPr>
              <w:spacing w:before="0" w:after="30"/>
            </w:pPr>
            <w:r>
              <w:rPr>
                <w:sz w:val="15"/>
              </w:rPr>
              <w:t>Start the confirmed Mounjaro cycle.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MJ restore</w:t>
            </w:r>
          </w:p>
        </w:tc>
        <w:tc>
          <w:tcPr>
            <w:tcW w:type="dxa" w:w="1100"/>
            <w:vAlign w:val="center"/>
          </w:tcPr>
          <w:p>
            <w:pPr>
              <w:spacing w:before="0" w:after="30"/>
            </w:pPr>
            <w:r>
              <w:rPr>
                <w:sz w:val="15"/>
              </w:rPr>
              <w:t>5.160</w:t>
            </w:r>
          </w:p>
        </w:tc>
        <w:tc>
          <w:tcPr>
            <w:tcW w:type="dxa" w:w="3760"/>
            <w:vAlign w:val="center"/>
          </w:tcPr>
          <w:p>
            <w:pPr>
              <w:spacing w:before="0" w:after="30"/>
            </w:pPr>
            <w:r>
              <w:rPr>
                <w:sz w:val="15"/>
              </w:rPr>
              <w:t>Run the confirmed Mounjaro restoration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start</w:t>
            </w:r>
          </w:p>
        </w:tc>
        <w:tc>
          <w:tcPr>
            <w:tcW w:type="dxa" w:w="1100"/>
            <w:vAlign w:val="center"/>
          </w:tcPr>
          <w:p>
            <w:pPr>
              <w:spacing w:before="0" w:after="30"/>
            </w:pPr>
            <w:r>
              <w:rPr>
                <w:sz w:val="15"/>
              </w:rPr>
              <w:t>5.162</w:t>
            </w:r>
          </w:p>
        </w:tc>
        <w:tc>
          <w:tcPr>
            <w:tcW w:type="dxa" w:w="3760"/>
            <w:vAlign w:val="center"/>
          </w:tcPr>
          <w:p>
            <w:pPr>
              <w:spacing w:before="0" w:after="30"/>
            </w:pPr>
            <w:r>
              <w:rPr>
                <w:sz w:val="15"/>
              </w:rPr>
              <w:t>Start the steroid-management sequence.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MJ Kotlin buttons</w:t>
            </w:r>
          </w:p>
        </w:tc>
        <w:tc>
          <w:tcPr>
            <w:tcW w:type="dxa" w:w="1100"/>
            <w:vAlign w:val="center"/>
          </w:tcPr>
          <w:p>
            <w:pPr>
              <w:spacing w:before="0" w:after="30"/>
            </w:pPr>
            <w:r>
              <w:rPr>
                <w:sz w:val="15"/>
              </w:rPr>
              <w:t>5.164</w:t>
            </w:r>
          </w:p>
        </w:tc>
        <w:tc>
          <w:tcPr>
            <w:tcW w:type="dxa" w:w="3760"/>
            <w:vAlign w:val="center"/>
          </w:tcPr>
          <w:p>
            <w:pPr>
              <w:spacing w:before="0" w:after="30"/>
            </w:pPr>
            <w:r>
              <w:rPr>
                <w:sz w:val="15"/>
              </w:rPr>
              <w:t>Show/hide the MJ buttons.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Steroid Kotlin button</w:t>
            </w:r>
          </w:p>
        </w:tc>
        <w:tc>
          <w:tcPr>
            <w:tcW w:type="dxa" w:w="1100"/>
            <w:vAlign w:val="center"/>
          </w:tcPr>
          <w:p>
            <w:pPr>
              <w:spacing w:before="0" w:after="30"/>
            </w:pPr>
            <w:r>
              <w:rPr>
                <w:sz w:val="15"/>
              </w:rPr>
              <w:t>5.166</w:t>
            </w:r>
          </w:p>
        </w:tc>
        <w:tc>
          <w:tcPr>
            <w:tcW w:type="dxa" w:w="3760"/>
            <w:vAlign w:val="center"/>
          </w:tcPr>
          <w:p>
            <w:pPr>
              <w:spacing w:before="0" w:after="30"/>
            </w:pPr>
            <w:r>
              <w:rPr>
                <w:sz w:val="15"/>
              </w:rPr>
              <w:t>Show/hide the steroid button.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110 to 130</w:t>
            </w:r>
          </w:p>
        </w:tc>
        <w:tc>
          <w:tcPr>
            <w:tcW w:type="dxa" w:w="1100"/>
            <w:vAlign w:val="center"/>
          </w:tcPr>
          <w:p>
            <w:pPr>
              <w:spacing w:before="0" w:after="30"/>
            </w:pPr>
            <w:r>
              <w:rPr>
                <w:sz w:val="15"/>
              </w:rPr>
              <w:t>5.168</w:t>
            </w:r>
          </w:p>
        </w:tc>
        <w:tc>
          <w:tcPr>
            <w:tcW w:type="dxa" w:w="3760"/>
            <w:vAlign w:val="center"/>
          </w:tcPr>
          <w:p>
            <w:pPr>
              <w:spacing w:before="0" w:after="30"/>
            </w:pPr>
            <w:r>
              <w:rPr>
                <w:sz w:val="15"/>
              </w:rPr>
              <w:t>Run the confirmed steroid escalation to 130.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130 to 150</w:t>
            </w:r>
          </w:p>
        </w:tc>
        <w:tc>
          <w:tcPr>
            <w:tcW w:type="dxa" w:w="1100"/>
            <w:vAlign w:val="center"/>
          </w:tcPr>
          <w:p>
            <w:pPr>
              <w:spacing w:before="0" w:after="30"/>
            </w:pPr>
            <w:r>
              <w:rPr>
                <w:sz w:val="15"/>
              </w:rPr>
              <w:t>5.170</w:t>
            </w:r>
          </w:p>
        </w:tc>
        <w:tc>
          <w:tcPr>
            <w:tcW w:type="dxa" w:w="3760"/>
            <w:vAlign w:val="center"/>
          </w:tcPr>
          <w:p>
            <w:pPr>
              <w:spacing w:before="0" w:after="30"/>
            </w:pPr>
            <w:r>
              <w:rPr>
                <w:sz w:val="15"/>
              </w:rPr>
              <w:t>Run the confirmed steroid escalation to 150.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150 to 190</w:t>
            </w:r>
          </w:p>
        </w:tc>
        <w:tc>
          <w:tcPr>
            <w:tcW w:type="dxa" w:w="1100"/>
            <w:vAlign w:val="center"/>
          </w:tcPr>
          <w:p>
            <w:pPr>
              <w:spacing w:before="0" w:after="30"/>
            </w:pPr>
            <w:r>
              <w:rPr>
                <w:sz w:val="15"/>
              </w:rPr>
              <w:t>5.172</w:t>
            </w:r>
          </w:p>
        </w:tc>
        <w:tc>
          <w:tcPr>
            <w:tcW w:type="dxa" w:w="3760"/>
            <w:vAlign w:val="center"/>
          </w:tcPr>
          <w:p>
            <w:pPr>
              <w:spacing w:before="0" w:after="30"/>
            </w:pPr>
            <w:r>
              <w:rPr>
                <w:sz w:val="15"/>
              </w:rPr>
              <w:t>Run the confirmed steroid escalation to 190.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190 to 250</w:t>
            </w:r>
          </w:p>
        </w:tc>
        <w:tc>
          <w:tcPr>
            <w:tcW w:type="dxa" w:w="1100"/>
            <w:vAlign w:val="center"/>
          </w:tcPr>
          <w:p>
            <w:pPr>
              <w:spacing w:before="0" w:after="30"/>
            </w:pPr>
            <w:r>
              <w:rPr>
                <w:sz w:val="15"/>
              </w:rPr>
              <w:t>5.174</w:t>
            </w:r>
          </w:p>
        </w:tc>
        <w:tc>
          <w:tcPr>
            <w:tcW w:type="dxa" w:w="3760"/>
            <w:vAlign w:val="center"/>
          </w:tcPr>
          <w:p>
            <w:pPr>
              <w:spacing w:before="0" w:after="30"/>
            </w:pPr>
            <w:r>
              <w:rPr>
                <w:sz w:val="15"/>
              </w:rPr>
              <w:t>Run the confirmed steroid escalation to 250.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Steroids OFF</w:t>
            </w:r>
          </w:p>
        </w:tc>
        <w:tc>
          <w:tcPr>
            <w:tcW w:type="dxa" w:w="1100"/>
            <w:vAlign w:val="center"/>
          </w:tcPr>
          <w:p>
            <w:pPr>
              <w:spacing w:before="0" w:after="30"/>
            </w:pPr>
            <w:r>
              <w:rPr>
                <w:sz w:val="15"/>
              </w:rPr>
              <w:t>5.176</w:t>
            </w:r>
          </w:p>
        </w:tc>
        <w:tc>
          <w:tcPr>
            <w:tcW w:type="dxa" w:w="3760"/>
            <w:vAlign w:val="center"/>
          </w:tcPr>
          <w:p>
            <w:pPr>
              <w:spacing w:before="0" w:after="30"/>
            </w:pPr>
            <w:r>
              <w:rPr>
                <w:sz w:val="15"/>
              </w:rPr>
              <w:t>Run the confirmed steroid turn-off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w:t>
            </w:r>
          </w:p>
        </w:tc>
        <w:tc>
          <w:tcPr>
            <w:tcW w:type="dxa" w:w="1100"/>
            <w:vAlign w:val="center"/>
          </w:tcPr>
          <w:p>
            <w:pPr>
              <w:spacing w:before="0" w:after="30"/>
            </w:pPr>
            <w:r>
              <w:rPr>
                <w:sz w:val="15"/>
              </w:rPr>
              <w:t>5.178</w:t>
            </w:r>
          </w:p>
        </w:tc>
        <w:tc>
          <w:tcPr>
            <w:tcW w:type="dxa" w:w="3760"/>
            <w:vAlign w:val="center"/>
          </w:tcPr>
          <w:p>
            <w:pPr>
              <w:spacing w:before="0" w:after="30"/>
            </w:pPr>
            <w:r>
              <w:rPr>
                <w:sz w:val="15"/>
              </w:rPr>
              <w:t>Client writes an ADesk Note and uses a five-minute relay TT only if no real TT is active; otherwise Note-only transport preserves the real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 - local test</w:t>
            </w:r>
          </w:p>
        </w:tc>
        <w:tc>
          <w:tcPr>
            <w:tcW w:type="dxa" w:w="1100"/>
            <w:vAlign w:val="center"/>
          </w:tcPr>
          <w:p>
            <w:pPr>
              <w:spacing w:before="0" w:after="30"/>
            </w:pPr>
            <w:r>
              <w:rPr>
                <w:sz w:val="15"/>
              </w:rPr>
              <w:t>5.180</w:t>
            </w:r>
          </w:p>
        </w:tc>
        <w:tc>
          <w:tcPr>
            <w:tcW w:type="dxa" w:w="3760"/>
            <w:vAlign w:val="center"/>
          </w:tcPr>
          <w:p>
            <w:pPr>
              <w:spacing w:before="0" w:after="30"/>
            </w:pPr>
            <w:r>
              <w:rPr>
                <w:sz w:val="15"/>
              </w:rPr>
              <w:t>Local command test through the real receiver; no NS round-trip or relay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UKF1</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UKF2</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calibration is already upstream and remains shown as 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UKF3</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Graph5 panel</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panel toggle; optional BGL-only mode hides insulin activity and the three carb series.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bl>
    <w:p>
      <w:pPr>
        <w:pStyle w:val="Heading1"/>
      </w:pPr>
      <w:r>
        <w:rPr>
          <w:u w:val="single"/>
        </w:rPr>
        <w:t>AutoISF Coded Automations - Current Code Registry</w:t>
      </w:r>
    </w:p>
    <w:p>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0"/>
        <w:gridCol w:w="2050"/>
        <w:gridCol w:w="1600"/>
        <w:gridCol w:w="5210"/>
      </w:tblGrid>
      <w:tr>
        <w:trPr>
          <w:tblHeader w:val="true"/>
        </w:trPr>
        <w:tc>
          <w:tcPr>
            <w:tcW w:type="dxa" w:w="500"/>
            <w:vAlign w:val="center"/>
          </w:tcPr>
          <w:p>
            <w:pPr>
              <w:spacing w:before="0" w:after="30"/>
            </w:pPr>
            <w:r>
              <w:rPr>
                <w:b/>
                <w:sz w:val="14"/>
              </w:rPr>
              <w:t>#</w:t>
            </w:r>
          </w:p>
        </w:tc>
        <w:tc>
          <w:tcPr>
            <w:tcW w:type="dxa" w:w="2050"/>
            <w:vAlign w:val="center"/>
          </w:tcPr>
          <w:p>
            <w:pPr>
              <w:spacing w:before="0" w:after="30"/>
            </w:pPr>
            <w:r>
              <w:rPr>
                <w:b/>
                <w:sz w:val="14"/>
              </w:rPr>
              <w:t>Current coded key</w:t>
            </w:r>
          </w:p>
        </w:tc>
        <w:tc>
          <w:tcPr>
            <w:tcW w:type="dxa" w:w="1600"/>
            <w:vAlign w:val="center"/>
          </w:tcPr>
          <w:p>
            <w:pPr>
              <w:spacing w:before="0" w:after="30"/>
            </w:pPr>
            <w:r>
              <w:rPr>
                <w:b/>
                <w:sz w:val="14"/>
              </w:rPr>
              <w:t>Type</w:t>
            </w:r>
          </w:p>
        </w:tc>
        <w:tc>
          <w:tcPr>
            <w:tcW w:type="dxa" w:w="5210"/>
            <w:vAlign w:val="center"/>
          </w:tcPr>
          <w:p>
            <w:pPr>
              <w:spacing w:before="0" w:after="30"/>
            </w:pPr>
            <w:r>
              <w:rPr>
                <w:b/>
                <w:sz w:val="14"/>
              </w:rPr>
              <w:t>Current code definition / criteria and action</w:t>
            </w:r>
          </w:p>
        </w:tc>
      </w:tr>
      <w:tr>
        <w:tc>
          <w:tcPr>
            <w:tcW w:type="dxa" w:w="500"/>
            <w:vAlign w:val="center"/>
          </w:tcPr>
          <w:p>
            <w:pPr>
              <w:spacing w:before="0" w:after="30"/>
            </w:pPr>
            <w:r>
              <w:rPr>
                <w:sz w:val="14"/>
              </w:rPr>
              <w:t>1</w:t>
            </w:r>
          </w:p>
        </w:tc>
        <w:tc>
          <w:tcPr>
            <w:tcW w:type="dxa" w:w="2050"/>
            <w:vAlign w:val="center"/>
          </w:tcPr>
          <w:p>
            <w:pPr>
              <w:spacing w:before="0" w:after="30"/>
            </w:pPr>
            <w:r>
              <w:rPr>
                <w:sz w:val="14"/>
              </w:rPr>
              <w:t>50SetRecent</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tc>
          <w:tcPr>
            <w:tcW w:type="dxa" w:w="500"/>
            <w:vAlign w:val="center"/>
          </w:tcPr>
          <w:p>
            <w:pPr>
              <w:spacing w:before="0" w:after="30"/>
            </w:pPr>
            <w:r>
              <w:rPr>
                <w:sz w:val="14"/>
              </w:rPr>
              <w:t>2</w:t>
            </w:r>
          </w:p>
        </w:tc>
        <w:tc>
          <w:tcPr>
            <w:tcW w:type="dxa" w:w="2050"/>
            <w:vAlign w:val="center"/>
          </w:tcPr>
          <w:p>
            <w:pPr>
              <w:spacing w:before="0" w:after="30"/>
            </w:pPr>
            <w:r>
              <w:rPr>
                <w:sz w:val="14"/>
              </w:rPr>
              <w:t>50pcMakes5.7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tc>
          <w:tcPr>
            <w:tcW w:type="dxa" w:w="500"/>
            <w:vAlign w:val="center"/>
          </w:tcPr>
          <w:p>
            <w:pPr>
              <w:spacing w:before="0" w:after="30"/>
            </w:pPr>
            <w:r>
              <w:rPr>
                <w:sz w:val="14"/>
              </w:rPr>
              <w:t>3</w:t>
            </w:r>
          </w:p>
        </w:tc>
        <w:tc>
          <w:tcPr>
            <w:tcW w:type="dxa" w:w="2050"/>
            <w:vAlign w:val="center"/>
          </w:tcPr>
          <w:p>
            <w:pPr>
              <w:spacing w:before="0" w:after="30"/>
            </w:pPr>
            <w:r>
              <w:rPr>
                <w:sz w:val="14"/>
              </w:rPr>
              <w:t>AcceUp0.5</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tc>
          <w:tcPr>
            <w:tcW w:type="dxa" w:w="500"/>
            <w:vAlign w:val="center"/>
          </w:tcPr>
          <w:p>
            <w:pPr>
              <w:spacing w:before="0" w:after="30"/>
            </w:pPr>
            <w:r>
              <w:rPr>
                <w:sz w:val="14"/>
              </w:rPr>
              <w:t>4</w:t>
            </w:r>
          </w:p>
        </w:tc>
        <w:tc>
          <w:tcPr>
            <w:tcW w:type="dxa" w:w="2050"/>
            <w:vAlign w:val="center"/>
          </w:tcPr>
          <w:p>
            <w:pPr>
              <w:spacing w:before="0" w:after="30"/>
            </w:pPr>
            <w:r>
              <w:rPr>
                <w:sz w:val="14"/>
              </w:rPr>
              <w:t>AcceWeightDownTT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tc>
          <w:tcPr>
            <w:tcW w:type="dxa" w:w="500"/>
            <w:vAlign w:val="center"/>
          </w:tcPr>
          <w:p>
            <w:pPr>
              <w:spacing w:before="0" w:after="30"/>
            </w:pPr>
            <w:r>
              <w:rPr>
                <w:sz w:val="14"/>
              </w:rPr>
              <w:t>5</w:t>
            </w:r>
          </w:p>
        </w:tc>
        <w:tc>
          <w:tcPr>
            <w:tcW w:type="dxa" w:w="2050"/>
            <w:vAlign w:val="center"/>
          </w:tcPr>
          <w:p>
            <w:pPr>
              <w:spacing w:before="0" w:after="30"/>
            </w:pPr>
            <w:r>
              <w:rPr>
                <w:sz w:val="14"/>
              </w:rPr>
              <w:t>AcceWeightHighDownTT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tc>
          <w:tcPr>
            <w:tcW w:type="dxa" w:w="500"/>
            <w:vAlign w:val="center"/>
          </w:tcPr>
          <w:p>
            <w:pPr>
              <w:spacing w:before="0" w:after="30"/>
            </w:pPr>
            <w:r>
              <w:rPr>
                <w:sz w:val="14"/>
              </w:rPr>
              <w:t>6</w:t>
            </w:r>
          </w:p>
        </w:tc>
        <w:tc>
          <w:tcPr>
            <w:tcW w:type="dxa" w:w="2050"/>
            <w:vAlign w:val="center"/>
          </w:tcPr>
          <w:p>
            <w:pPr>
              <w:spacing w:before="0" w:after="30"/>
            </w:pPr>
            <w:r>
              <w:rPr>
                <w:sz w:val="14"/>
              </w:rPr>
              <w:t>AcceWeightHighUpTT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AcceWeightHighUpTT: manually setting a TT of 5.064 mmol is used as a remote +0.01 nudge on ApsAutoIsfBgAccelWeightHigh, clamped to its own max (1.00). Same pattern as AcceWeightHighDownTT above.</w:t>
            </w:r>
          </w:p>
        </w:tc>
      </w:tr>
      <w:tr>
        <w:tc>
          <w:tcPr>
            <w:tcW w:type="dxa" w:w="500"/>
            <w:vAlign w:val="center"/>
          </w:tcPr>
          <w:p>
            <w:pPr>
              <w:spacing w:before="0" w:after="30"/>
            </w:pPr>
            <w:r>
              <w:rPr>
                <w:sz w:val="14"/>
              </w:rPr>
              <w:t>7</w:t>
            </w:r>
          </w:p>
        </w:tc>
        <w:tc>
          <w:tcPr>
            <w:tcW w:type="dxa" w:w="2050"/>
            <w:vAlign w:val="center"/>
          </w:tcPr>
          <w:p>
            <w:pPr>
              <w:spacing w:before="0" w:after="30"/>
            </w:pPr>
            <w:r>
              <w:rPr>
                <w:sz w:val="14"/>
              </w:rPr>
              <w:t>AcceWeightUpTT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AcceWeightUpTT: manually setting a TT of 5.18 mmol is used as a remote +0.05 nudge on ApsAutoIsfBgAccelWeightNormal, clamped to a max of 1.00. Same pattern as AcceWeightDownTT above.</w:t>
            </w:r>
          </w:p>
        </w:tc>
      </w:tr>
      <w:tr>
        <w:tc>
          <w:tcPr>
            <w:tcW w:type="dxa" w:w="500"/>
            <w:vAlign w:val="center"/>
          </w:tcPr>
          <w:p>
            <w:pPr>
              <w:spacing w:before="0" w:after="30"/>
            </w:pPr>
            <w:r>
              <w:rPr>
                <w:sz w:val="14"/>
              </w:rPr>
              <w:t>8</w:t>
            </w:r>
          </w:p>
        </w:tc>
        <w:tc>
          <w:tcPr>
            <w:tcW w:type="dxa" w:w="2050"/>
            <w:vAlign w:val="center"/>
          </w:tcPr>
          <w:p>
            <w:pPr>
              <w:spacing w:before="0" w:after="30"/>
            </w:pPr>
            <w:r>
              <w:rPr>
                <w:sz w:val="14"/>
              </w:rPr>
              <w:t>ActivityOff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tc>
          <w:tcPr>
            <w:tcW w:type="dxa" w:w="500"/>
            <w:vAlign w:val="center"/>
          </w:tcPr>
          <w:p>
            <w:pPr>
              <w:spacing w:before="0" w:after="30"/>
            </w:pPr>
            <w:r>
              <w:rPr>
                <w:sz w:val="14"/>
              </w:rPr>
              <w:t>9</w:t>
            </w:r>
          </w:p>
        </w:tc>
        <w:tc>
          <w:tcPr>
            <w:tcW w:type="dxa" w:w="2050"/>
            <w:vAlign w:val="center"/>
          </w:tcPr>
          <w:p>
            <w:pPr>
              <w:spacing w:before="0" w:after="30"/>
            </w:pPr>
            <w:r>
              <w:rPr>
                <w:sz w:val="14"/>
              </w:rPr>
              <w:t>ActivityProf50</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tc>
          <w:tcPr>
            <w:tcW w:type="dxa" w:w="500"/>
            <w:vAlign w:val="center"/>
          </w:tcPr>
          <w:p>
            <w:pPr>
              <w:spacing w:before="0" w:after="30"/>
            </w:pPr>
            <w:r>
              <w:rPr>
                <w:sz w:val="14"/>
              </w:rPr>
              <w:t>10</w:t>
            </w:r>
          </w:p>
        </w:tc>
        <w:tc>
          <w:tcPr>
            <w:tcW w:type="dxa" w:w="2050"/>
            <w:vAlign w:val="center"/>
          </w:tcPr>
          <w:p>
            <w:pPr>
              <w:spacing w:before="0" w:after="30"/>
            </w:pPr>
            <w:r>
              <w:rPr>
                <w:sz w:val="14"/>
              </w:rPr>
              <w:t>ActivityTTReversal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tc>
          <w:tcPr>
            <w:tcW w:type="dxa" w:w="500"/>
            <w:vAlign w:val="center"/>
          </w:tcPr>
          <w:p>
            <w:pPr>
              <w:spacing w:before="0" w:after="30"/>
            </w:pPr>
            <w:r>
              <w:rPr>
                <w:sz w:val="14"/>
              </w:rPr>
              <w:t>11</w:t>
            </w:r>
          </w:p>
        </w:tc>
        <w:tc>
          <w:tcPr>
            <w:tcW w:type="dxa" w:w="2050"/>
            <w:vAlign w:val="center"/>
          </w:tcPr>
          <w:p>
            <w:pPr>
              <w:spacing w:before="0" w:after="30"/>
            </w:pPr>
            <w:r>
              <w:rPr>
                <w:sz w:val="14"/>
              </w:rPr>
              <w:t>AlarmHypo1</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tc>
          <w:tcPr>
            <w:tcW w:type="dxa" w:w="500"/>
            <w:vAlign w:val="center"/>
          </w:tcPr>
          <w:p>
            <w:pPr>
              <w:spacing w:before="0" w:after="30"/>
            </w:pPr>
            <w:r>
              <w:rPr>
                <w:sz w:val="14"/>
              </w:rPr>
              <w:t>12</w:t>
            </w:r>
          </w:p>
        </w:tc>
        <w:tc>
          <w:tcPr>
            <w:tcW w:type="dxa" w:w="2050"/>
            <w:vAlign w:val="center"/>
          </w:tcPr>
          <w:p>
            <w:pPr>
              <w:spacing w:before="0" w:after="30"/>
            </w:pPr>
            <w:r>
              <w:rPr>
                <w:sz w:val="14"/>
              </w:rPr>
              <w:t>AlarmHypo2</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tc>
          <w:tcPr>
            <w:tcW w:type="dxa" w:w="500"/>
            <w:vAlign w:val="center"/>
          </w:tcPr>
          <w:p>
            <w:pPr>
              <w:spacing w:before="0" w:after="30"/>
            </w:pPr>
            <w:r>
              <w:rPr>
                <w:sz w:val="14"/>
              </w:rPr>
              <w:t>13</w:t>
            </w:r>
          </w:p>
        </w:tc>
        <w:tc>
          <w:tcPr>
            <w:tcW w:type="dxa" w:w="2050"/>
            <w:vAlign w:val="center"/>
          </w:tcPr>
          <w:p>
            <w:pPr>
              <w:spacing w:before="0" w:after="30"/>
            </w:pPr>
            <w:r>
              <w:rPr>
                <w:sz w:val="14"/>
              </w:rPr>
              <w:t>AutoIsfMaxLowDownTT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tc>
          <w:tcPr>
            <w:tcW w:type="dxa" w:w="500"/>
            <w:vAlign w:val="center"/>
          </w:tcPr>
          <w:p>
            <w:pPr>
              <w:spacing w:before="0" w:after="30"/>
            </w:pPr>
            <w:r>
              <w:rPr>
                <w:sz w:val="14"/>
              </w:rPr>
              <w:t>14</w:t>
            </w:r>
          </w:p>
        </w:tc>
        <w:tc>
          <w:tcPr>
            <w:tcW w:type="dxa" w:w="2050"/>
            <w:vAlign w:val="center"/>
          </w:tcPr>
          <w:p>
            <w:pPr>
              <w:spacing w:before="0" w:after="30"/>
            </w:pPr>
            <w:r>
              <w:rPr>
                <w:sz w:val="14"/>
              </w:rPr>
              <w:t>AutoIsfMaxLowUpTT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AutoIsfMaxLowUpTT: manually setting a TT of 5.082 mmol is used as a remote +0.1 nudge on ApsAutoIsfMaxLow, clamped to a max of 3.0. Same pattern as AutoIsfMaxLowDownTT above.</w:t>
            </w:r>
          </w:p>
        </w:tc>
      </w:tr>
      <w:tr>
        <w:tc>
          <w:tcPr>
            <w:tcW w:type="dxa" w:w="500"/>
            <w:vAlign w:val="center"/>
          </w:tcPr>
          <w:p>
            <w:pPr>
              <w:spacing w:before="0" w:after="30"/>
            </w:pPr>
            <w:r>
              <w:rPr>
                <w:sz w:val="14"/>
              </w:rPr>
              <w:t>15</w:t>
            </w:r>
          </w:p>
        </w:tc>
        <w:tc>
          <w:tcPr>
            <w:tcW w:type="dxa" w:w="2050"/>
            <w:vAlign w:val="center"/>
          </w:tcPr>
          <w:p>
            <w:pPr>
              <w:spacing w:before="0" w:after="30"/>
            </w:pPr>
            <w:r>
              <w:rPr>
                <w:sz w:val="14"/>
              </w:rPr>
              <w:t>AutoIsfMaxNormalDownTT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tc>
          <w:tcPr>
            <w:tcW w:type="dxa" w:w="500"/>
            <w:vAlign w:val="center"/>
          </w:tcPr>
          <w:p>
            <w:pPr>
              <w:spacing w:before="0" w:after="30"/>
            </w:pPr>
            <w:r>
              <w:rPr>
                <w:sz w:val="14"/>
              </w:rPr>
              <w:t>16</w:t>
            </w:r>
          </w:p>
        </w:tc>
        <w:tc>
          <w:tcPr>
            <w:tcW w:type="dxa" w:w="2050"/>
            <w:vAlign w:val="center"/>
          </w:tcPr>
          <w:p>
            <w:pPr>
              <w:spacing w:before="0" w:after="30"/>
            </w:pPr>
            <w:r>
              <w:rPr>
                <w:sz w:val="14"/>
              </w:rPr>
              <w:t>AutoIsfMaxNormalUpTT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AutoIsfMaxNormalUpTT: manually setting a TT of 5.088 mmol is used as a remote +0.1 nudge on ApsAutoIsfMax, clamped to a max of 3.0. Same pattern as AutoIsfMaxNormalDownTT above.</w:t>
            </w:r>
          </w:p>
        </w:tc>
      </w:tr>
      <w:tr>
        <w:tc>
          <w:tcPr>
            <w:tcW w:type="dxa" w:w="500"/>
            <w:vAlign w:val="center"/>
          </w:tcPr>
          <w:p>
            <w:pPr>
              <w:spacing w:before="0" w:after="30"/>
            </w:pPr>
            <w:r>
              <w:rPr>
                <w:sz w:val="14"/>
              </w:rPr>
              <w:t>17</w:t>
            </w:r>
          </w:p>
        </w:tc>
        <w:tc>
          <w:tcPr>
            <w:tcW w:type="dxa" w:w="2050"/>
            <w:vAlign w:val="center"/>
          </w:tcPr>
          <w:p>
            <w:pPr>
              <w:spacing w:before="0" w:after="30"/>
            </w:pPr>
            <w:r>
              <w:rPr>
                <w:sz w:val="14"/>
              </w:rPr>
              <w:t>BasalUp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tc>
          <w:tcPr>
            <w:tcW w:type="dxa" w:w="500"/>
            <w:vAlign w:val="center"/>
          </w:tcPr>
          <w:p>
            <w:pPr>
              <w:spacing w:before="0" w:after="30"/>
            </w:pPr>
            <w:r>
              <w:rPr>
                <w:sz w:val="14"/>
              </w:rPr>
              <w:t>18</w:t>
            </w:r>
          </w:p>
        </w:tc>
        <w:tc>
          <w:tcPr>
            <w:tcW w:type="dxa" w:w="2050"/>
            <w:vAlign w:val="center"/>
          </w:tcPr>
          <w:p>
            <w:pPr>
              <w:spacing w:before="0" w:after="30"/>
            </w:pPr>
            <w:r>
              <w:rPr>
                <w:sz w:val="14"/>
              </w:rPr>
              <w:t>Battery1pc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tc>
          <w:tcPr>
            <w:tcW w:type="dxa" w:w="500"/>
            <w:vAlign w:val="center"/>
          </w:tcPr>
          <w:p>
            <w:pPr>
              <w:spacing w:before="0" w:after="30"/>
            </w:pPr>
            <w:r>
              <w:rPr>
                <w:sz w:val="14"/>
              </w:rPr>
              <w:t>19</w:t>
            </w:r>
          </w:p>
        </w:tc>
        <w:tc>
          <w:tcPr>
            <w:tcW w:type="dxa" w:w="2050"/>
            <w:vAlign w:val="center"/>
          </w:tcPr>
          <w:p>
            <w:pPr>
              <w:spacing w:before="0" w:after="30"/>
            </w:pPr>
            <w:r>
              <w:rPr>
                <w:sz w:val="14"/>
              </w:rPr>
              <w:t>BatteryOver1pc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tc>
          <w:tcPr>
            <w:tcW w:type="dxa" w:w="500"/>
            <w:vAlign w:val="center"/>
          </w:tcPr>
          <w:p>
            <w:pPr>
              <w:spacing w:before="0" w:after="30"/>
            </w:pPr>
            <w:r>
              <w:rPr>
                <w:sz w:val="14"/>
              </w:rPr>
              <w:t>20</w:t>
            </w:r>
          </w:p>
        </w:tc>
        <w:tc>
          <w:tcPr>
            <w:tcW w:type="dxa" w:w="2050"/>
            <w:vAlign w:val="center"/>
          </w:tcPr>
          <w:p>
            <w:pPr>
              <w:spacing w:before="0" w:after="30"/>
            </w:pPr>
            <w:r>
              <w:rPr>
                <w:sz w:val="14"/>
              </w:rPr>
              <w:t>Bolus2</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tc>
          <w:tcPr>
            <w:tcW w:type="dxa" w:w="500"/>
            <w:vAlign w:val="center"/>
          </w:tcPr>
          <w:p>
            <w:pPr>
              <w:spacing w:before="0" w:after="30"/>
            </w:pPr>
            <w:r>
              <w:rPr>
                <w:sz w:val="14"/>
              </w:rPr>
              <w:t>21</w:t>
            </w:r>
          </w:p>
        </w:tc>
        <w:tc>
          <w:tcPr>
            <w:tcW w:type="dxa" w:w="2050"/>
            <w:vAlign w:val="center"/>
          </w:tcPr>
          <w:p>
            <w:pPr>
              <w:spacing w:before="0" w:after="30"/>
            </w:pPr>
            <w:r>
              <w:rPr>
                <w:sz w:val="14"/>
              </w:rPr>
              <w:t>BolusGiven</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tc>
          <w:tcPr>
            <w:tcW w:type="dxa" w:w="500"/>
            <w:vAlign w:val="center"/>
          </w:tcPr>
          <w:p>
            <w:pPr>
              <w:spacing w:before="0" w:after="30"/>
            </w:pPr>
            <w:r>
              <w:rPr>
                <w:sz w:val="14"/>
              </w:rPr>
              <w:t>22</w:t>
            </w:r>
          </w:p>
        </w:tc>
        <w:tc>
          <w:tcPr>
            <w:tcW w:type="dxa" w:w="2050"/>
            <w:vAlign w:val="center"/>
          </w:tcPr>
          <w:p>
            <w:pPr>
              <w:spacing w:before="0" w:after="30"/>
            </w:pPr>
            <w:r>
              <w:rPr>
                <w:sz w:val="14"/>
              </w:rPr>
              <w:t>BolusGivenBg3</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tc>
          <w:tcPr>
            <w:tcW w:type="dxa" w:w="500"/>
            <w:vAlign w:val="center"/>
          </w:tcPr>
          <w:p>
            <w:pPr>
              <w:spacing w:before="0" w:after="30"/>
            </w:pPr>
            <w:r>
              <w:rPr>
                <w:sz w:val="14"/>
              </w:rPr>
              <w:t>23</w:t>
            </w:r>
          </w:p>
        </w:tc>
        <w:tc>
          <w:tcPr>
            <w:tcW w:type="dxa" w:w="2050"/>
            <w:vAlign w:val="center"/>
          </w:tcPr>
          <w:p>
            <w:pPr>
              <w:spacing w:before="0" w:after="30"/>
            </w:pPr>
            <w:r>
              <w:rPr>
                <w:sz w:val="14"/>
              </w:rPr>
              <w:t>BolusGivenMild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tc>
          <w:tcPr>
            <w:tcW w:type="dxa" w:w="500"/>
            <w:vAlign w:val="center"/>
          </w:tcPr>
          <w:p>
            <w:pPr>
              <w:spacing w:before="0" w:after="30"/>
            </w:pPr>
            <w:r>
              <w:rPr>
                <w:sz w:val="14"/>
              </w:rPr>
              <w:t>24</w:t>
            </w:r>
          </w:p>
        </w:tc>
        <w:tc>
          <w:tcPr>
            <w:tcW w:type="dxa" w:w="2050"/>
            <w:vAlign w:val="center"/>
          </w:tcPr>
          <w:p>
            <w:pPr>
              <w:spacing w:before="0" w:after="30"/>
            </w:pPr>
            <w:r>
              <w:rPr>
                <w:sz w:val="14"/>
              </w:rPr>
              <w:t>BolusGivenMildFailsafe</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tc>
          <w:tcPr>
            <w:tcW w:type="dxa" w:w="500"/>
            <w:vAlign w:val="center"/>
          </w:tcPr>
          <w:p>
            <w:pPr>
              <w:spacing w:before="0" w:after="30"/>
            </w:pPr>
            <w:r>
              <w:rPr>
                <w:sz w:val="14"/>
              </w:rPr>
              <w:t>25</w:t>
            </w:r>
          </w:p>
        </w:tc>
        <w:tc>
          <w:tcPr>
            <w:tcW w:type="dxa" w:w="2050"/>
            <w:vAlign w:val="center"/>
          </w:tcPr>
          <w:p>
            <w:pPr>
              <w:spacing w:before="0" w:after="30"/>
            </w:pPr>
            <w:r>
              <w:rPr>
                <w:sz w:val="14"/>
              </w:rPr>
              <w:t>BoostToggleTT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tc>
          <w:tcPr>
            <w:tcW w:type="dxa" w:w="500"/>
            <w:vAlign w:val="center"/>
          </w:tcPr>
          <w:p>
            <w:pPr>
              <w:spacing w:before="0" w:after="30"/>
            </w:pPr>
            <w:r>
              <w:rPr>
                <w:sz w:val="14"/>
              </w:rPr>
              <w:t>26</w:t>
            </w:r>
          </w:p>
        </w:tc>
        <w:tc>
          <w:tcPr>
            <w:tcW w:type="dxa" w:w="2050"/>
            <w:vAlign w:val="center"/>
          </w:tcPr>
          <w:p>
            <w:pPr>
              <w:spacing w:before="0" w:after="30"/>
            </w:pPr>
            <w:r>
              <w:rPr>
                <w:sz w:val="14"/>
              </w:rPr>
              <w:t>CarbsStopTT1</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carbsStopTT1ok4.4: cancel very-low TT (&lt;=4.4 mmol) when carbs active and rising Self-guarding: cancels TT so tt&lt;=79.3 is false next cycle. 5-min floor throttle added on top of the self-guard (see readyToRun() usage note).</w:t>
            </w:r>
          </w:p>
        </w:tc>
      </w:tr>
      <w:tr>
        <w:tc>
          <w:tcPr>
            <w:tcW w:type="dxa" w:w="500"/>
            <w:vAlign w:val="center"/>
          </w:tcPr>
          <w:p>
            <w:pPr>
              <w:spacing w:before="0" w:after="30"/>
            </w:pPr>
            <w:r>
              <w:rPr>
                <w:sz w:val="14"/>
              </w:rPr>
              <w:t>27</w:t>
            </w:r>
          </w:p>
        </w:tc>
        <w:tc>
          <w:tcPr>
            <w:tcW w:type="dxa" w:w="2050"/>
            <w:vAlign w:val="center"/>
          </w:tcPr>
          <w:p>
            <w:pPr>
              <w:spacing w:before="0" w:after="30"/>
            </w:pPr>
            <w:r>
              <w:rPr>
                <w:sz w:val="14"/>
              </w:rPr>
              <w:t>CarbsStopTT57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CarbsStopTT5.7: cancel 5.7 mmol TT when carbs up or recent bolus and BGL stable/rising Self-guarding: cancels TT so TT range checks fail next cycle. 5-min floor throttle added on top of the self-guard (see readyToRun() usage note).</w:t>
            </w:r>
          </w:p>
        </w:tc>
      </w:tr>
      <w:tr>
        <w:tc>
          <w:tcPr>
            <w:tcW w:type="dxa" w:w="500"/>
            <w:vAlign w:val="center"/>
          </w:tcPr>
          <w:p>
            <w:pPr>
              <w:spacing w:before="0" w:after="30"/>
            </w:pPr>
            <w:r>
              <w:rPr>
                <w:sz w:val="14"/>
              </w:rPr>
              <w:t>28</w:t>
            </w:r>
          </w:p>
        </w:tc>
        <w:tc>
          <w:tcPr>
            <w:tcW w:type="dxa" w:w="2050"/>
            <w:vAlign w:val="center"/>
          </w:tcPr>
          <w:p>
            <w:pPr>
              <w:spacing w:before="0" w:after="30"/>
            </w:pPr>
            <w:r>
              <w:rPr>
                <w:sz w:val="14"/>
              </w:rPr>
              <w:t>CarbsTHoff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tc>
          <w:tcPr>
            <w:tcW w:type="dxa" w:w="500"/>
            <w:vAlign w:val="center"/>
          </w:tcPr>
          <w:p>
            <w:pPr>
              <w:spacing w:before="0" w:after="30"/>
            </w:pPr>
            <w:r>
              <w:rPr>
                <w:sz w:val="14"/>
              </w:rPr>
              <w:t>29</w:t>
            </w:r>
          </w:p>
        </w:tc>
        <w:tc>
          <w:tcPr>
            <w:tcW w:type="dxa" w:w="2050"/>
            <w:vAlign w:val="center"/>
          </w:tcPr>
          <w:p>
            <w:pPr>
              <w:spacing w:before="0" w:after="30"/>
            </w:pPr>
            <w:r>
              <w:rPr>
                <w:sz w:val="14"/>
              </w:rPr>
              <w:t>CleanGraphTT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tc>
          <w:tcPr>
            <w:tcW w:type="dxa" w:w="500"/>
            <w:vAlign w:val="center"/>
          </w:tcPr>
          <w:p>
            <w:pPr>
              <w:spacing w:before="0" w:after="30"/>
            </w:pPr>
            <w:r>
              <w:rPr>
                <w:sz w:val="14"/>
              </w:rPr>
              <w:t>30</w:t>
            </w:r>
          </w:p>
        </w:tc>
        <w:tc>
          <w:tcPr>
            <w:tcW w:type="dxa" w:w="2050"/>
            <w:vAlign w:val="center"/>
          </w:tcPr>
          <w:p>
            <w:pPr>
              <w:spacing w:before="0" w:after="30"/>
            </w:pPr>
            <w:r>
              <w:rPr>
                <w:sz w:val="14"/>
              </w:rPr>
              <w:t>CloudLogsUploadTT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tc>
          <w:tcPr>
            <w:tcW w:type="dxa" w:w="500"/>
            <w:vAlign w:val="center"/>
          </w:tcPr>
          <w:p>
            <w:pPr>
              <w:spacing w:before="0" w:after="30"/>
            </w:pPr>
            <w:r>
              <w:rPr>
                <w:sz w:val="14"/>
              </w:rPr>
              <w:t>31</w:t>
            </w:r>
          </w:p>
        </w:tc>
        <w:tc>
          <w:tcPr>
            <w:tcW w:type="dxa" w:w="2050"/>
            <w:vAlign w:val="center"/>
          </w:tcPr>
          <w:p>
            <w:pPr>
              <w:spacing w:before="0" w:after="30"/>
            </w:pPr>
            <w:r>
              <w:rPr>
                <w:sz w:val="14"/>
              </w:rPr>
              <w:t>ConnectPod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tc>
          <w:tcPr>
            <w:tcW w:type="dxa" w:w="500"/>
            <w:vAlign w:val="center"/>
          </w:tcPr>
          <w:p>
            <w:pPr>
              <w:spacing w:before="0" w:after="30"/>
            </w:pPr>
            <w:r>
              <w:rPr>
                <w:sz w:val="14"/>
              </w:rPr>
              <w:t>32</w:t>
            </w:r>
          </w:p>
        </w:tc>
        <w:tc>
          <w:tcPr>
            <w:tcW w:type="dxa" w:w="2050"/>
            <w:vAlign w:val="center"/>
          </w:tcPr>
          <w:p>
            <w:pPr>
              <w:spacing w:before="0" w:after="30"/>
            </w:pPr>
            <w:r>
              <w:rPr>
                <w:sz w:val="14"/>
              </w:rPr>
              <w:t>DuraWeightDownTT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tc>
          <w:tcPr>
            <w:tcW w:type="dxa" w:w="500"/>
            <w:vAlign w:val="center"/>
          </w:tcPr>
          <w:p>
            <w:pPr>
              <w:spacing w:before="0" w:after="30"/>
            </w:pPr>
            <w:r>
              <w:rPr>
                <w:sz w:val="14"/>
              </w:rPr>
              <w:t>33</w:t>
            </w:r>
          </w:p>
        </w:tc>
        <w:tc>
          <w:tcPr>
            <w:tcW w:type="dxa" w:w="2050"/>
            <w:vAlign w:val="center"/>
          </w:tcPr>
          <w:p>
            <w:pPr>
              <w:spacing w:before="0" w:after="30"/>
            </w:pPr>
            <w:r>
              <w:rPr>
                <w:sz w:val="14"/>
              </w:rPr>
              <w:t>DuraWeightUpTT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DuraWeightUpTT: manually setting a TT of 5.24 mmol is used as a remote +0.1 nudge on ApsAutoIsfDuraWeightNormal, clamped to a max of 3.00. Same pattern as DuraWeightDownTT above.</w:t>
            </w:r>
          </w:p>
        </w:tc>
      </w:tr>
      <w:tr>
        <w:tc>
          <w:tcPr>
            <w:tcW w:type="dxa" w:w="500"/>
            <w:vAlign w:val="center"/>
          </w:tcPr>
          <w:p>
            <w:pPr>
              <w:spacing w:before="0" w:after="30"/>
            </w:pPr>
            <w:r>
              <w:rPr>
                <w:sz w:val="14"/>
              </w:rPr>
              <w:t>34</w:t>
            </w:r>
          </w:p>
        </w:tc>
        <w:tc>
          <w:tcPr>
            <w:tcW w:type="dxa" w:w="2050"/>
            <w:vAlign w:val="center"/>
          </w:tcPr>
          <w:p>
            <w:pPr>
              <w:spacing w:before="0" w:after="30"/>
            </w:pPr>
            <w:r>
              <w:rPr>
                <w:sz w:val="14"/>
              </w:rPr>
              <w:t>EveningTH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tc>
          <w:tcPr>
            <w:tcW w:type="dxa" w:w="500"/>
            <w:vAlign w:val="center"/>
          </w:tcPr>
          <w:p>
            <w:pPr>
              <w:spacing w:before="0" w:after="30"/>
            </w:pPr>
            <w:r>
              <w:rPr>
                <w:sz w:val="14"/>
              </w:rPr>
              <w:t>35</w:t>
            </w:r>
          </w:p>
        </w:tc>
        <w:tc>
          <w:tcPr>
            <w:tcW w:type="dxa" w:w="2050"/>
            <w:vAlign w:val="center"/>
          </w:tcPr>
          <w:p>
            <w:pPr>
              <w:spacing w:before="0" w:after="30"/>
            </w:pPr>
            <w:r>
              <w:rPr>
                <w:sz w:val="14"/>
              </w:rPr>
              <w:t>ExerciseLimitAcce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"Exercise limit Acce": alerts when a fast rise coincides with high recent step activity. No live-pump gate: the original's Note field was empty.</w:t>
            </w:r>
          </w:p>
        </w:tc>
      </w:tr>
      <w:tr>
        <w:tc>
          <w:tcPr>
            <w:tcW w:type="dxa" w:w="500"/>
            <w:vAlign w:val="center"/>
          </w:tcPr>
          <w:p>
            <w:pPr>
              <w:spacing w:before="0" w:after="30"/>
            </w:pPr>
            <w:r>
              <w:rPr>
                <w:sz w:val="14"/>
              </w:rPr>
              <w:t>36</w:t>
            </w:r>
          </w:p>
        </w:tc>
        <w:tc>
          <w:tcPr>
            <w:tcW w:type="dxa" w:w="2050"/>
            <w:vAlign w:val="center"/>
          </w:tcPr>
          <w:p>
            <w:pPr>
              <w:spacing w:before="0" w:after="30"/>
            </w:pPr>
            <w:r>
              <w:rPr>
                <w:sz w:val="14"/>
              </w:rPr>
              <w:t>ExportSettingsPodActivation</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tc>
          <w:tcPr>
            <w:tcW w:type="dxa" w:w="500"/>
            <w:vAlign w:val="center"/>
          </w:tcPr>
          <w:p>
            <w:pPr>
              <w:spacing w:before="0" w:after="30"/>
            </w:pPr>
            <w:r>
              <w:rPr>
                <w:sz w:val="14"/>
              </w:rPr>
              <w:t>37</w:t>
            </w:r>
          </w:p>
        </w:tc>
        <w:tc>
          <w:tcPr>
            <w:tcW w:type="dxa" w:w="2050"/>
            <w:vAlign w:val="center"/>
          </w:tcPr>
          <w:p>
            <w:pPr>
              <w:spacing w:before="0" w:after="30"/>
            </w:pPr>
            <w:r>
              <w:rPr>
                <w:sz w:val="14"/>
              </w:rPr>
              <w:t>Extra50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Extra50%: deepens hypo protection (acce→0.07, iobTH→50%) when BGL falling on 100% profile 5-min floor throttle added on top of the state guard (see readyToRun() usage note).</w:t>
            </w:r>
          </w:p>
        </w:tc>
      </w:tr>
      <w:tr>
        <w:tc>
          <w:tcPr>
            <w:tcW w:type="dxa" w:w="500"/>
            <w:vAlign w:val="center"/>
          </w:tcPr>
          <w:p>
            <w:pPr>
              <w:spacing w:before="0" w:after="30"/>
            </w:pPr>
            <w:r>
              <w:rPr>
                <w:sz w:val="14"/>
              </w:rPr>
              <w:t>38</w:t>
            </w:r>
          </w:p>
        </w:tc>
        <w:tc>
          <w:tcPr>
            <w:tcW w:type="dxa" w:w="2050"/>
            <w:vAlign w:val="center"/>
          </w:tcPr>
          <w:p>
            <w:pPr>
              <w:spacing w:before="0" w:after="30"/>
            </w:pPr>
            <w:r>
              <w:rPr>
                <w:sz w:val="14"/>
              </w:rPr>
              <w:t>GentleHypoRisk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tc>
          <w:tcPr>
            <w:tcW w:type="dxa" w:w="500"/>
            <w:vAlign w:val="center"/>
          </w:tcPr>
          <w:p>
            <w:pPr>
              <w:spacing w:before="0" w:after="30"/>
            </w:pPr>
            <w:r>
              <w:rPr>
                <w:sz w:val="14"/>
              </w:rPr>
              <w:t>39</w:t>
            </w:r>
          </w:p>
        </w:tc>
        <w:tc>
          <w:tcPr>
            <w:tcW w:type="dxa" w:w="2050"/>
            <w:vAlign w:val="center"/>
          </w:tcPr>
          <w:p>
            <w:pPr>
              <w:spacing w:before="0" w:after="30"/>
            </w:pPr>
            <w:r>
              <w:rPr>
                <w:sz w:val="14"/>
              </w:rPr>
              <w:t>Graph2ToggleTT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tc>
          <w:tcPr>
            <w:tcW w:type="dxa" w:w="500"/>
            <w:vAlign w:val="center"/>
          </w:tcPr>
          <w:p>
            <w:pPr>
              <w:spacing w:before="0" w:after="30"/>
            </w:pPr>
            <w:r>
              <w:rPr>
                <w:sz w:val="14"/>
              </w:rPr>
              <w:t>40</w:t>
            </w:r>
          </w:p>
        </w:tc>
        <w:tc>
          <w:tcPr>
            <w:tcW w:type="dxa" w:w="2050"/>
            <w:vAlign w:val="center"/>
          </w:tcPr>
          <w:p>
            <w:pPr>
              <w:spacing w:before="0" w:after="30"/>
            </w:pPr>
            <w:r>
              <w:rPr>
                <w:sz w:val="14"/>
              </w:rPr>
              <w:t>Graph5ToggleTT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tc>
          <w:tcPr>
            <w:tcW w:type="dxa" w:w="500"/>
            <w:vAlign w:val="center"/>
          </w:tcPr>
          <w:p>
            <w:pPr>
              <w:spacing w:before="0" w:after="30"/>
            </w:pPr>
            <w:r>
              <w:rPr>
                <w:sz w:val="14"/>
              </w:rPr>
              <w:t>41</w:t>
            </w:r>
          </w:p>
        </w:tc>
        <w:tc>
          <w:tcPr>
            <w:tcW w:type="dxa" w:w="2050"/>
            <w:vAlign w:val="center"/>
          </w:tcPr>
          <w:p>
            <w:pPr>
              <w:spacing w:before="0" w:after="30"/>
            </w:pPr>
            <w:r>
              <w:rPr>
                <w:sz w:val="14"/>
              </w:rPr>
              <w:t>High6PP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tc>
          <w:tcPr>
            <w:tcW w:type="dxa" w:w="500"/>
            <w:vAlign w:val="center"/>
          </w:tcPr>
          <w:p>
            <w:pPr>
              <w:spacing w:before="0" w:after="30"/>
            </w:pPr>
            <w:r>
              <w:rPr>
                <w:sz w:val="14"/>
              </w:rPr>
              <w:t>42</w:t>
            </w:r>
          </w:p>
        </w:tc>
        <w:tc>
          <w:tcPr>
            <w:tcW w:type="dxa" w:w="2050"/>
            <w:vAlign w:val="center"/>
          </w:tcPr>
          <w:p>
            <w:pPr>
              <w:spacing w:before="0" w:after="30"/>
            </w:pPr>
            <w:r>
              <w:rPr>
                <w:sz w:val="14"/>
              </w:rPr>
              <w:t>High6PPoff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"High6PPoff": exits the 120% boost when either no TT exists at 120%, or BGL/delta have stabilised in the evening window at 120%. No live-pump gate: the original's Note field was empty.</w:t>
            </w:r>
          </w:p>
        </w:tc>
      </w:tr>
      <w:tr>
        <w:tc>
          <w:tcPr>
            <w:tcW w:type="dxa" w:w="500"/>
            <w:vAlign w:val="center"/>
          </w:tcPr>
          <w:p>
            <w:pPr>
              <w:spacing w:before="0" w:after="30"/>
            </w:pPr>
            <w:r>
              <w:rPr>
                <w:sz w:val="14"/>
              </w:rPr>
              <w:t>43</w:t>
            </w:r>
          </w:p>
        </w:tc>
        <w:tc>
          <w:tcPr>
            <w:tcW w:type="dxa" w:w="2050"/>
            <w:vAlign w:val="center"/>
          </w:tcPr>
          <w:p>
            <w:pPr>
              <w:spacing w:before="0" w:after="30"/>
            </w:pPr>
            <w:r>
              <w:rPr>
                <w:sz w:val="14"/>
              </w:rPr>
              <w:t>HighNight00AM</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tc>
          <w:tcPr>
            <w:tcW w:type="dxa" w:w="500"/>
            <w:vAlign w:val="center"/>
          </w:tcPr>
          <w:p>
            <w:pPr>
              <w:spacing w:before="0" w:after="30"/>
            </w:pPr>
            <w:r>
              <w:rPr>
                <w:sz w:val="14"/>
              </w:rPr>
              <w:t>44</w:t>
            </w:r>
          </w:p>
        </w:tc>
        <w:tc>
          <w:tcPr>
            <w:tcW w:type="dxa" w:w="2050"/>
            <w:vAlign w:val="center"/>
          </w:tcPr>
          <w:p>
            <w:pPr>
              <w:spacing w:before="0" w:after="30"/>
            </w:pPr>
            <w:r>
              <w:rPr>
                <w:sz w:val="14"/>
              </w:rPr>
              <w:t>HighOldPod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tc>
          <w:tcPr>
            <w:tcW w:type="dxa" w:w="500"/>
            <w:vAlign w:val="center"/>
          </w:tcPr>
          <w:p>
            <w:pPr>
              <w:spacing w:before="0" w:after="30"/>
            </w:pPr>
            <w:r>
              <w:rPr>
                <w:sz w:val="14"/>
              </w:rPr>
              <w:t>45</w:t>
            </w:r>
          </w:p>
        </w:tc>
        <w:tc>
          <w:tcPr>
            <w:tcW w:type="dxa" w:w="2050"/>
            <w:vAlign w:val="center"/>
          </w:tcPr>
          <w:p>
            <w:pPr>
              <w:spacing w:before="0" w:after="30"/>
            </w:pPr>
            <w:r>
              <w:rPr>
                <w:sz w:val="14"/>
              </w:rPr>
              <w:t>HighPP130Off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"HighPP130Off": exits the 130%/110% boost across 3 exit conditions (stabilised no-TT, falling with TT, or simply no-TT at all while boosted). Note: "or 110%".</w:t>
            </w:r>
          </w:p>
        </w:tc>
      </w:tr>
      <w:tr>
        <w:tc>
          <w:tcPr>
            <w:tcW w:type="dxa" w:w="500"/>
            <w:vAlign w:val="center"/>
          </w:tcPr>
          <w:p>
            <w:pPr>
              <w:spacing w:before="0" w:after="30"/>
            </w:pPr>
            <w:r>
              <w:rPr>
                <w:sz w:val="14"/>
              </w:rPr>
              <w:t>46</w:t>
            </w:r>
          </w:p>
        </w:tc>
        <w:tc>
          <w:tcPr>
            <w:tcW w:type="dxa" w:w="2050"/>
            <w:vAlign w:val="center"/>
          </w:tcPr>
          <w:p>
            <w:pPr>
              <w:spacing w:before="0" w:after="30"/>
            </w:pPr>
            <w:r>
              <w:rPr>
                <w:sz w:val="14"/>
              </w:rPr>
              <w:t>HigherIsfRangeWeightDownTT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tc>
          <w:tcPr>
            <w:tcW w:type="dxa" w:w="500"/>
            <w:vAlign w:val="center"/>
          </w:tcPr>
          <w:p>
            <w:pPr>
              <w:spacing w:before="0" w:after="30"/>
            </w:pPr>
            <w:r>
              <w:rPr>
                <w:sz w:val="14"/>
              </w:rPr>
              <w:t>47</w:t>
            </w:r>
          </w:p>
        </w:tc>
        <w:tc>
          <w:tcPr>
            <w:tcW w:type="dxa" w:w="2050"/>
            <w:vAlign w:val="center"/>
          </w:tcPr>
          <w:p>
            <w:pPr>
              <w:spacing w:before="0" w:after="30"/>
            </w:pPr>
            <w:r>
              <w:rPr>
                <w:sz w:val="14"/>
              </w:rPr>
              <w:t>HigherIsfRangeWeightUpTT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HigherIsfRangeWeightUpTT: manually setting a TT of 5.070 mmol is used as a remote +0.1 nudge on ApsAutoIsfHighBgWeight, clamped to a max of 2.0. Same pattern as HigherIsfRangeWeightDownTT above.</w:t>
            </w:r>
          </w:p>
        </w:tc>
      </w:tr>
      <w:tr>
        <w:tc>
          <w:tcPr>
            <w:tcW w:type="dxa" w:w="500"/>
            <w:vAlign w:val="center"/>
          </w:tcPr>
          <w:p>
            <w:pPr>
              <w:spacing w:before="0" w:after="30"/>
            </w:pPr>
            <w:r>
              <w:rPr>
                <w:sz w:val="14"/>
              </w:rPr>
              <w:t>48</w:t>
            </w:r>
          </w:p>
        </w:tc>
        <w:tc>
          <w:tcPr>
            <w:tcW w:type="dxa" w:w="2050"/>
            <w:vAlign w:val="center"/>
          </w:tcPr>
          <w:p>
            <w:pPr>
              <w:spacing w:before="0" w:after="30"/>
            </w:pPr>
            <w:r>
              <w:rPr>
                <w:sz w:val="14"/>
              </w:rPr>
              <w:t>LibreOffsetDownTT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tc>
          <w:tcPr>
            <w:tcW w:type="dxa" w:w="500"/>
            <w:vAlign w:val="center"/>
          </w:tcPr>
          <w:p>
            <w:pPr>
              <w:spacing w:before="0" w:after="30"/>
            </w:pPr>
            <w:r>
              <w:rPr>
                <w:sz w:val="14"/>
              </w:rPr>
              <w:t>49</w:t>
            </w:r>
          </w:p>
        </w:tc>
        <w:tc>
          <w:tcPr>
            <w:tcW w:type="dxa" w:w="2050"/>
            <w:vAlign w:val="center"/>
          </w:tcPr>
          <w:p>
            <w:pPr>
              <w:spacing w:before="0" w:after="30"/>
            </w:pPr>
            <w:r>
              <w:rPr>
                <w:sz w:val="14"/>
              </w:rPr>
              <w:t>LibreOffsetUpTT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LibreOffsetUpTT: manually setting a TT of 5.034 mmol is used as a remote +0.05 nudge on ApsAutoIsfLibreOffsetOrig, clamped to a max of 1.60. Same pattern as LibreOffsetDownTT above.</w:t>
            </w:r>
          </w:p>
        </w:tc>
      </w:tr>
      <w:tr>
        <w:tc>
          <w:tcPr>
            <w:tcW w:type="dxa" w:w="500"/>
            <w:vAlign w:val="center"/>
          </w:tcPr>
          <w:p>
            <w:pPr>
              <w:spacing w:before="0" w:after="30"/>
            </w:pPr>
            <w:r>
              <w:rPr>
                <w:sz w:val="14"/>
              </w:rPr>
              <w:t>50</w:t>
            </w:r>
          </w:p>
        </w:tc>
        <w:tc>
          <w:tcPr>
            <w:tcW w:type="dxa" w:w="2050"/>
            <w:vAlign w:val="center"/>
          </w:tcPr>
          <w:p>
            <w:pPr>
              <w:spacing w:before="0" w:after="30"/>
            </w:pPr>
            <w:r>
              <w:rPr>
                <w:sz w:val="14"/>
              </w:rPr>
              <w:t>LibreUkf1ToggleTT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tc>
          <w:tcPr>
            <w:tcW w:type="dxa" w:w="500"/>
            <w:vAlign w:val="center"/>
          </w:tcPr>
          <w:p>
            <w:pPr>
              <w:spacing w:before="0" w:after="30"/>
            </w:pPr>
            <w:r>
              <w:rPr>
                <w:sz w:val="14"/>
              </w:rPr>
              <w:t>51</w:t>
            </w:r>
          </w:p>
        </w:tc>
        <w:tc>
          <w:tcPr>
            <w:tcW w:type="dxa" w:w="2050"/>
            <w:vAlign w:val="center"/>
          </w:tcPr>
          <w:p>
            <w:pPr>
              <w:spacing w:before="0" w:after="30"/>
            </w:pPr>
            <w:r>
              <w:rPr>
                <w:sz w:val="14"/>
              </w:rPr>
              <w:t>LibreUkf2ToggleTT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tc>
          <w:tcPr>
            <w:tcW w:type="dxa" w:w="500"/>
            <w:vAlign w:val="center"/>
          </w:tcPr>
          <w:p>
            <w:pPr>
              <w:spacing w:before="0" w:after="30"/>
            </w:pPr>
            <w:r>
              <w:rPr>
                <w:sz w:val="14"/>
              </w:rPr>
              <w:t>52</w:t>
            </w:r>
          </w:p>
        </w:tc>
        <w:tc>
          <w:tcPr>
            <w:tcW w:type="dxa" w:w="2050"/>
            <w:vAlign w:val="center"/>
          </w:tcPr>
          <w:p>
            <w:pPr>
              <w:spacing w:before="0" w:after="30"/>
            </w:pPr>
            <w:r>
              <w:rPr>
                <w:sz w:val="14"/>
              </w:rPr>
              <w:t>LibreSlopeDownTT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tc>
          <w:tcPr>
            <w:tcW w:type="dxa" w:w="500"/>
            <w:vAlign w:val="center"/>
          </w:tcPr>
          <w:p>
            <w:pPr>
              <w:spacing w:before="0" w:after="30"/>
            </w:pPr>
            <w:r>
              <w:rPr>
                <w:sz w:val="14"/>
              </w:rPr>
              <w:t>53</w:t>
            </w:r>
          </w:p>
        </w:tc>
        <w:tc>
          <w:tcPr>
            <w:tcW w:type="dxa" w:w="2050"/>
            <w:vAlign w:val="center"/>
          </w:tcPr>
          <w:p>
            <w:pPr>
              <w:spacing w:before="0" w:after="30"/>
            </w:pPr>
            <w:r>
              <w:rPr>
                <w:sz w:val="14"/>
              </w:rPr>
              <w:t>LibreSlopeUpTT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LibreSlopeUpTT: manually setting a TT of 5.028 mmol is used as a remote +0.01 nudge on ApsAutoIsfLibreSlopeOrig, clamped to a max of 1.00. Same pattern as LibreSlopeDownTT above.</w:t>
            </w:r>
          </w:p>
        </w:tc>
      </w:tr>
      <w:tr>
        <w:tc>
          <w:tcPr>
            <w:tcW w:type="dxa" w:w="500"/>
            <w:vAlign w:val="center"/>
          </w:tcPr>
          <w:p>
            <w:pPr>
              <w:spacing w:before="0" w:after="30"/>
            </w:pPr>
            <w:r>
              <w:rPr>
                <w:sz w:val="14"/>
              </w:rPr>
              <w:t>54</w:t>
            </w:r>
          </w:p>
        </w:tc>
        <w:tc>
          <w:tcPr>
            <w:tcW w:type="dxa" w:w="2050"/>
            <w:vAlign w:val="center"/>
          </w:tcPr>
          <w:p>
            <w:pPr>
              <w:spacing w:before="0" w:after="30"/>
            </w:pPr>
            <w:r>
              <w:rPr>
                <w:sz w:val="14"/>
              </w:rPr>
              <w:t>MJ2old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MJ2 old: advances MJ state from "MJ active" → MJ2 at 02:10–03:10 AM</w:t>
            </w:r>
          </w:p>
        </w:tc>
      </w:tr>
      <w:tr>
        <w:tc>
          <w:tcPr>
            <w:tcW w:type="dxa" w:w="500"/>
            <w:vAlign w:val="center"/>
          </w:tcPr>
          <w:p>
            <w:pPr>
              <w:spacing w:before="0" w:after="30"/>
            </w:pPr>
            <w:r>
              <w:rPr>
                <w:sz w:val="14"/>
              </w:rPr>
              <w:t>55</w:t>
            </w:r>
          </w:p>
        </w:tc>
        <w:tc>
          <w:tcPr>
            <w:tcW w:type="dxa" w:w="2050"/>
            <w:vAlign w:val="center"/>
          </w:tcPr>
          <w:p>
            <w:pPr>
              <w:spacing w:before="0" w:after="30"/>
            </w:pPr>
            <w:r>
              <w:rPr>
                <w:sz w:val="14"/>
              </w:rPr>
              <w:t>MJ3old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MJ3 old: advances MJ state from MJ2 → MJ3 at 01:05–02:05 AM</w:t>
            </w:r>
          </w:p>
        </w:tc>
      </w:tr>
      <w:tr>
        <w:tc>
          <w:tcPr>
            <w:tcW w:type="dxa" w:w="500"/>
            <w:vAlign w:val="center"/>
          </w:tcPr>
          <w:p>
            <w:pPr>
              <w:spacing w:before="0" w:after="30"/>
            </w:pPr>
            <w:r>
              <w:rPr>
                <w:sz w:val="14"/>
              </w:rPr>
              <w:t>56</w:t>
            </w:r>
          </w:p>
        </w:tc>
        <w:tc>
          <w:tcPr>
            <w:tcW w:type="dxa" w:w="2050"/>
            <w:vAlign w:val="center"/>
          </w:tcPr>
          <w:p>
            <w:pPr>
              <w:spacing w:before="0" w:after="30"/>
            </w:pPr>
            <w:r>
              <w:rPr>
                <w:sz w:val="14"/>
              </w:rPr>
              <w:t>MJ4</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 automation (MJ=MJ4). Self-guarding: state change prevents re-fire. 5-min floor throttle (see readyToRun() usage note near its declaration).</w:t>
            </w:r>
          </w:p>
        </w:tc>
      </w:tr>
      <w:tr>
        <w:tc>
          <w:tcPr>
            <w:tcW w:type="dxa" w:w="500"/>
            <w:vAlign w:val="center"/>
          </w:tcPr>
          <w:p>
            <w:pPr>
              <w:spacing w:before="0" w:after="30"/>
            </w:pPr>
            <w:r>
              <w:rPr>
                <w:sz w:val="14"/>
              </w:rPr>
              <w:t>57</w:t>
            </w:r>
          </w:p>
        </w:tc>
        <w:tc>
          <w:tcPr>
            <w:tcW w:type="dxa" w:w="2050"/>
            <w:vAlign w:val="center"/>
          </w:tcPr>
          <w:p>
            <w:pPr>
              <w:spacing w:before="0" w:after="30"/>
            </w:pPr>
            <w:r>
              <w:rPr>
                <w:sz w:val="14"/>
              </w:rPr>
              <w:t>MJ5</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"Test2" automation (MJ=MJ5): also switches to Current ProfileReal for 30 min.</w:t>
            </w:r>
          </w:p>
        </w:tc>
      </w:tr>
      <w:tr>
        <w:tc>
          <w:tcPr>
            <w:tcW w:type="dxa" w:w="500"/>
            <w:vAlign w:val="center"/>
          </w:tcPr>
          <w:p>
            <w:pPr>
              <w:spacing w:before="0" w:after="30"/>
            </w:pPr>
            <w:r>
              <w:rPr>
                <w:sz w:val="14"/>
              </w:rPr>
              <w:t>58</w:t>
            </w:r>
          </w:p>
        </w:tc>
        <w:tc>
          <w:tcPr>
            <w:tcW w:type="dxa" w:w="2050"/>
            <w:vAlign w:val="center"/>
          </w:tcPr>
          <w:p>
            <w:pPr>
              <w:spacing w:before="0" w:after="30"/>
            </w:pPr>
            <w:r>
              <w:rPr>
                <w:sz w:val="14"/>
              </w:rPr>
              <w:t>MJoff</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MJoff old: exits MJ cycle when MJ3 active Block 1: 12:00–21:04 with BGL &gt;= 10.5 mmol. Block 2: midnight 00:00–01:00.</w:t>
            </w:r>
          </w:p>
        </w:tc>
      </w:tr>
      <w:tr>
        <w:tc>
          <w:tcPr>
            <w:tcW w:type="dxa" w:w="500"/>
            <w:vAlign w:val="center"/>
          </w:tcPr>
          <w:p>
            <w:pPr>
              <w:spacing w:before="0" w:after="30"/>
            </w:pPr>
            <w:r>
              <w:rPr>
                <w:sz w:val="14"/>
              </w:rPr>
              <w:t>59</w:t>
            </w:r>
          </w:p>
        </w:tc>
        <w:tc>
          <w:tcPr>
            <w:tcW w:type="dxa" w:w="2050"/>
            <w:vAlign w:val="center"/>
          </w:tcPr>
          <w:p>
            <w:pPr>
              <w:spacing w:before="0" w:after="30"/>
            </w:pPr>
            <w:r>
              <w:rPr>
                <w:sz w:val="14"/>
              </w:rPr>
              <w:t>MJrecentCurrProfAcce</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tc>
          <w:tcPr>
            <w:tcW w:type="dxa" w:w="500"/>
            <w:vAlign w:val="center"/>
          </w:tcPr>
          <w:p>
            <w:pPr>
              <w:spacing w:before="0" w:after="30"/>
            </w:pPr>
            <w:r>
              <w:rPr>
                <w:sz w:val="14"/>
              </w:rPr>
              <w:t>60</w:t>
            </w:r>
          </w:p>
        </w:tc>
        <w:tc>
          <w:tcPr>
            <w:tcW w:type="dxa" w:w="2050"/>
            <w:vAlign w:val="center"/>
          </w:tcPr>
          <w:p>
            <w:pPr>
              <w:spacing w:before="0" w:after="30"/>
            </w:pPr>
            <w:r>
              <w:rPr>
                <w:sz w:val="14"/>
              </w:rPr>
              <w:t>MildBoostDownTT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tc>
          <w:tcPr>
            <w:tcW w:type="dxa" w:w="500"/>
            <w:vAlign w:val="center"/>
          </w:tcPr>
          <w:p>
            <w:pPr>
              <w:spacing w:before="0" w:after="30"/>
            </w:pPr>
            <w:r>
              <w:rPr>
                <w:sz w:val="14"/>
              </w:rPr>
              <w:t>61</w:t>
            </w:r>
          </w:p>
        </w:tc>
        <w:tc>
          <w:tcPr>
            <w:tcW w:type="dxa" w:w="2050"/>
            <w:vAlign w:val="center"/>
          </w:tcPr>
          <w:p>
            <w:pPr>
              <w:spacing w:before="0" w:after="30"/>
            </w:pPr>
            <w:r>
              <w:rPr>
                <w:sz w:val="14"/>
              </w:rPr>
              <w:t>MildBoostUpTT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MildBoostUpTT: manually setting a TT of 5.054 mmol is used as a remote +0.01 nudge on ApsAutoIsfMildBoostRatio alone, clamped to its own max of 0.5. Same pattern as MildBoostDownTT above.</w:t>
            </w:r>
          </w:p>
        </w:tc>
      </w:tr>
      <w:tr>
        <w:tc>
          <w:tcPr>
            <w:tcW w:type="dxa" w:w="500"/>
            <w:vAlign w:val="center"/>
          </w:tcPr>
          <w:p>
            <w:pPr>
              <w:spacing w:before="0" w:after="30"/>
            </w:pPr>
            <w:r>
              <w:rPr>
                <w:sz w:val="14"/>
              </w:rPr>
              <w:t>62</w:t>
            </w:r>
          </w:p>
        </w:tc>
        <w:tc>
          <w:tcPr>
            <w:tcW w:type="dxa" w:w="2050"/>
            <w:vAlign w:val="center"/>
          </w:tcPr>
          <w:p>
            <w:pPr>
              <w:spacing w:before="0" w:after="30"/>
            </w:pPr>
            <w:r>
              <w:rPr>
                <w:sz w:val="14"/>
              </w:rPr>
              <w:t>MoreMJ</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tc>
          <w:tcPr>
            <w:tcW w:type="dxa" w:w="500"/>
            <w:vAlign w:val="center"/>
          </w:tcPr>
          <w:p>
            <w:pPr>
              <w:spacing w:before="0" w:after="30"/>
            </w:pPr>
            <w:r>
              <w:rPr>
                <w:sz w:val="14"/>
              </w:rPr>
              <w:t>63</w:t>
            </w:r>
          </w:p>
        </w:tc>
        <w:tc>
          <w:tcPr>
            <w:tcW w:type="dxa" w:w="2050"/>
            <w:vAlign w:val="center"/>
          </w:tcPr>
          <w:p>
            <w:pPr>
              <w:spacing w:before="0" w:after="30"/>
            </w:pPr>
            <w:r>
              <w:rPr>
                <w:sz w:val="14"/>
              </w:rPr>
              <w:t>NightAcce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tc>
          <w:tcPr>
            <w:tcW w:type="dxa" w:w="500"/>
            <w:vAlign w:val="center"/>
          </w:tcPr>
          <w:p>
            <w:pPr>
              <w:spacing w:before="0" w:after="30"/>
            </w:pPr>
            <w:r>
              <w:rPr>
                <w:sz w:val="14"/>
              </w:rPr>
              <w:t>64</w:t>
            </w:r>
          </w:p>
        </w:tc>
        <w:tc>
          <w:tcPr>
            <w:tcW w:type="dxa" w:w="2050"/>
            <w:vAlign w:val="center"/>
          </w:tcPr>
          <w:p>
            <w:pPr>
              <w:spacing w:before="0" w:after="30"/>
            </w:pPr>
            <w:r>
              <w:rPr>
                <w:sz w:val="14"/>
              </w:rPr>
              <w:t>Not50Recently</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Not50%Recently: clears 50recent flag once profile is back at 100% and BGL rising</w:t>
            </w:r>
          </w:p>
        </w:tc>
      </w:tr>
      <w:tr>
        <w:tc>
          <w:tcPr>
            <w:tcW w:type="dxa" w:w="500"/>
            <w:vAlign w:val="center"/>
          </w:tcPr>
          <w:p>
            <w:pPr>
              <w:spacing w:before="0" w:after="30"/>
            </w:pPr>
            <w:r>
              <w:rPr>
                <w:sz w:val="14"/>
              </w:rPr>
              <w:t>65</w:t>
            </w:r>
          </w:p>
        </w:tc>
        <w:tc>
          <w:tcPr>
            <w:tcW w:type="dxa" w:w="2050"/>
            <w:vAlign w:val="center"/>
          </w:tcPr>
          <w:p>
            <w:pPr>
              <w:spacing w:before="0" w:after="30"/>
            </w:pPr>
            <w:r>
              <w:rPr>
                <w:sz w:val="14"/>
              </w:rPr>
              <w:t>OffHighProf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tc>
          <w:tcPr>
            <w:tcW w:type="dxa" w:w="500"/>
            <w:vAlign w:val="center"/>
          </w:tcPr>
          <w:p>
            <w:pPr>
              <w:spacing w:before="0" w:after="30"/>
            </w:pPr>
            <w:r>
              <w:rPr>
                <w:sz w:val="14"/>
              </w:rPr>
              <w:t>66</w:t>
            </w:r>
          </w:p>
        </w:tc>
        <w:tc>
          <w:tcPr>
            <w:tcW w:type="dxa" w:w="2050"/>
            <w:vAlign w:val="center"/>
          </w:tcPr>
          <w:p>
            <w:pPr>
              <w:spacing w:before="0" w:after="30"/>
            </w:pPr>
            <w:r>
              <w:rPr>
                <w:sz w:val="14"/>
              </w:rPr>
              <w:t>OldPod2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tc>
          <w:tcPr>
            <w:tcW w:type="dxa" w:w="500"/>
            <w:vAlign w:val="center"/>
          </w:tcPr>
          <w:p>
            <w:pPr>
              <w:spacing w:before="0" w:after="30"/>
            </w:pPr>
            <w:r>
              <w:rPr>
                <w:sz w:val="14"/>
              </w:rPr>
              <w:t>67</w:t>
            </w:r>
          </w:p>
        </w:tc>
        <w:tc>
          <w:tcPr>
            <w:tcW w:type="dxa" w:w="2050"/>
            <w:vAlign w:val="center"/>
          </w:tcPr>
          <w:p>
            <w:pPr>
              <w:spacing w:before="0" w:after="30"/>
            </w:pPr>
            <w:r>
              <w:rPr>
                <w:sz w:val="14"/>
              </w:rPr>
              <w:t>PP50Off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tc>
          <w:tcPr>
            <w:tcW w:type="dxa" w:w="500"/>
            <w:vAlign w:val="center"/>
          </w:tcPr>
          <w:p>
            <w:pPr>
              <w:spacing w:before="0" w:after="30"/>
            </w:pPr>
            <w:r>
              <w:rPr>
                <w:sz w:val="14"/>
              </w:rPr>
              <w:t>68</w:t>
            </w:r>
          </w:p>
        </w:tc>
        <w:tc>
          <w:tcPr>
            <w:tcW w:type="dxa" w:w="2050"/>
            <w:vAlign w:val="center"/>
          </w:tcPr>
          <w:p>
            <w:pPr>
              <w:spacing w:before="0" w:after="30"/>
            </w:pPr>
            <w:r>
              <w:rPr>
                <w:sz w:val="14"/>
              </w:rPr>
              <w:t>PeakInsulinTimeDownTT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tc>
          <w:tcPr>
            <w:tcW w:type="dxa" w:w="500"/>
            <w:vAlign w:val="center"/>
          </w:tcPr>
          <w:p>
            <w:pPr>
              <w:spacing w:before="0" w:after="30"/>
            </w:pPr>
            <w:r>
              <w:rPr>
                <w:sz w:val="14"/>
              </w:rPr>
              <w:t>69</w:t>
            </w:r>
          </w:p>
        </w:tc>
        <w:tc>
          <w:tcPr>
            <w:tcW w:type="dxa" w:w="2050"/>
            <w:vAlign w:val="center"/>
          </w:tcPr>
          <w:p>
            <w:pPr>
              <w:spacing w:before="0" w:after="30"/>
            </w:pPr>
            <w:r>
              <w:rPr>
                <w:sz w:val="14"/>
              </w:rPr>
              <w:t>PeakInsulinTimeUpTT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PeakInsulinTimeUpTT: manually setting a TT of 5.076 mmol is used as a remote +5 nudge on InsulinOrefPeak, clamped to its own max (120). Same pattern as PeakInsulinTimeDownTT above.</w:t>
            </w:r>
          </w:p>
        </w:tc>
      </w:tr>
      <w:tr>
        <w:tc>
          <w:tcPr>
            <w:tcW w:type="dxa" w:w="500"/>
            <w:vAlign w:val="center"/>
          </w:tcPr>
          <w:p>
            <w:pPr>
              <w:spacing w:before="0" w:after="30"/>
            </w:pPr>
            <w:r>
              <w:rPr>
                <w:sz w:val="14"/>
              </w:rPr>
              <w:t>70</w:t>
            </w:r>
          </w:p>
        </w:tc>
        <w:tc>
          <w:tcPr>
            <w:tcW w:type="dxa" w:w="2050"/>
            <w:vAlign w:val="center"/>
          </w:tcPr>
          <w:p>
            <w:pPr>
              <w:spacing w:before="0" w:after="30"/>
            </w:pPr>
            <w:r>
              <w:rPr>
                <w:sz w:val="14"/>
              </w:rPr>
              <w:t>Pod1</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tc>
          <w:tcPr>
            <w:tcW w:type="dxa" w:w="500"/>
            <w:vAlign w:val="center"/>
          </w:tcPr>
          <w:p>
            <w:pPr>
              <w:spacing w:before="0" w:after="30"/>
            </w:pPr>
            <w:r>
              <w:rPr>
                <w:sz w:val="14"/>
              </w:rPr>
              <w:t>71</w:t>
            </w:r>
          </w:p>
        </w:tc>
        <w:tc>
          <w:tcPr>
            <w:tcW w:type="dxa" w:w="2050"/>
            <w:vAlign w:val="center"/>
          </w:tcPr>
          <w:p>
            <w:pPr>
              <w:spacing w:before="0" w:after="30"/>
            </w:pPr>
            <w:r>
              <w:rPr>
                <w:sz w:val="14"/>
              </w:rPr>
              <w:t>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78 hours": narrow ~0.1h match window during 08:00 AM-11:59 PM, permanently switches to Current ProfileReal and flags Profile state PP130. Live-pump-only, matching the original's note.</w:t>
            </w:r>
          </w:p>
        </w:tc>
      </w:tr>
      <w:tr>
        <w:tc>
          <w:tcPr>
            <w:tcW w:type="dxa" w:w="500"/>
            <w:vAlign w:val="center"/>
          </w:tcPr>
          <w:p>
            <w:pPr>
              <w:spacing w:before="0" w:after="30"/>
            </w:pPr>
            <w:r>
              <w:rPr>
                <w:sz w:val="14"/>
              </w:rPr>
              <w:t>72</w:t>
            </w:r>
          </w:p>
        </w:tc>
        <w:tc>
          <w:tcPr>
            <w:tcW w:type="dxa" w:w="2050"/>
            <w:vAlign w:val="center"/>
          </w:tcPr>
          <w:p>
            <w:pPr>
              <w:spacing w:before="0" w:after="30"/>
            </w:pPr>
            <w:r>
              <w:rPr>
                <w:sz w:val="14"/>
              </w:rPr>
              <w:t>PodChangeHighPP130</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tc>
          <w:tcPr>
            <w:tcW w:type="dxa" w:w="500"/>
            <w:vAlign w:val="center"/>
          </w:tcPr>
          <w:p>
            <w:pPr>
              <w:spacing w:before="0" w:after="30"/>
            </w:pPr>
            <w:r>
              <w:rPr>
                <w:sz w:val="14"/>
              </w:rPr>
              <w:t>73</w:t>
            </w:r>
          </w:p>
        </w:tc>
        <w:tc>
          <w:tcPr>
            <w:tcW w:type="dxa" w:w="2050"/>
            <w:vAlign w:val="center"/>
          </w:tcPr>
          <w:p>
            <w:pPr>
              <w:spacing w:before="0" w:after="30"/>
            </w:pPr>
            <w:r>
              <w:rPr>
                <w:sz w:val="14"/>
              </w:rPr>
              <w:t>PpWeightDownTT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tc>
          <w:tcPr>
            <w:tcW w:type="dxa" w:w="500"/>
            <w:vAlign w:val="center"/>
          </w:tcPr>
          <w:p>
            <w:pPr>
              <w:spacing w:before="0" w:after="30"/>
            </w:pPr>
            <w:r>
              <w:rPr>
                <w:sz w:val="14"/>
              </w:rPr>
              <w:t>74</w:t>
            </w:r>
          </w:p>
        </w:tc>
        <w:tc>
          <w:tcPr>
            <w:tcW w:type="dxa" w:w="2050"/>
            <w:vAlign w:val="center"/>
          </w:tcPr>
          <w:p>
            <w:pPr>
              <w:spacing w:before="0" w:after="30"/>
            </w:pPr>
            <w:r>
              <w:rPr>
                <w:sz w:val="14"/>
              </w:rPr>
              <w:t>PpWeightHighDownTT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tc>
          <w:tcPr>
            <w:tcW w:type="dxa" w:w="500"/>
            <w:vAlign w:val="center"/>
          </w:tcPr>
          <w:p>
            <w:pPr>
              <w:spacing w:before="0" w:after="30"/>
            </w:pPr>
            <w:r>
              <w:rPr>
                <w:sz w:val="14"/>
              </w:rPr>
              <w:t>75</w:t>
            </w:r>
          </w:p>
        </w:tc>
        <w:tc>
          <w:tcPr>
            <w:tcW w:type="dxa" w:w="2050"/>
            <w:vAlign w:val="center"/>
          </w:tcPr>
          <w:p>
            <w:pPr>
              <w:spacing w:before="0" w:after="30"/>
            </w:pPr>
            <w:r>
              <w:rPr>
                <w:sz w:val="14"/>
              </w:rPr>
              <w:t>PpWeightHighUpTT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PpWeightHighUpTT: manually setting a TT of 5.058 mmol is used as a remote +0.01 nudge on ApsAutoIsfPpWeightHigh, clamped to its own max (0.15). Same pattern as PpWeightHighDownTT above.</w:t>
            </w:r>
          </w:p>
        </w:tc>
      </w:tr>
      <w:tr>
        <w:tc>
          <w:tcPr>
            <w:tcW w:type="dxa" w:w="500"/>
            <w:vAlign w:val="center"/>
          </w:tcPr>
          <w:p>
            <w:pPr>
              <w:spacing w:before="0" w:after="30"/>
            </w:pPr>
            <w:r>
              <w:rPr>
                <w:sz w:val="14"/>
              </w:rPr>
              <w:t>76</w:t>
            </w:r>
          </w:p>
        </w:tc>
        <w:tc>
          <w:tcPr>
            <w:tcW w:type="dxa" w:w="2050"/>
            <w:vAlign w:val="center"/>
          </w:tcPr>
          <w:p>
            <w:pPr>
              <w:spacing w:before="0" w:after="30"/>
            </w:pPr>
            <w:r>
              <w:rPr>
                <w:sz w:val="14"/>
              </w:rPr>
              <w:t>PpWeightRevertUnder8_5</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tc>
          <w:tcPr>
            <w:tcW w:type="dxa" w:w="500"/>
            <w:vAlign w:val="center"/>
          </w:tcPr>
          <w:p>
            <w:pPr>
              <w:spacing w:before="0" w:after="30"/>
            </w:pPr>
            <w:r>
              <w:rPr>
                <w:sz w:val="14"/>
              </w:rPr>
              <w:t>77</w:t>
            </w:r>
          </w:p>
        </w:tc>
        <w:tc>
          <w:tcPr>
            <w:tcW w:type="dxa" w:w="2050"/>
            <w:vAlign w:val="center"/>
          </w:tcPr>
          <w:p>
            <w:pPr>
              <w:spacing w:before="0" w:after="30"/>
            </w:pPr>
            <w:r>
              <w:rPr>
                <w:sz w:val="14"/>
              </w:rPr>
              <w:t>PpWeightUpTT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PpWeightUpTT: manually setting a TT of 5.14 mmol is used as a remote +0.01 nudge on ApsAutoIsfPpWeightNormal, clamped to its own max (0.15). Same pattern as PpWeightDownTT above.</w:t>
            </w:r>
          </w:p>
        </w:tc>
      </w:tr>
      <w:tr>
        <w:tc>
          <w:tcPr>
            <w:tcW w:type="dxa" w:w="500"/>
            <w:vAlign w:val="center"/>
          </w:tcPr>
          <w:p>
            <w:pPr>
              <w:spacing w:before="0" w:after="30"/>
            </w:pPr>
            <w:r>
              <w:rPr>
                <w:sz w:val="14"/>
              </w:rPr>
              <w:t>78</w:t>
            </w:r>
          </w:p>
        </w:tc>
        <w:tc>
          <w:tcPr>
            <w:tcW w:type="dxa" w:w="2050"/>
            <w:vAlign w:val="center"/>
          </w:tcPr>
          <w:p>
            <w:pPr>
              <w:spacing w:before="0" w:after="30"/>
            </w:pPr>
            <w:r>
              <w:rPr>
                <w:sz w:val="14"/>
              </w:rPr>
              <w:t>PreSoakSensor24hrs</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tc>
          <w:tcPr>
            <w:tcW w:type="dxa" w:w="500"/>
            <w:vAlign w:val="center"/>
          </w:tcPr>
          <w:p>
            <w:pPr>
              <w:spacing w:before="0" w:after="30"/>
            </w:pPr>
            <w:r>
              <w:rPr>
                <w:sz w:val="14"/>
              </w:rPr>
              <w:t>79</w:t>
            </w:r>
          </w:p>
        </w:tc>
        <w:tc>
          <w:tcPr>
            <w:tcW w:type="dxa" w:w="2050"/>
            <w:vAlign w:val="center"/>
          </w:tcPr>
          <w:p>
            <w:pPr>
              <w:spacing w:before="0" w:after="30"/>
            </w:pPr>
            <w:r>
              <w:rPr>
                <w:sz w:val="14"/>
              </w:rPr>
              <w:t>PrepareSet50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tc>
          <w:tcPr>
            <w:tcW w:type="dxa" w:w="500"/>
            <w:vAlign w:val="center"/>
          </w:tcPr>
          <w:p>
            <w:pPr>
              <w:spacing w:before="0" w:after="30"/>
            </w:pPr>
            <w:r>
              <w:rPr>
                <w:sz w:val="14"/>
              </w:rPr>
              <w:t>80</w:t>
            </w:r>
          </w:p>
        </w:tc>
        <w:tc>
          <w:tcPr>
            <w:tcW w:type="dxa" w:w="2050"/>
            <w:vAlign w:val="center"/>
          </w:tcPr>
          <w:p>
            <w:pPr>
              <w:spacing w:before="0" w:after="30"/>
            </w:pPr>
            <w:r>
              <w:rPr>
                <w:sz w:val="14"/>
              </w:rPr>
              <w:t>RecentPod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tc>
          <w:tcPr>
            <w:tcW w:type="dxa" w:w="500"/>
            <w:vAlign w:val="center"/>
          </w:tcPr>
          <w:p>
            <w:pPr>
              <w:spacing w:before="0" w:after="30"/>
            </w:pPr>
            <w:r>
              <w:rPr>
                <w:sz w:val="14"/>
              </w:rPr>
              <w:t>81</w:t>
            </w:r>
          </w:p>
        </w:tc>
        <w:tc>
          <w:tcPr>
            <w:tcW w:type="dxa" w:w="2050"/>
            <w:vAlign w:val="center"/>
          </w:tcPr>
          <w:p>
            <w:pPr>
              <w:spacing w:before="0" w:after="30"/>
            </w:pPr>
            <w:r>
              <w:rPr>
                <w:sz w:val="14"/>
              </w:rPr>
              <w:t>RecentPodOff</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tc>
          <w:tcPr>
            <w:tcW w:type="dxa" w:w="500"/>
            <w:vAlign w:val="center"/>
          </w:tcPr>
          <w:p>
            <w:pPr>
              <w:spacing w:before="0" w:after="30"/>
            </w:pPr>
            <w:r>
              <w:rPr>
                <w:sz w:val="14"/>
              </w:rPr>
              <w:t>82</w:t>
            </w:r>
          </w:p>
        </w:tc>
        <w:tc>
          <w:tcPr>
            <w:tcW w:type="dxa" w:w="2050"/>
            <w:vAlign w:val="center"/>
          </w:tcPr>
          <w:p>
            <w:pPr>
              <w:spacing w:before="0" w:after="30"/>
            </w:pPr>
            <w:r>
              <w:rPr>
                <w:sz w:val="14"/>
              </w:rPr>
              <w:t>SemiTwilightAcce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tc>
          <w:tcPr>
            <w:tcW w:type="dxa" w:w="500"/>
            <w:vAlign w:val="center"/>
          </w:tcPr>
          <w:p>
            <w:pPr>
              <w:spacing w:before="0" w:after="30"/>
            </w:pPr>
            <w:r>
              <w:rPr>
                <w:sz w:val="14"/>
              </w:rPr>
              <w:t>83</w:t>
            </w:r>
          </w:p>
        </w:tc>
        <w:tc>
          <w:tcPr>
            <w:tcW w:type="dxa" w:w="2050"/>
            <w:vAlign w:val="center"/>
          </w:tcPr>
          <w:p>
            <w:pPr>
              <w:spacing w:before="0" w:after="30"/>
            </w:pPr>
            <w:r>
              <w:rPr>
                <w:sz w:val="14"/>
              </w:rPr>
              <w:t>SensorAgeCodeToggleTT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w:t>
            </w:r>
          </w:p>
        </w:tc>
      </w:tr>
      <w:tr>
        <w:tc>
          <w:tcPr>
            <w:tcW w:type="dxa" w:w="500"/>
            <w:vAlign w:val="center"/>
          </w:tcPr>
          <w:p>
            <w:pPr>
              <w:spacing w:before="0" w:after="30"/>
            </w:pPr>
            <w:r>
              <w:rPr>
                <w:sz w:val="14"/>
              </w:rPr>
              <w:t>84</w:t>
            </w:r>
          </w:p>
        </w:tc>
        <w:tc>
          <w:tcPr>
            <w:tcW w:type="dxa" w:w="2050"/>
            <w:vAlign w:val="center"/>
          </w:tcPr>
          <w:p>
            <w:pPr>
              <w:spacing w:before="0" w:after="30"/>
            </w:pPr>
            <w:r>
              <w:rPr>
                <w:sz w:val="14"/>
              </w:rPr>
              <w:t>SensorAgeToggleTT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tc>
          <w:tcPr>
            <w:tcW w:type="dxa" w:w="500"/>
            <w:vAlign w:val="center"/>
          </w:tcPr>
          <w:p>
            <w:pPr>
              <w:spacing w:before="0" w:after="30"/>
            </w:pPr>
            <w:r>
              <w:rPr>
                <w:sz w:val="14"/>
              </w:rPr>
              <w:t>85</w:t>
            </w:r>
          </w:p>
        </w:tc>
        <w:tc>
          <w:tcPr>
            <w:tcW w:type="dxa" w:w="2050"/>
            <w:vAlign w:val="center"/>
          </w:tcPr>
          <w:p>
            <w:pPr>
              <w:spacing w:before="0" w:after="30"/>
            </w:pPr>
            <w:r>
              <w:rPr>
                <w:sz w:val="14"/>
              </w:rPr>
              <w:t>SensorS1hr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14.9 days": narrow ~0.1h match window, gated on cannula age &lt;=80h. Live-pump-only, matching the original's note.</w:t>
            </w:r>
          </w:p>
        </w:tc>
      </w:tr>
      <w:tr>
        <w:tc>
          <w:tcPr>
            <w:tcW w:type="dxa" w:w="500"/>
            <w:vAlign w:val="center"/>
          </w:tcPr>
          <w:p>
            <w:pPr>
              <w:spacing w:before="0" w:after="30"/>
            </w:pPr>
            <w:r>
              <w:rPr>
                <w:sz w:val="14"/>
              </w:rPr>
              <w:t>86</w:t>
            </w:r>
          </w:p>
        </w:tc>
        <w:tc>
          <w:tcPr>
            <w:tcW w:type="dxa" w:w="2050"/>
            <w:vAlign w:val="center"/>
          </w:tcPr>
          <w:p>
            <w:pPr>
              <w:spacing w:before="0" w:after="30"/>
            </w:pPr>
            <w:r>
              <w:rPr>
                <w:sz w:val="14"/>
              </w:rPr>
              <w:t>SensorS2hr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 days 22 hours due": narrow ~0.1h match window, gated on cannula age &lt;=80h. Live-pump-only, matching the original's note.</w:t>
            </w:r>
          </w:p>
        </w:tc>
      </w:tr>
      <w:tr>
        <w:tc>
          <w:tcPr>
            <w:tcW w:type="dxa" w:w="500"/>
            <w:vAlign w:val="center"/>
          </w:tcPr>
          <w:p>
            <w:pPr>
              <w:spacing w:before="0" w:after="30"/>
            </w:pPr>
            <w:r>
              <w:rPr>
                <w:sz w:val="14"/>
              </w:rPr>
              <w:t>87</w:t>
            </w:r>
          </w:p>
        </w:tc>
        <w:tc>
          <w:tcPr>
            <w:tcW w:type="dxa" w:w="2050"/>
            <w:vAlign w:val="center"/>
          </w:tcPr>
          <w:p>
            <w:pPr>
              <w:spacing w:before="0" w:after="30"/>
            </w:pPr>
            <w:r>
              <w:rPr>
                <w:sz w:val="14"/>
              </w:rPr>
              <w:t>Shower12</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Shower12: drops iobTH to 12% during quiet morning rise (no steps, no COB, long post-bolus) 5-min floor throttle added on top of the preconditions (see readyToRun() usage note).</w:t>
            </w:r>
          </w:p>
        </w:tc>
      </w:tr>
      <w:tr>
        <w:tc>
          <w:tcPr>
            <w:tcW w:type="dxa" w:w="500"/>
            <w:vAlign w:val="center"/>
          </w:tcPr>
          <w:p>
            <w:pPr>
              <w:spacing w:before="0" w:after="30"/>
            </w:pPr>
            <w:r>
              <w:rPr>
                <w:sz w:val="14"/>
              </w:rPr>
              <w:t>88</w:t>
            </w:r>
          </w:p>
        </w:tc>
        <w:tc>
          <w:tcPr>
            <w:tcW w:type="dxa" w:w="2050"/>
            <w:vAlign w:val="center"/>
          </w:tcPr>
          <w:p>
            <w:pPr>
              <w:spacing w:before="0" w:after="30"/>
            </w:pPr>
            <w:r>
              <w:rPr>
                <w:sz w:val="14"/>
              </w:rPr>
              <w:t>SkittlesHypoRisk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tc>
          <w:tcPr>
            <w:tcW w:type="dxa" w:w="500"/>
            <w:vAlign w:val="center"/>
          </w:tcPr>
          <w:p>
            <w:pPr>
              <w:spacing w:before="0" w:after="30"/>
            </w:pPr>
            <w:r>
              <w:rPr>
                <w:sz w:val="14"/>
              </w:rPr>
              <w:t>89</w:t>
            </w:r>
          </w:p>
        </w:tc>
        <w:tc>
          <w:tcPr>
            <w:tcW w:type="dxa" w:w="2050"/>
            <w:vAlign w:val="center"/>
          </w:tcPr>
          <w:p>
            <w:pPr>
              <w:spacing w:before="0" w:after="30"/>
            </w:pPr>
            <w:r>
              <w:rPr>
                <w:sz w:val="14"/>
              </w:rPr>
              <w:t>SmbDeliveryDownTT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tc>
          <w:tcPr>
            <w:tcW w:type="dxa" w:w="500"/>
            <w:vAlign w:val="center"/>
          </w:tcPr>
          <w:p>
            <w:pPr>
              <w:spacing w:before="0" w:after="30"/>
            </w:pPr>
            <w:r>
              <w:rPr>
                <w:sz w:val="14"/>
              </w:rPr>
              <w:t>90</w:t>
            </w:r>
          </w:p>
        </w:tc>
        <w:tc>
          <w:tcPr>
            <w:tcW w:type="dxa" w:w="2050"/>
            <w:vAlign w:val="center"/>
          </w:tcPr>
          <w:p>
            <w:pPr>
              <w:spacing w:before="0" w:after="30"/>
            </w:pPr>
            <w:r>
              <w:rPr>
                <w:sz w:val="14"/>
              </w:rPr>
              <w:t>SmbDeliveryUpTT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SmbDeliveryUpTT: manually setting a TT of 5.04 mmol is used as a remote +0.01 nudge on both SMB delivery settings, clamped to each key's own max (0.5 for both). Same pattern and same tight 0.001mmol tolerance as SmbDeliveryDownTT above.</w:t>
            </w:r>
          </w:p>
        </w:tc>
      </w:tr>
      <w:tr>
        <w:tc>
          <w:tcPr>
            <w:tcW w:type="dxa" w:w="500"/>
            <w:vAlign w:val="center"/>
          </w:tcPr>
          <w:p>
            <w:pPr>
              <w:spacing w:before="0" w:after="30"/>
            </w:pPr>
            <w:r>
              <w:rPr>
                <w:sz w:val="14"/>
              </w:rPr>
              <w:t>91</w:t>
            </w:r>
          </w:p>
        </w:tc>
        <w:tc>
          <w:tcPr>
            <w:tcW w:type="dxa" w:w="2050"/>
            <w:vAlign w:val="center"/>
          </w:tcPr>
          <w:p>
            <w:pPr>
              <w:spacing w:before="0" w:after="30"/>
            </w:pPr>
            <w:r>
              <w:rPr>
                <w:sz w:val="14"/>
              </w:rPr>
              <w:t>SmbOffsetDownTT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tc>
          <w:tcPr>
            <w:tcW w:type="dxa" w:w="500"/>
            <w:vAlign w:val="center"/>
          </w:tcPr>
          <w:p>
            <w:pPr>
              <w:spacing w:before="0" w:after="30"/>
            </w:pPr>
            <w:r>
              <w:rPr>
                <w:sz w:val="14"/>
              </w:rPr>
              <w:t>92</w:t>
            </w:r>
          </w:p>
        </w:tc>
        <w:tc>
          <w:tcPr>
            <w:tcW w:type="dxa" w:w="2050"/>
            <w:vAlign w:val="center"/>
          </w:tcPr>
          <w:p>
            <w:pPr>
              <w:spacing w:before="0" w:after="30"/>
            </w:pPr>
            <w:r>
              <w:rPr>
                <w:sz w:val="14"/>
              </w:rPr>
              <w:t>SmbOffsetUpTT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SmbOffsetUpTT: manually setting a TT of 5.38 mmol is used as a remote +0.1 nudge on ApsAutoIsfSmbOffsetOverride, clamped to a max of 1.50. Same pattern as SmbOffsetDownTT above.</w:t>
            </w:r>
          </w:p>
        </w:tc>
      </w:tr>
      <w:tr>
        <w:tc>
          <w:tcPr>
            <w:tcW w:type="dxa" w:w="500"/>
            <w:vAlign w:val="center"/>
          </w:tcPr>
          <w:p>
            <w:pPr>
              <w:spacing w:before="0" w:after="30"/>
            </w:pPr>
            <w:r>
              <w:rPr>
                <w:sz w:val="14"/>
              </w:rPr>
              <w:t>93</w:t>
            </w:r>
          </w:p>
        </w:tc>
        <w:tc>
          <w:tcPr>
            <w:tcW w:type="dxa" w:w="2050"/>
            <w:vAlign w:val="center"/>
          </w:tcPr>
          <w:p>
            <w:pPr>
              <w:spacing w:before="0" w:after="30"/>
            </w:pPr>
            <w:r>
              <w:rPr>
                <w:sz w:val="14"/>
              </w:rPr>
              <w:t>StepsSteroidsOff</w:t>
            </w:r>
          </w:p>
        </w:tc>
        <w:tc>
          <w:tcPr>
            <w:tcW w:type="dxa" w:w="1600"/>
            <w:vAlign w:val="center"/>
          </w:tcPr>
          <w:p>
            <w:pPr>
              <w:spacing w:before="0" w:after="30"/>
            </w:pPr>
            <w:r>
              <w:rPr>
                <w:sz w:val="14"/>
              </w:rPr>
              <w:t>Steroid state</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tc>
          <w:tcPr>
            <w:tcW w:type="dxa" w:w="500"/>
            <w:vAlign w:val="center"/>
          </w:tcPr>
          <w:p>
            <w:pPr>
              <w:spacing w:before="0" w:after="30"/>
            </w:pPr>
            <w:r>
              <w:rPr>
                <w:sz w:val="14"/>
              </w:rPr>
              <w:t>94</w:t>
            </w:r>
          </w:p>
        </w:tc>
        <w:tc>
          <w:tcPr>
            <w:tcW w:type="dxa" w:w="2050"/>
            <w:vAlign w:val="center"/>
          </w:tcPr>
          <w:p>
            <w:pPr>
              <w:spacing w:before="0" w:after="30"/>
            </w:pPr>
            <w:r>
              <w:rPr>
                <w:sz w:val="14"/>
              </w:rPr>
              <w:t>T80Off3ok</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tc>
          <w:tcPr>
            <w:tcW w:type="dxa" w:w="500"/>
            <w:vAlign w:val="center"/>
          </w:tcPr>
          <w:p>
            <w:pPr>
              <w:spacing w:before="0" w:after="30"/>
            </w:pPr>
            <w:r>
              <w:rPr>
                <w:sz w:val="14"/>
              </w:rPr>
              <w:t>95</w:t>
            </w:r>
          </w:p>
        </w:tc>
        <w:tc>
          <w:tcPr>
            <w:tcW w:type="dxa" w:w="2050"/>
            <w:vAlign w:val="center"/>
          </w:tcPr>
          <w:p>
            <w:pPr>
              <w:spacing w:before="0" w:after="30"/>
            </w:pPr>
            <w:r>
              <w:rPr>
                <w:sz w:val="14"/>
              </w:rPr>
              <w:t>TT57Reversal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tc>
          <w:tcPr>
            <w:tcW w:type="dxa" w:w="500"/>
            <w:vAlign w:val="center"/>
          </w:tcPr>
          <w:p>
            <w:pPr>
              <w:spacing w:before="0" w:after="30"/>
            </w:pPr>
            <w:r>
              <w:rPr>
                <w:sz w:val="14"/>
              </w:rPr>
              <w:t>96</w:t>
            </w:r>
          </w:p>
        </w:tc>
        <w:tc>
          <w:tcPr>
            <w:tcW w:type="dxa" w:w="2050"/>
            <w:vAlign w:val="center"/>
          </w:tcPr>
          <w:p>
            <w:pPr>
              <w:spacing w:before="0" w:after="30"/>
            </w:pPr>
            <w:r>
              <w:rPr>
                <w:sz w:val="14"/>
              </w:rPr>
              <w:t>Test3</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tc>
          <w:tcPr>
            <w:tcW w:type="dxa" w:w="500"/>
            <w:vAlign w:val="center"/>
          </w:tcPr>
          <w:p>
            <w:pPr>
              <w:spacing w:before="0" w:after="30"/>
            </w:pPr>
            <w:r>
              <w:rPr>
                <w:sz w:val="14"/>
              </w:rPr>
              <w:t>97</w:t>
            </w:r>
          </w:p>
        </w:tc>
        <w:tc>
          <w:tcPr>
            <w:tcW w:type="dxa" w:w="2050"/>
            <w:vAlign w:val="center"/>
          </w:tcPr>
          <w:p>
            <w:pPr>
              <w:spacing w:before="0" w:after="30"/>
            </w:pPr>
            <w:r>
              <w:rPr>
                <w:sz w:val="14"/>
              </w:rPr>
              <w:t>TodOffset0002DownTT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98</w:t>
            </w:r>
          </w:p>
        </w:tc>
        <w:tc>
          <w:tcPr>
            <w:tcW w:type="dxa" w:w="2050"/>
            <w:vAlign w:val="center"/>
          </w:tcPr>
          <w:p>
            <w:pPr>
              <w:spacing w:before="0" w:after="30"/>
            </w:pPr>
            <w:r>
              <w:rPr>
                <w:sz w:val="14"/>
              </w:rPr>
              <w:t>TodOffset0002UpTT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99</w:t>
            </w:r>
          </w:p>
        </w:tc>
        <w:tc>
          <w:tcPr>
            <w:tcW w:type="dxa" w:w="2050"/>
            <w:vAlign w:val="center"/>
          </w:tcPr>
          <w:p>
            <w:pPr>
              <w:spacing w:before="0" w:after="30"/>
            </w:pPr>
            <w:r>
              <w:rPr>
                <w:sz w:val="14"/>
              </w:rPr>
              <w:t>TodOffset0204DownTT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100</w:t>
            </w:r>
          </w:p>
        </w:tc>
        <w:tc>
          <w:tcPr>
            <w:tcW w:type="dxa" w:w="2050"/>
            <w:vAlign w:val="center"/>
          </w:tcPr>
          <w:p>
            <w:pPr>
              <w:spacing w:before="0" w:after="30"/>
            </w:pPr>
            <w:r>
              <w:rPr>
                <w:sz w:val="14"/>
              </w:rPr>
              <w:t>TodOffset0204UpTT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101</w:t>
            </w:r>
          </w:p>
        </w:tc>
        <w:tc>
          <w:tcPr>
            <w:tcW w:type="dxa" w:w="2050"/>
            <w:vAlign w:val="center"/>
          </w:tcPr>
          <w:p>
            <w:pPr>
              <w:spacing w:before="0" w:after="30"/>
            </w:pPr>
            <w:r>
              <w:rPr>
                <w:sz w:val="14"/>
              </w:rPr>
              <w:t>TodOffset0406DownTT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102</w:t>
            </w:r>
          </w:p>
        </w:tc>
        <w:tc>
          <w:tcPr>
            <w:tcW w:type="dxa" w:w="2050"/>
            <w:vAlign w:val="center"/>
          </w:tcPr>
          <w:p>
            <w:pPr>
              <w:spacing w:before="0" w:after="30"/>
            </w:pPr>
            <w:r>
              <w:rPr>
                <w:sz w:val="14"/>
              </w:rPr>
              <w:t>TodOffset0406UpTT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103</w:t>
            </w:r>
          </w:p>
        </w:tc>
        <w:tc>
          <w:tcPr>
            <w:tcW w:type="dxa" w:w="2050"/>
            <w:vAlign w:val="center"/>
          </w:tcPr>
          <w:p>
            <w:pPr>
              <w:spacing w:before="0" w:after="30"/>
            </w:pPr>
            <w:r>
              <w:rPr>
                <w:sz w:val="14"/>
              </w:rPr>
              <w:t>TodOffset0609DownTT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104</w:t>
            </w:r>
          </w:p>
        </w:tc>
        <w:tc>
          <w:tcPr>
            <w:tcW w:type="dxa" w:w="2050"/>
            <w:vAlign w:val="center"/>
          </w:tcPr>
          <w:p>
            <w:pPr>
              <w:spacing w:before="0" w:after="30"/>
            </w:pPr>
            <w:r>
              <w:rPr>
                <w:sz w:val="14"/>
              </w:rPr>
              <w:t>TodOffset0609UpTT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105</w:t>
            </w:r>
          </w:p>
        </w:tc>
        <w:tc>
          <w:tcPr>
            <w:tcW w:type="dxa" w:w="2050"/>
            <w:vAlign w:val="center"/>
          </w:tcPr>
          <w:p>
            <w:pPr>
              <w:spacing w:before="0" w:after="30"/>
            </w:pPr>
            <w:r>
              <w:rPr>
                <w:sz w:val="14"/>
              </w:rPr>
              <w:t>TodOffset0912DownTT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106</w:t>
            </w:r>
          </w:p>
        </w:tc>
        <w:tc>
          <w:tcPr>
            <w:tcW w:type="dxa" w:w="2050"/>
            <w:vAlign w:val="center"/>
          </w:tcPr>
          <w:p>
            <w:pPr>
              <w:spacing w:before="0" w:after="30"/>
            </w:pPr>
            <w:r>
              <w:rPr>
                <w:sz w:val="14"/>
              </w:rPr>
              <w:t>TodOffset0912UpTT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107</w:t>
            </w:r>
          </w:p>
        </w:tc>
        <w:tc>
          <w:tcPr>
            <w:tcW w:type="dxa" w:w="2050"/>
            <w:vAlign w:val="center"/>
          </w:tcPr>
          <w:p>
            <w:pPr>
              <w:spacing w:before="0" w:after="30"/>
            </w:pPr>
            <w:r>
              <w:rPr>
                <w:sz w:val="14"/>
              </w:rPr>
              <w:t>TodOffset1218DownTT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108</w:t>
            </w:r>
          </w:p>
        </w:tc>
        <w:tc>
          <w:tcPr>
            <w:tcW w:type="dxa" w:w="2050"/>
            <w:vAlign w:val="center"/>
          </w:tcPr>
          <w:p>
            <w:pPr>
              <w:spacing w:before="0" w:after="30"/>
            </w:pPr>
            <w:r>
              <w:rPr>
                <w:sz w:val="14"/>
              </w:rPr>
              <w:t>TodOffset1218UpTT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109</w:t>
            </w:r>
          </w:p>
        </w:tc>
        <w:tc>
          <w:tcPr>
            <w:tcW w:type="dxa" w:w="2050"/>
            <w:vAlign w:val="center"/>
          </w:tcPr>
          <w:p>
            <w:pPr>
              <w:spacing w:before="0" w:after="30"/>
            </w:pPr>
            <w:r>
              <w:rPr>
                <w:sz w:val="14"/>
              </w:rPr>
              <w:t>TodOffset1822DownTT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110</w:t>
            </w:r>
          </w:p>
        </w:tc>
        <w:tc>
          <w:tcPr>
            <w:tcW w:type="dxa" w:w="2050"/>
            <w:vAlign w:val="center"/>
          </w:tcPr>
          <w:p>
            <w:pPr>
              <w:spacing w:before="0" w:after="30"/>
            </w:pPr>
            <w:r>
              <w:rPr>
                <w:sz w:val="14"/>
              </w:rPr>
              <w:t>TodOffset1822UpTT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111</w:t>
            </w:r>
          </w:p>
        </w:tc>
        <w:tc>
          <w:tcPr>
            <w:tcW w:type="dxa" w:w="2050"/>
            <w:vAlign w:val="center"/>
          </w:tcPr>
          <w:p>
            <w:pPr>
              <w:spacing w:before="0" w:after="30"/>
            </w:pPr>
            <w:r>
              <w:rPr>
                <w:sz w:val="14"/>
              </w:rPr>
              <w:t>TodOffset2200DownTT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112</w:t>
            </w:r>
          </w:p>
        </w:tc>
        <w:tc>
          <w:tcPr>
            <w:tcW w:type="dxa" w:w="2050"/>
            <w:vAlign w:val="center"/>
          </w:tcPr>
          <w:p>
            <w:pPr>
              <w:spacing w:before="0" w:after="30"/>
            </w:pPr>
            <w:r>
              <w:rPr>
                <w:sz w:val="14"/>
              </w:rPr>
              <w:t>TodOffset2200UpTT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113</w:t>
            </w:r>
          </w:p>
        </w:tc>
        <w:tc>
          <w:tcPr>
            <w:tcW w:type="dxa" w:w="2050"/>
            <w:vAlign w:val="center"/>
          </w:tcPr>
          <w:p>
            <w:pPr>
              <w:spacing w:before="0" w:after="30"/>
            </w:pPr>
            <w:r>
              <w:rPr>
                <w:sz w:val="14"/>
              </w:rPr>
              <w:t>TwilightTH15Acce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"TwilightTH15Acce0.50": drops iobTH to 15% and acce weight to 0.50 during a quiet early morning (low steps, flat/falling BGL) while iobTH sits in the 17-39% band. No live-pump gate: the original's Note field was empty.</w:t>
            </w:r>
          </w:p>
        </w:tc>
      </w:tr>
      <w:tr>
        <w:tc>
          <w:tcPr>
            <w:tcW w:type="dxa" w:w="500"/>
            <w:vAlign w:val="center"/>
          </w:tcPr>
          <w:p>
            <w:pPr>
              <w:spacing w:before="0" w:after="30"/>
            </w:pPr>
            <w:r>
              <w:rPr>
                <w:sz w:val="14"/>
              </w:rPr>
              <w:t>114</w:t>
            </w:r>
          </w:p>
        </w:tc>
        <w:tc>
          <w:tcPr>
            <w:tcW w:type="dxa" w:w="2050"/>
            <w:vAlign w:val="center"/>
          </w:tcPr>
          <w:p>
            <w:pPr>
              <w:spacing w:before="0" w:after="30"/>
            </w:pPr>
            <w:r>
              <w:rPr>
                <w:sz w:val="14"/>
              </w:rPr>
              <w:t>Usual2forTH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tc>
          <w:tcPr>
            <w:tcW w:type="dxa" w:w="500"/>
            <w:vAlign w:val="center"/>
          </w:tcPr>
          <w:p>
            <w:pPr>
              <w:spacing w:before="0" w:after="30"/>
            </w:pPr>
            <w:r>
              <w:rPr>
                <w:sz w:val="14"/>
              </w:rPr>
              <w:t>115</w:t>
            </w:r>
          </w:p>
        </w:tc>
        <w:tc>
          <w:tcPr>
            <w:tcW w:type="dxa" w:w="2050"/>
            <w:vAlign w:val="center"/>
          </w:tcPr>
          <w:p>
            <w:pPr>
              <w:spacing w:before="0" w:after="30"/>
            </w:pPr>
            <w:r>
              <w:rPr>
                <w:sz w:val="14"/>
              </w:rPr>
              <w:t>VirtualPseudoWizard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tc>
          <w:tcPr>
            <w:tcW w:type="dxa" w:w="500"/>
            <w:vAlign w:val="center"/>
          </w:tcPr>
          <w:p>
            <w:pPr>
              <w:spacing w:before="0" w:after="30"/>
            </w:pPr>
            <w:r>
              <w:rPr>
                <w:sz w:val="14"/>
              </w:rPr>
              <w:t>116</w:t>
            </w:r>
          </w:p>
        </w:tc>
        <w:tc>
          <w:tcPr>
            <w:tcW w:type="dxa" w:w="2050"/>
            <w:vAlign w:val="center"/>
          </w:tcPr>
          <w:p>
            <w:pPr>
              <w:spacing w:before="0" w:after="30"/>
            </w:pPr>
            <w:r>
              <w:rPr>
                <w:sz w:val="14"/>
              </w:rPr>
              <w:t>WizardPctDownTT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tc>
          <w:tcPr>
            <w:tcW w:type="dxa" w:w="500"/>
            <w:vAlign w:val="center"/>
          </w:tcPr>
          <w:p>
            <w:pPr>
              <w:spacing w:before="0" w:after="30"/>
            </w:pPr>
            <w:r>
              <w:rPr>
                <w:sz w:val="14"/>
              </w:rPr>
              <w:t>117</w:t>
            </w:r>
          </w:p>
        </w:tc>
        <w:tc>
          <w:tcPr>
            <w:tcW w:type="dxa" w:w="2050"/>
            <w:vAlign w:val="center"/>
          </w:tcPr>
          <w:p>
            <w:pPr>
              <w:spacing w:before="0" w:after="30"/>
            </w:pPr>
            <w:r>
              <w:rPr>
                <w:sz w:val="14"/>
              </w:rPr>
              <w:t>WizardPctUpTT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WizardPctUpTT: manually setting a TT of 5.048 mmol is used as a remote +5 nudge on OverviewBolusPercentage, clamped to a max of 100. Same pattern as WizardPctDownTT above.</w:t>
            </w:r>
          </w:p>
        </w:tc>
      </w:tr>
      <w:tr>
        <w:tc>
          <w:tcPr>
            <w:tcW w:type="dxa" w:w="500"/>
            <w:vAlign w:val="center"/>
          </w:tcPr>
          <w:p>
            <w:pPr>
              <w:spacing w:before="0" w:after="30"/>
            </w:pPr>
            <w:r>
              <w:rPr>
                <w:sz w:val="14"/>
              </w:rPr>
              <w:t>118</w:t>
            </w:r>
          </w:p>
        </w:tc>
        <w:tc>
          <w:tcPr>
            <w:tcW w:type="dxa" w:w="2050"/>
            <w:vAlign w:val="center"/>
          </w:tcPr>
          <w:p>
            <w:pPr>
              <w:spacing w:before="0" w:after="30"/>
            </w:pPr>
            <w:r>
              <w:rPr>
                <w:sz w:val="14"/>
              </w:rPr>
              <w:t>iobTHDaytimeFloor</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ind w:left="360"/>
      <w:outlineLvl w:val="1"/>
    </w:pPr>
    <w:rPr>
      <w:color w:val="2E74B5"/>
      <w:sz w:val="26"/>
      <w:szCs w:val="26"/>
    </w:rPr>
  </w:style>
  <w:style w:type="paragraph" w:styleId="Heading3">
    <w:name w:val="heading 3"/>
    <w:uiPriority w:val="9"/>
    <w:semiHidden/>
    <w:unhideWhenUsed/>
    <w:qFormat/>
    <w:pPr>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