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pPr>
      <w:bookmarkStart w:id="0" w:name="sec001"/>
      <w:r>
        <w:rPr>
          <w:b/>
          <w:sz w:val="40"/>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14:paraId="458FFFFF" w14:textId="77777777" w:rsidR="00F16DB1" w:rsidRDefault="001E64C6">
      <w:pPr>
        <w:pStyle w:val="Heading1"/>
        <w:spacing w:before="400" w:after="200"/>
      </w:pPr>
      <w:bookmarkStart w:id="1" w:name="sec002"/>
      <w: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pPr>
      <w:bookmarkStart w:id="2" w:name="sec003"/>
      <w:r>
        <w:t>a. It has a master on/off switch, and things silently do nothing when it's off</w:t>
      </w:r>
      <w:bookmarkEnd w:id="2"/>
    </w:p>
    <w:p w14:paraId="1188F969" w14:textId="77777777" w:rsidR="00F16DB1" w:rsidRDefault="001E64C6">
      <w:pPr>
        <w:spacing w:after="160"/>
        <w:ind w:left="36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36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pPr>
      <w:bookmarkStart w:id="3" w:name="sec004"/>
      <w:r>
        <w:t>b. Fixed 2026-08-19: this is now self-healing for the coded automations' own states</w:t>
      </w:r>
      <w:bookmarkEnd w:id="3"/>
    </w:p>
    <w:p w14:paraId="4462126C" w14:textId="77777777" w:rsidR="00F16DB1" w:rsidRDefault="001E64C6">
      <w:pPr>
        <w:spacing w:after="160"/>
        <w:ind w:left="36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36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pPr>
      <w:bookmarkStart w:id="4" w:name="sec005"/>
      <w:r>
        <w:t>c. A second, related gap: declaring the value list still isn't the same as the state having a value</w:t>
      </w:r>
      <w:bookmarkEnd w:id="4"/>
    </w:p>
    <w:p w14:paraId="16EF5144" w14:textId="77777777" w:rsidR="00F16DB1" w:rsidRDefault="001E64C6">
      <w:pPr>
        <w:spacing w:after="160"/>
        <w:ind w:left="36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36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pPr>
      <w:bookmarkStart w:id="5" w:name="sec006"/>
      <w: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pPr>
      <w:bookmarkStart w:id="6" w:name="sec007"/>
      <w:r>
        <w:t>a. Automation States are force-disabled after every import — by design, not a bug</w:t>
      </w:r>
      <w:bookmarkEnd w:id="6"/>
    </w:p>
    <w:p w14:paraId="51F33626" w14:textId="77777777" w:rsidR="00F16DB1" w:rsidRDefault="001E64C6">
      <w:pPr>
        <w:spacing w:after="160"/>
        <w:ind w:left="36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36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pPr>
      <w:bookmarkStart w:id="7" w:name="sec008"/>
      <w:r>
        <w:t>b. Import restores states wholesale — where “states I never made myself” can come from</w:t>
      </w:r>
      <w:bookmarkEnd w:id="7"/>
    </w:p>
    <w:p w14:paraId="7890CBCD" w14:textId="77777777" w:rsidR="00F16DB1" w:rsidRDefault="001E64C6">
      <w:pPr>
        <w:spacing w:after="160"/>
        <w:ind w:left="36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pPr>
      <w:bookmarkStart w:id="8" w:name="sec009"/>
      <w:r>
        <w:t>c. Four “Keep current…” checkboxes not present in stock AAPS</w:t>
      </w:r>
      <w:bookmarkEnd w:id="8"/>
    </w:p>
    <w:p w14:paraId="794EF764" w14:textId="77777777" w:rsidR="00F16DB1" w:rsidRDefault="001E64C6">
      <w:pPr>
        <w:spacing w:after="160"/>
        <w:ind w:left="36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36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36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pPr>
      <w:bookmarkStart w:id="10" w:name="sec010"/>
      <w: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pPr>
      <w:bookmarkStart w:id="11" w:name="sec011"/>
      <w:r>
        <w:t>a. The SMB delivery brake</w:t>
      </w:r>
      <w:bookmarkEnd w:id="11"/>
    </w:p>
    <w:p w14:paraId="2FA80096" w14:textId="77777777" w:rsidR="00F16DB1" w:rsidRDefault="001E64C6">
      <w:pPr>
        <w:spacing w:after="100"/>
        <w:ind w:left="36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36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pPr>
      <w:bookmarkStart w:id="12" w:name="sec012"/>
      <w:r>
        <w:t>b. Tier 3 UAM Boost: criteria, output, and duration</w:t>
      </w:r>
      <w:bookmarkEnd w:id="12"/>
    </w:p>
    <w:p w14:paraId="1AC27912" w14:textId="77777777" w:rsidR="003D38EE" w:rsidRDefault="00A44A8D">
      <w:pPr>
        <w:ind w:left="36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36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36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36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36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36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36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36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36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36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36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36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pPr>
      <w:bookmarkStart w:id="13" w:name="sec013"/>
      <w:r>
        <w:t>c. The weight system's Resting/Boosted pairs</w:t>
      </w:r>
      <w:bookmarkEnd w:id="13"/>
    </w:p>
    <w:p w14:paraId="6A3EEC16" w14:textId="77777777" w:rsidR="00F16DB1" w:rsidRDefault="001E64C6">
      <w:pPr>
        <w:spacing w:after="160"/>
        <w:ind w:left="36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pPr>
      <w:bookmarkStart w:id="14" w:name="sec014"/>
      <w:r>
        <w:t>d. TDD factor / sensitivity toggles</w:t>
      </w:r>
      <w:bookmarkEnd w:id="14"/>
    </w:p>
    <w:p w14:paraId="4B72FFCC" w14:textId="77777777" w:rsidR="00F16DB1" w:rsidRDefault="001E64C6">
      <w:pPr>
        <w:spacing w:after="160"/>
        <w:ind w:left="36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pPr>
      <w:bookmarkStart w:id="15" w:name="sec015"/>
      <w:r>
        <w:t>e. The overnight safety-guard architecture</w:t>
      </w:r>
      <w:bookmarkEnd w:id="15"/>
    </w:p>
    <w:p w14:paraId="5171A5EC" w14:textId="77777777" w:rsidR="00F16DB1" w:rsidRDefault="001E64C6">
      <w:pPr>
        <w:spacing w:after="160"/>
        <w:ind w:left="36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pPr>
      <w:bookmarkStart w:id="16" w:name="sec016"/>
      <w: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pPr>
      <w:bookmarkStart w:id="17" w:name="sec017"/>
      <w:r>
        <w:t>a. Turning it on</w:t>
      </w:r>
      <w:bookmarkEnd w:id="17"/>
    </w:p>
    <w:p w14:paraId="0F908E46" w14:textId="77777777" w:rsidR="00F16DB1" w:rsidRDefault="001E64C6">
      <w:pPr>
        <w:spacing w:after="100"/>
        <w:ind w:left="360"/>
      </w:pPr>
      <w:r>
        <w:t>• GUI: “Steroid Kotlin button” setting (autoisf_steroid_kotlin_button_enabled, default on) shows a direct “Steroids ON” button on the Overview screen.</w:t>
      </w:r>
    </w:p>
    <w:p w14:paraId="37AEBC57" w14:textId="77777777" w:rsidR="00F16DB1" w:rsidRDefault="001E64C6">
      <w:pPr>
        <w:spacing w:after="100"/>
        <w:ind w:left="360"/>
      </w:pPr>
      <w:r>
        <w:t>• Requires: BooleanKey.AutomationStatesEnabled must be on (see §1) — the whole chain silently no-ops otherwise.</w:t>
      </w:r>
    </w:p>
    <w:p w14:paraId="457C3630" w14:textId="77777777" w:rsidR="00F16DB1" w:rsidRDefault="001E64C6">
      <w:pPr>
        <w:spacing w:after="100"/>
        <w:ind w:left="36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pPr>
      <w:bookmarkStart w:id="18" w:name="sec018"/>
      <w:r>
        <w:t>b. The escalation ladder</w:t>
      </w:r>
      <w:bookmarkEnd w:id="18"/>
    </w:p>
    <w:p w14:paraId="782C318A" w14:textId="77777777" w:rsidR="00F16DB1" w:rsidRDefault="001E64C6">
      <w:pPr>
        <w:spacing w:after="160"/>
        <w:ind w:left="36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36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pPr>
      <w:bookmarkStart w:id="19" w:name="sec019"/>
      <w: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pPr>
      <w:bookmarkStart w:id="20" w:name="sec020"/>
      <w:r>
        <w:t>a. Starting the cycle</w:t>
      </w:r>
      <w:bookmarkEnd w:id="20"/>
    </w:p>
    <w:p w14:paraId="36963DEA" w14:textId="77777777" w:rsidR="003D38EE" w:rsidRDefault="00A44A8D">
      <w:pPr>
        <w:ind w:left="36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36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pPr>
      <w:bookmarkStart w:id="21" w:name="sec021"/>
      <w:r>
        <w:t>b. Day-by-day state progression</w:t>
      </w:r>
      <w:bookmarkEnd w:id="21"/>
    </w:p>
    <w:p w14:paraId="10459AC8" w14:textId="77777777" w:rsidR="003D38EE" w:rsidRDefault="00A44A8D">
      <w:pPr>
        <w:ind w:left="36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360"/>
      </w:pPr>
      <w:r>
        <w:t>Day 2 — MJ2: when MJ is still MJ active, the MJ2 automation can advance it to MJ2 during 02:10–03:10. It sends “MJ2” and records the CarePortal note MJ2.</w:t>
      </w:r>
    </w:p>
    <w:p w14:paraId="603B5B75" w14:textId="77777777" w:rsidR="003D38EE" w:rsidRDefault="00A44A8D">
      <w:pPr>
        <w:ind w:left="360"/>
      </w:pPr>
      <w:r>
        <w:t>Day 3 — MJ3: when MJ is MJ2, the MJ3 automation can advance it to MJ3 during 01:05–02:05 on a later pass through that window. It sends “MJ3” and records the CarePortal note MJ3.</w:t>
      </w:r>
    </w:p>
    <w:p w14:paraId="6030942F" w14:textId="77777777" w:rsidR="003D38EE" w:rsidRDefault="00A44A8D">
      <w:pPr>
        <w:ind w:left="36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pPr>
      <w:bookmarkStart w:id="22" w:name="sec022"/>
      <w:r>
        <w:t>c. What changes while MJ remains active</w:t>
      </w:r>
      <w:bookmarkEnd w:id="22"/>
    </w:p>
    <w:p w14:paraId="3619DA20" w14:textId="77777777" w:rsidR="003D38EE" w:rsidRDefault="00A44A8D">
      <w:pPr>
        <w:ind w:left="36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36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pPr>
      <w:bookmarkStart w:id="23" w:name="sec023"/>
      <w:r>
        <w:t>d. Hypoglycaemia warnings and protective overrides</w:t>
      </w:r>
      <w:bookmarkEnd w:id="23"/>
    </w:p>
    <w:p w14:paraId="61010AF7" w14:textId="77777777" w:rsidR="003D38EE" w:rsidRDefault="00A44A8D">
      <w:pPr>
        <w:ind w:left="36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36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36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pPr>
      <w:bookmarkStart w:id="24" w:name="sec024"/>
      <w:r>
        <w:t>e. Automatic exit and manual restoration</w:t>
      </w:r>
      <w:bookmarkEnd w:id="24"/>
    </w:p>
    <w:p w14:paraId="0418635A" w14:textId="77777777" w:rsidR="003D38EE" w:rsidRDefault="00A44A8D">
      <w:pPr>
        <w:ind w:left="36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36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pPr>
      <w:bookmarkStart w:id="25" w:name="sec025"/>
      <w: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pPr>
      <w:bookmarkStart w:id="26" w:name="sec026"/>
      <w:r>
        <w:t>a. The reconciliation mechanism</w:t>
      </w:r>
      <w:bookmarkEnd w:id="26"/>
    </w:p>
    <w:p w14:paraId="0063EDF9" w14:textId="77777777" w:rsidR="00F16DB1" w:rsidRDefault="001E64C6">
      <w:pPr>
        <w:spacing w:after="160"/>
        <w:ind w:left="36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36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pPr>
      <w:bookmarkStart w:id="27" w:name="sec027"/>
      <w:r>
        <w:t>b. The suppression only applies while AutoISF is actually the active algorithm</w:t>
      </w:r>
      <w:bookmarkEnd w:id="27"/>
    </w:p>
    <w:p w14:paraId="52A14087" w14:textId="77777777" w:rsidR="00F16DB1" w:rsidRDefault="001E64C6">
      <w:pPr>
        <w:spacing w:after="160"/>
        <w:ind w:left="36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pPr>
      <w:bookmarkStart w:id="28" w:name="sec028"/>
      <w:r>
        <w:t>7. Other Idiosyncrasies Worth Knowing</w:t>
      </w:r>
      <w:bookmarkEnd w:id="28"/>
    </w:p>
    <w:p w14:paraId="0DFD3D25" w14:textId="77777777" w:rsidR="00F16DB1" w:rsidRDefault="001E64C6">
      <w:pPr>
        <w:pStyle w:val="Heading2"/>
        <w:spacing w:before="280" w:after="120"/>
      </w:pPr>
      <w:bookmarkStart w:id="29" w:name="sec029"/>
      <w:r>
        <w:t>a. CarePortal note codes as a compact diagnostic language</w:t>
      </w:r>
      <w:bookmarkEnd w:id="29"/>
    </w:p>
    <w:p w14:paraId="471F6F2F" w14:textId="77777777" w:rsidR="00F16DB1" w:rsidRDefault="001E64C6">
      <w:pPr>
        <w:spacing w:after="160"/>
        <w:ind w:left="36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36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pPr>
      <w:bookmarkStart w:id="30" w:name="sec030"/>
      <w:r>
        <w:t>b. MJ as the fork's other major state machine</w:t>
      </w:r>
      <w:bookmarkEnd w:id="30"/>
    </w:p>
    <w:p w14:paraId="3D2D2B5A" w14:textId="77777777" w:rsidR="00F16DB1" w:rsidRDefault="001E64C6">
      <w:pPr>
        <w:spacing w:after="160"/>
        <w:ind w:left="36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pPr>
      <w:bookmarkStart w:id="31" w:name="sec031"/>
      <w:r>
        <w:t>c. The AIV/UKFcheck export pipeline has more moving parts than it looks</w:t>
      </w:r>
      <w:bookmarkEnd w:id="31"/>
    </w:p>
    <w:p w14:paraId="50A411D9" w14:textId="77777777" w:rsidR="00F16DB1" w:rsidRDefault="001E64C6">
      <w:pPr>
        <w:spacing w:after="160"/>
        <w:ind w:left="36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pPr>
      <w:bookmarkStart w:id="32" w:name="sec032"/>
      <w:r>
        <w:t>d. A concrete regression pattern worth remembering</w:t>
      </w:r>
      <w:bookmarkEnd w:id="32"/>
    </w:p>
    <w:p w14:paraId="596F5A93" w14:textId="77777777" w:rsidR="00F16DB1" w:rsidRDefault="001E64C6">
      <w:pPr>
        <w:spacing w:after="160"/>
        <w:ind w:left="36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pPr>
      <w:bookmarkStart w:id="33" w:name="sec033"/>
      <w:r>
        <w:t>8. Manual controls and AIV history</w:t>
      </w:r>
      <w:bookmarkEnd w:id="33"/>
    </w:p>
    <w:p w14:paraId="397492C6" w14:textId="77777777" w:rsidR="003D38EE" w:rsidRDefault="00A44A8D">
      <w:pPr>
        <w:pStyle w:val="Heading2"/>
      </w:pPr>
      <w:bookmarkStart w:id="34" w:name="sec034"/>
      <w:r>
        <w:t>a. Bolus calculator: screen, calculation and follow-up dosing</w:t>
      </w:r>
      <w:bookmarkEnd w:id="34"/>
    </w:p>
    <w:p w14:paraId="482F76AB" w14:textId="77777777" w:rsidR="003D38EE" w:rsidRDefault="00A44A8D">
      <w:pPr>
        <w:ind w:left="36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36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36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36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36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36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36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36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36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pPr>
      <w:bookmarkStart w:id="35" w:name="sec035"/>
      <w:r>
        <w:t>b. Lists 1 and 2: mechanism, current status and confirmation</w:t>
      </w:r>
      <w:bookmarkEnd w:id="35"/>
    </w:p>
    <w:p w14:paraId="7C7888BB" w14:textId="77777777" w:rsidR="003D38EE" w:rsidRDefault="00A44A8D">
      <w:pPr>
        <w:ind w:left="36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36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36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36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36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36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pPr>
      <w:bookmarkStart w:id="36" w:name="sec036"/>
      <w:r>
        <w:t>c. AIV table: popup population and backup/export behavior</w:t>
      </w:r>
      <w:bookmarkEnd w:id="36"/>
    </w:p>
    <w:p w14:paraId="60ECFE16" w14:textId="77777777" w:rsidR="003D38EE" w:rsidRDefault="00A44A8D">
      <w:pPr>
        <w:ind w:left="36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36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36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36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36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5980403C" w14:textId="77777777" w:rsidR="003D38EE" w:rsidRDefault="00A44A8D">
      <w:pPr>
        <w:pStyle w:val="Heading1"/>
      </w:pPr>
      <w:bookmarkStart w:id="37" w:name="sec037"/>
      <w:r>
        <w:t>9. GUI display changes</w:t>
      </w:r>
      <w:bookmarkEnd w:id="37"/>
    </w:p>
    <w:p w14:paraId="282D20EE" w14:textId="77777777" w:rsidR="003D38EE" w:rsidRDefault="00A44A8D">
      <w:pPr>
        <w:pStyle w:val="Heading2"/>
      </w:pPr>
      <w:bookmarkStart w:id="38" w:name="sec038"/>
      <w:r>
        <w:t>a. Graph types and the triggers for each</w:t>
      </w:r>
      <w:bookmarkEnd w:id="38"/>
    </w:p>
    <w:p w14:paraId="665509D9" w14:textId="77777777" w:rsidR="003D38EE" w:rsidRDefault="00A44A8D">
      <w:pPr>
        <w:ind w:left="36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36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36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36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pPr>
      <w:bookmarkStart w:id="39" w:name="sec039"/>
      <w:r>
        <w:lastRenderedPageBreak/>
        <w:t>b. Colour changes driven by AutoISF input</w:t>
      </w:r>
      <w:bookmarkEnd w:id="39"/>
    </w:p>
    <w:p w14:paraId="052ADA52" w14:textId="77777777" w:rsidR="003D38EE" w:rsidRDefault="00A44A8D">
      <w:pPr>
        <w:ind w:left="36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36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36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pPr>
      <w:bookmarkStart w:id="40" w:name="sec040"/>
      <w:r>
        <w:t>c. Information shown on each graph</w:t>
      </w:r>
      <w:bookmarkEnd w:id="40"/>
    </w:p>
    <w:p w14:paraId="2F38D275" w14:textId="77777777" w:rsidR="003D38EE" w:rsidRDefault="00A44A8D">
      <w:pPr>
        <w:ind w:left="36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36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36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36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36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36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pPr>
      <w:bookmarkStart w:id="45" w:name="sec10_progress_outcomes"/>
      <w:r>
        <w:t>10. Factors affecting progress and hypoglycaemia outcomes</w:t>
      </w:r>
      <w:bookmarkEnd w:id="45"/>
    </w:p>
    <w:p>
      <w:pPr>
        <w:pStyle w:val="Heading2"/>
      </w:pPr>
      <w:bookmarkStart w:id="46" w:name="sec10_pod_age"/>
      <w:r>
        <w:t>a. Pod age and pump-type qualification</w:t>
      </w:r>
      <w:bookmarkEnd w:id="46"/>
    </w:p>
    <w:p>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pPr>
      <w:bookmarkStart w:id="47" w:name="sec10_bolus_hp"/>
      <w:r>
        <w:t>b. Projected HP at bolus-calculator initiation</w:t>
      </w:r>
      <w:bookmarkEnd w:id="47"/>
    </w:p>
    <w:p>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pPr>
      <w:bookmarkStart w:id="48" w:name="sec10_recent50_progress"/>
      <w:r>
        <w:t>c. Effects of 50recent, a 50% profile and a hypo temporary target on progress</w:t>
      </w:r>
      <w:bookmarkEnd w:id="48"/>
    </w:p>
    <w:p>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pPr>
      <w:bookmarkStart w:id="49" w:name="sec10_hypo_causes_outcomes"/>
      <w:r>
        <w:t>d. Hypoglycaemia warning causes and outcomes</w:t>
      </w:r>
      <w:bookmarkEnd w:id="49"/>
    </w:p>
    <w:p>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7DD791CE" w14:textId="77777777" w:rsidR="00F16DB1" w:rsidRDefault="001E64C6">
      <w:pPr>
        <w:pStyle w:val="Heading1"/>
        <w:spacing w:before="400" w:after="200"/>
      </w:pPr>
      <w:bookmarkStart w:id="41" w:name="sec041"/>
      <w: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pPr>
      <w:bookmarkStart w:id="42" w:name="sec042"/>
      <w:r>
        <w:t>a. Version tag &amp; build identification</w:t>
      </w:r>
      <w:bookmarkEnd w:id="42"/>
    </w:p>
    <w:p w14:paraId="3C93EAA7" w14:textId="77777777" w:rsidR="00F16DB1" w:rsidRDefault="001E64C6">
      <w:pPr>
        <w:spacing w:after="160"/>
        <w:ind w:left="36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pPr>
      <w:bookmarkStart w:id="43" w:name="sec043"/>
      <w:r>
        <w:t>b. Per-device backup/export folder naming</w:t>
      </w:r>
      <w:bookmarkEnd w:id="43"/>
    </w:p>
    <w:p w14:paraId="5B83DFEE" w14:textId="77777777" w:rsidR="00B827B4" w:rsidRDefault="001E64C6">
      <w:pPr>
        <w:spacing w:after="160"/>
        <w:ind w:left="36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360"/>
      </w:pPr>
    </w:p>
    <w:p w14:paraId="5F7DA396" w14:textId="77777777" w:rsidR="003D38EE" w:rsidRDefault="00A44A8D">
      <w:pPr>
        <w:pStyle w:val="Heading1"/>
      </w:pPr>
      <w:bookmarkStart w:id="44" w:name="appendix_b_contents"/>
      <w: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