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pPr>
      <w:r>
        <w:t>Introduction: Most significant new features</w:t>
      </w:r>
      <w:bookmarkEnd w:id="1"/>
    </w:p>
    <w:p>
      <w:r>
        <w:t>This manual concentrates on the operational changes that most distinguish this AutoISF fork from stock AAPS and that are most likely to affect daily use:</w:t>
      </w:r>
    </w:p>
    <w:p>
      <w:pPr>
        <w:numPr>
          <w:ilvl w:val="0"/>
          <w:numId w:val="2"/>
        </w:numPr>
      </w:pPr>
      <w:r>
        <w:t>Mechanism For Ignoring Or Invoking Native Automations.</w:t>
      </w:r>
    </w:p>
    <w:p>
      <w:pPr>
        <w:numPr>
          <w:ilvl w:val="0"/>
          <w:numId w:val="2"/>
        </w:numPr>
      </w:pPr>
      <w:r>
        <w:t>This is now self-healing for the coded automations' own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pPr>
        <w:numPr>
          <w:ilvl w:val="0"/>
          <w:numId w:val="2"/>
        </w:numPr>
      </w:pPr>
      <w:r>
        <w:t>GUI display changes.</w:t>
      </w:r>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bookmarkStart w:id="37" w:name="sec037"/>
      <w:pPr>
        <w:pStyle w:val="Heading1"/>
      </w:pPr>
      <w:r>
        <w:t>9. GUI display changes</w:t>
      </w:r>
      <w:bookmarkEnd w:id="37"/>
    </w:p>
    <w:p>
      <w:bookmarkStart w:id="38" w:name="sec038"/>
      <w:pPr>
        <w:pStyle w:val="Heading2"/>
      </w:pPr>
      <w:r>
        <w:t>a. Graph types and the triggers for each</w:t>
      </w:r>
      <w:bookmarkEnd w:id="38"/>
    </w:p>
    <w:p>
      <w:pPr>
        <w:ind w:left="360" w:firstLine="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pPr>
        <w:ind w:left="360" w:firstLine="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pPr>
        <w:ind w:left="360" w:firstLine="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pPr>
        <w:ind w:left="360" w:firstLine="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bookmarkStart w:id="39" w:name="sec039"/>
      <w:pPr>
        <w:pStyle w:val="Heading2"/>
      </w:pPr>
      <w:r>
        <w:t>b. Colour changes driven by AutoISF input</w:t>
      </w:r>
      <w:bookmarkEnd w:id="39"/>
    </w:p>
    <w:p>
      <w:pPr>
        <w:ind w:left="360" w:firstLine="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pPr>
        <w:ind w:left="360" w:firstLine="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pPr>
        <w:ind w:left="360" w:firstLine="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bookmarkStart w:id="40" w:name="sec040"/>
      <w:pPr>
        <w:pStyle w:val="Heading2"/>
      </w:pPr>
      <w:r>
        <w:t>c. Information shown on each graph</w:t>
      </w:r>
      <w:bookmarkEnd w:id="40"/>
    </w:p>
    <w:p>
      <w:pPr>
        <w:ind w:left="360" w:firstLine="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pPr>
        <w:ind w:left="360" w:firstLine="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pPr>
        <w:ind w:left="360" w:firstLine="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pPr>
        <w:ind w:left="360" w:firstLine="0"/>
      </w:pPr>
      <w:r>
        <w:rPr>
          <w:b/>
        </w:rPr>
        <w:t xml:space="preserve">Graph 3 information. </w:t>
      </w:r>
      <w:r>
        <w:t>Graph 3 shows its selected secondary series plus the total-SMB-per-stack labels at the base of the panel. The older pp/acce/duration annotation row no longer belongs here; it has moved to Graph 5.</w:t>
      </w:r>
    </w:p>
    <w:p>
      <w:pPr>
        <w:ind w:left="360" w:firstLine="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pPr>
        <w:ind w:left="360" w:firstLine="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A926786" w14:textId="77777777" w:rsidR="00F16DB1" w:rsidRDefault="001E64C6">
      <w:bookmarkStart w:id="41" w:name="sec041"/>
      <w:pPr>
        <w:pStyle w:val="Heading1"/>
        <w:spacing w:before="400" w:after="200"/>
      </w:pPr>
      <w:r>
        <w:t>Appendix A — Installation and explanatory information</w:t>
      </w:r>
      <w:bookmarkEnd w:id="41"/>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42" w:name="sec042"/>
      <w:pPr>
        <w:pStyle w:val="Heading2"/>
        <w:spacing w:before="280" w:after="120"/>
      </w:pPr>
      <w:r>
        <w:t>a. Version tag &amp; build identification</w:t>
      </w:r>
      <w:bookmarkEnd w:id="42"/>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43" w:name="sec043"/>
      <w:pPr>
        <w:pStyle w:val="Heading2"/>
        <w:spacing w:before="280" w:after="120"/>
      </w:pPr>
      <w:r>
        <w:t>b. Per-device backup/export folder naming</w:t>
      </w:r>
      <w:bookmarkEnd w:id="43"/>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p>
      <w:bookmarkStart w:id="44" w:name="TOC"/>
      <w:pPr>
        <w:pStyle w:val="Heading1"/>
      </w:pPr>
      <w:r>
        <w:t>Contents</w:t>
      </w:r>
      <w:bookmarkEnd w:id="44"/>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9. GUI display changes</w:t>
        </w:r>
      </w:hyperlink>
    </w:p>
    <w:p>
      <w:r>
        <w:t xml:space="preserve">  </w:t>
      </w:r>
      <w:hyperlink w:anchor="sec038">
        <w:r>
          <w:rPr>
            <w:rStyle w:val="Hyperlink"/>
          </w:rPr>
          <w:t>a. Graph types and the triggers for each</w:t>
        </w:r>
      </w:hyperlink>
    </w:p>
    <w:p>
      <w:r>
        <w:t xml:space="preserve">  </w:t>
      </w:r>
      <w:hyperlink w:anchor="sec039">
        <w:r>
          <w:rPr>
            <w:rStyle w:val="Hyperlink"/>
          </w:rPr>
          <w:t>b. Colour changes driven by AutoISF input</w:t>
        </w:r>
      </w:hyperlink>
    </w:p>
    <w:p>
      <w:r>
        <w:t xml:space="preserve">  </w:t>
      </w:r>
      <w:hyperlink w:anchor="sec040">
        <w:r>
          <w:rPr>
            <w:rStyle w:val="Hyperlink"/>
          </w:rPr>
          <w:t>c. Information shown on each graph</w:t>
        </w:r>
      </w:hyperlink>
    </w:p>
    <w:p>
      <w:hyperlink w:anchor="sec041">
        <w:r>
          <w:rPr>
            <w:rStyle w:val="Hyperlink"/>
          </w:rPr>
          <w:t>Appendix A — Installation and explanatory information</w:t>
        </w:r>
      </w:hyperlink>
    </w:p>
    <w:p>
      <w:r>
        <w:t xml:space="preserve">  </w:t>
      </w:r>
      <w:hyperlink w:anchor="sec042">
        <w:r>
          <w:rPr>
            <w:rStyle w:val="Hyperlink"/>
          </w:rPr>
          <w:t>a. Version tag &amp; build identification</w:t>
        </w:r>
      </w:hyperlink>
    </w:p>
    <w:p>
      <w:r>
        <w:t xml:space="preserve">  </w:t>
      </w:r>
      <w:hyperlink w:anchor="sec043">
        <w:r>
          <w:rPr>
            <w:rStyle w:val="Hyperlink"/>
          </w:rPr>
          <w:t>b. Per-device backup/export folder naming</w:t>
        </w:r>
      </w:hyperlink>
    </w:p>
    <w:p>
      <w:r>
        <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