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bookmarkStart w:id="37" w:name="TOC"/>
      <w:pPr>
        <w:pStyle w:val="Heading1"/>
      </w:pPr>
      <w:r>
        <w:t>Contents</w:t>
      </w:r>
      <w:bookmarkEnd w:id="37"/>
    </w:p>
    <w:p>
      <w:hyperlink w:anchor="sec001">
        <w:r>
          <w:rPr>
            <w:rStyle w:val="Hyperlink"/>
          </w:rPr>
          <w:t>1. Requirements for “Automation States”</w:t>
        </w:r>
      </w:hyperlink>
    </w:p>
    <w:p>
      <w:r>
        <w:t xml:space="preserve">  </w:t>
      </w:r>
      <w:hyperlink w:anchor="sec002">
        <w:r>
          <w:rPr>
            <w:rStyle w:val="Hyperlink"/>
          </w:rPr>
          <w:t>a. It has a master on/off switch, and things silently do nothing when it's off</w:t>
        </w:r>
      </w:hyperlink>
    </w:p>
    <w:p>
      <w:r>
        <w:t xml:space="preserve">  </w:t>
      </w:r>
      <w:hyperlink w:anchor="sec003">
        <w:r>
          <w:rPr>
            <w:rStyle w:val="Hyperlink"/>
          </w:rPr>
          <w:t>b. Fixed 2026-08-19: this is now self-healing for the coded automations' own states</w:t>
        </w:r>
      </w:hyperlink>
    </w:p>
    <w:p>
      <w:r>
        <w:t xml:space="preserve">  </w:t>
      </w:r>
      <w:hyperlink w:anchor="sec004">
        <w:r>
          <w:rPr>
            <w:rStyle w:val="Hyperlink"/>
          </w:rPr>
          <w:t>c. A second, related gap: declaring the value list still isn't the same as the state having a value</w:t>
        </w:r>
      </w:hyperlink>
    </w:p>
    <w:p>
      <w:hyperlink w:anchor="sec005">
        <w:r>
          <w:rPr>
            <w:rStyle w:val="Hyperlink"/>
          </w:rPr>
          <w:t>2. Settings Import Features — Especially With States</w:t>
        </w:r>
      </w:hyperlink>
    </w:p>
    <w:p>
      <w:r>
        <w:t xml:space="preserve">  </w:t>
      </w:r>
      <w:hyperlink w:anchor="sec006">
        <w:r>
          <w:rPr>
            <w:rStyle w:val="Hyperlink"/>
          </w:rPr>
          <w:t>a. Automation States are force-disabled after every import — by design, not a bug</w:t>
        </w:r>
      </w:hyperlink>
    </w:p>
    <w:p>
      <w:r>
        <w:t xml:space="preserve">  </w:t>
      </w:r>
      <w:hyperlink w:anchor="sec007">
        <w:r>
          <w:rPr>
            <w:rStyle w:val="Hyperlink"/>
          </w:rPr>
          <w:t>b. Import restores states wholesale — where “states I never made myself” can come from</w:t>
        </w:r>
      </w:hyperlink>
    </w:p>
    <w:p>
      <w:r>
        <w:t xml:space="preserve">  </w:t>
      </w:r>
      <w:hyperlink w:anchor="sec008">
        <w:r>
          <w:rPr>
            <w:rStyle w:val="Hyperlink"/>
          </w:rPr>
          <w:t>c. Four “Keep current…” checkboxes not present in stock AAPS</w:t>
        </w:r>
      </w:hyperlink>
    </w:p>
    <w:p>
      <w:hyperlink w:anchor="sec009">
        <w:r>
          <w:rPr>
            <w:rStyle w:val="Hyperlink"/>
          </w:rPr>
          <w:t>3. Settings That Materially Affect Day-to-Day Function</w:t>
        </w:r>
      </w:hyperlink>
    </w:p>
    <w:p>
      <w:r>
        <w:t xml:space="preserve">  </w:t>
      </w:r>
      <w:hyperlink w:anchor="sec010">
        <w:r>
          <w:rPr>
            <w:rStyle w:val="Hyperlink"/>
          </w:rPr>
          <w:t>a. The SMB delivery brake</w:t>
        </w:r>
      </w:hyperlink>
    </w:p>
    <w:p>
      <w:r>
        <w:t xml:space="preserve">  </w:t>
      </w:r>
      <w:hyperlink w:anchor="sec011">
        <w:r>
          <w:rPr>
            <w:rStyle w:val="Hyperlink"/>
          </w:rPr>
          <w:t>b. Tier 3 UAM Boost: criteria, output, and duration</w:t>
        </w:r>
      </w:hyperlink>
    </w:p>
    <w:p>
      <w:r>
        <w:t xml:space="preserve">  </w:t>
      </w:r>
      <w:hyperlink w:anchor="sec012">
        <w:r>
          <w:rPr>
            <w:rStyle w:val="Hyperlink"/>
          </w:rPr>
          <w:t>c. The weight system's Resting/Boosted pairs</w:t>
        </w:r>
      </w:hyperlink>
    </w:p>
    <w:p>
      <w:r>
        <w:t xml:space="preserve">  </w:t>
      </w:r>
      <w:hyperlink w:anchor="sec013">
        <w:r>
          <w:rPr>
            <w:rStyle w:val="Hyperlink"/>
          </w:rPr>
          <w:t>d. TDD factor / sensitivity toggles</w:t>
        </w:r>
      </w:hyperlink>
    </w:p>
    <w:p>
      <w:r>
        <w:t xml:space="preserve">  </w:t>
      </w:r>
      <w:hyperlink w:anchor="sec014">
        <w:r>
          <w:rPr>
            <w:rStyle w:val="Hyperlink"/>
          </w:rPr>
          <w:t>e. The overnight safety-guard architecture</w:t>
        </w:r>
      </w:hyperlink>
    </w:p>
    <w:p>
      <w:hyperlink w:anchor="sec015">
        <w:r>
          <w:rPr>
            <w:rStyle w:val="Hyperlink"/>
          </w:rPr>
          <w:t>4. Setting: If Steroids Are Needed</w:t>
        </w:r>
      </w:hyperlink>
    </w:p>
    <w:p>
      <w:r>
        <w:t xml:space="preserve">  </w:t>
      </w:r>
      <w:hyperlink w:anchor="sec016">
        <w:r>
          <w:rPr>
            <w:rStyle w:val="Hyperlink"/>
          </w:rPr>
          <w:t>a. Turning it on</w:t>
        </w:r>
      </w:hyperlink>
    </w:p>
    <w:p>
      <w:r>
        <w:t xml:space="preserve">  </w:t>
      </w:r>
      <w:hyperlink w:anchor="sec017">
        <w:r>
          <w:rPr>
            <w:rStyle w:val="Hyperlink"/>
          </w:rPr>
          <w:t>b. The escalation ladder</w:t>
        </w:r>
      </w:hyperlink>
    </w:p>
    <w:p>
      <w:hyperlink w:anchor="sec018">
        <w:r>
          <w:rPr>
            <w:rStyle w:val="Hyperlink"/>
          </w:rPr>
          <w:t>5. Mounjaro (MJ): three-day reduced-insulin cycle</w:t>
        </w:r>
      </w:hyperlink>
    </w:p>
    <w:p>
      <w:r>
        <w:t xml:space="preserve">  </w:t>
      </w:r>
      <w:hyperlink w:anchor="sec019">
        <w:r>
          <w:rPr>
            <w:rStyle w:val="Hyperlink"/>
          </w:rPr>
          <w:t>a. Starting the cycle</w:t>
        </w:r>
      </w:hyperlink>
    </w:p>
    <w:p>
      <w:r>
        <w:t xml:space="preserve">  </w:t>
      </w:r>
      <w:hyperlink w:anchor="sec020">
        <w:r>
          <w:rPr>
            <w:rStyle w:val="Hyperlink"/>
          </w:rPr>
          <w:t>b. Day-by-day state progression</w:t>
        </w:r>
      </w:hyperlink>
    </w:p>
    <w:p>
      <w:r>
        <w:t xml:space="preserve">  </w:t>
      </w:r>
      <w:hyperlink w:anchor="sec021">
        <w:r>
          <w:rPr>
            <w:rStyle w:val="Hyperlink"/>
          </w:rPr>
          <w:t>c. What changes while MJ remains active</w:t>
        </w:r>
      </w:hyperlink>
    </w:p>
    <w:p>
      <w:r>
        <w:t xml:space="preserve">  </w:t>
      </w:r>
      <w:hyperlink w:anchor="sec022">
        <w:r>
          <w:rPr>
            <w:rStyle w:val="Hyperlink"/>
          </w:rPr>
          <w:t>d. Hypoglycaemia warnings and protective overrides</w:t>
        </w:r>
      </w:hyperlink>
    </w:p>
    <w:p>
      <w:r>
        <w:t xml:space="preserve">  </w:t>
      </w:r>
      <w:hyperlink w:anchor="sec023">
        <w:r>
          <w:rPr>
            <w:rStyle w:val="Hyperlink"/>
          </w:rPr>
          <w:t>e. Automatic exit and manual restoration</w:t>
        </w:r>
      </w:hyperlink>
    </w:p>
    <w:p>
      <w:hyperlink w:anchor="sec024">
        <w:r>
          <w:rPr>
            <w:rStyle w:val="Hyperlink"/>
          </w:rPr>
          <w:t>6. Mechanism For Ignoring Or Invoking Native Automations</w:t>
        </w:r>
      </w:hyperlink>
    </w:p>
    <w:p>
      <w:r>
        <w:t xml:space="preserve">  </w:t>
      </w:r>
      <w:hyperlink w:anchor="sec025">
        <w:r>
          <w:rPr>
            <w:rStyle w:val="Hyperlink"/>
          </w:rPr>
          <w:t>a. The reconciliation mechanism</w:t>
        </w:r>
      </w:hyperlink>
    </w:p>
    <w:p>
      <w:r>
        <w:t xml:space="preserve">  </w:t>
      </w:r>
      <w:hyperlink w:anchor="sec026">
        <w:r>
          <w:rPr>
            <w:rStyle w:val="Hyperlink"/>
          </w:rPr>
          <w:t>b. The suppression only applies while AutoISF is actually the active algorithm</w:t>
        </w:r>
      </w:hyperlink>
    </w:p>
    <w:p>
      <w:hyperlink w:anchor="sec027">
        <w:r>
          <w:rPr>
            <w:rStyle w:val="Hyperlink"/>
          </w:rPr>
          <w:t>7. Other Idiosyncrasies Worth Knowing</w:t>
        </w:r>
      </w:hyperlink>
    </w:p>
    <w:p>
      <w:r>
        <w:t xml:space="preserve">  </w:t>
      </w:r>
      <w:hyperlink w:anchor="sec028">
        <w:r>
          <w:rPr>
            <w:rStyle w:val="Hyperlink"/>
          </w:rPr>
          <w:t>a. CarePortal note codes as a compact diagnostic language</w:t>
        </w:r>
      </w:hyperlink>
    </w:p>
    <w:p>
      <w:r>
        <w:t xml:space="preserve">  </w:t>
      </w:r>
      <w:hyperlink w:anchor="sec029">
        <w:r>
          <w:rPr>
            <w:rStyle w:val="Hyperlink"/>
          </w:rPr>
          <w:t>b. MJ as the fork's other major state machine</w:t>
        </w:r>
      </w:hyperlink>
    </w:p>
    <w:p>
      <w:r>
        <w:t xml:space="preserve">  </w:t>
      </w:r>
      <w:hyperlink w:anchor="sec030">
        <w:r>
          <w:rPr>
            <w:rStyle w:val="Hyperlink"/>
          </w:rPr>
          <w:t>c. The AIV/UKFcheck export pipeline has more moving parts than it looks</w:t>
        </w:r>
      </w:hyperlink>
    </w:p>
    <w:p>
      <w:r>
        <w:t xml:space="preserve">  </w:t>
      </w:r>
      <w:hyperlink w:anchor="sec031">
        <w:r>
          <w:rPr>
            <w:rStyle w:val="Hyperlink"/>
          </w:rPr>
          <w:t>d. A concrete regression pattern worth remembering</w:t>
        </w:r>
      </w:hyperlink>
    </w:p>
    <w:p>
      <w:hyperlink w:anchor="sec032">
        <w:r>
          <w:rPr>
            <w:rStyle w:val="Hyperlink"/>
          </w:rPr>
          <w:t>Appendix A — Installation and explanatory information</w:t>
        </w:r>
      </w:hyperlink>
    </w:p>
    <w:p>
      <w:r>
        <w:t xml:space="preserve">  </w:t>
      </w:r>
      <w:hyperlink w:anchor="sec033">
        <w:r>
          <w:rPr>
            <w:rStyle w:val="Hyperlink"/>
          </w:rPr>
          <w:t>a. Version tag &amp; build identification</w:t>
        </w:r>
      </w:hyperlink>
    </w:p>
    <w:p>
      <w:r>
        <w:t xml:space="preserve">  </w:t>
      </w:r>
      <w:hyperlink w:anchor="sec034">
        <w:r>
          <w:rPr>
            <w:rStyle w:val="Hyperlink"/>
          </w:rPr>
          <w:t>b. Per-device backup/export folder naming</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110DEB20" w14:textId="77777777" w:rsidR="00F16DB1" w:rsidRDefault="001E64C6">
      <w:bookmarkStart w:id="1" w:name="Top"/>
      <w:pPr>
        <w:pStyle w:val="Title"/>
        <w:spacing w:after="100"/>
      </w:pPr>
      <w:r>
        <w:t>AutoISF Fork — Idiosyncrasies &amp; Operations Manual</w:t>
      </w:r>
      <w:bookmarkEnd w:id="1"/>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14:paraId="649B3F65" w14:textId="77777777" w:rsidR="00F16DB1" w:rsidRDefault="001E64C6">
      <w:bookmarkStart w:id="3" w:name="sec001"/>
      <w:pPr>
        <w:pStyle w:val="Heading1"/>
        <w:spacing w:before="400" w:after="200"/>
      </w:pPr>
      <w:r>
        <w:t>1. Requirements for “Automation States”</w:t>
      </w:r>
      <w:bookmarkEnd w:id="3"/>
      <w:r>
        <w:t xml:space="preserve"> </w:t>
      </w:r>
      <w:hyperlink w:anchor="TOC">
        <w:r>
          <w:rPr>
            <w:rStyle w:val="Hyperlink"/>
          </w:rPr>
          <w:t>Back to TOC</w:t>
        </w:r>
      </w:hyperlink>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4" w:name="sec002"/>
      <w:pPr>
        <w:pStyle w:val="Heading2"/>
        <w:spacing w:before="280" w:after="120"/>
      </w:pPr>
      <w:r>
        <w:t>a. It has a master on/off switch, and things silently do nothing when it's off</w:t>
      </w:r>
      <w:bookmarkEnd w:id="4"/>
      <w:r>
        <w:t xml:space="preserve"> </w:t>
      </w:r>
      <w:hyperlink w:anchor="TOC">
        <w:r>
          <w:rPr>
            <w:rStyle w:val="Hyperlink"/>
          </w:rPr>
          <w:t>Back to TOC</w:t>
        </w:r>
      </w:hyperlink>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5" w:name="sec003"/>
      <w:pPr>
        <w:pStyle w:val="Heading2"/>
        <w:spacing w:before="280" w:after="120"/>
      </w:pPr>
      <w:r>
        <w:t>b. Fixed 2026-08-19: this is now self-healing for the coded automations' own states</w:t>
      </w:r>
      <w:bookmarkEnd w:id="5"/>
      <w:r>
        <w:t xml:space="preserve"> </w:t>
      </w:r>
      <w:hyperlink w:anchor="TOC">
        <w:r>
          <w:rPr>
            <w:rStyle w:val="Hyperlink"/>
          </w:rPr>
          <w:t>Back to TOC</w:t>
        </w:r>
      </w:hyperlink>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6" w:name="sec004"/>
      <w:pPr>
        <w:pStyle w:val="Heading2"/>
        <w:spacing w:before="280" w:after="120"/>
      </w:pPr>
      <w:r>
        <w:t>c. A second, related gap: declaring the value list still isn't the same as the state having a value</w:t>
      </w:r>
      <w:bookmarkEnd w:id="6"/>
      <w:r>
        <w:t xml:space="preserve"> </w:t>
      </w:r>
      <w:hyperlink w:anchor="TOC">
        <w:r>
          <w:rPr>
            <w:rStyle w:val="Hyperlink"/>
          </w:rPr>
          <w:t>Back to TOC</w:t>
        </w:r>
      </w:hyperlink>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7" w:name="sec005"/>
      <w:pPr>
        <w:pStyle w:val="Heading1"/>
        <w:spacing w:before="400" w:after="200"/>
      </w:pPr>
      <w:r>
        <w:t>2. Settings Import Features — Especially With States</w:t>
      </w:r>
      <w:bookmarkEnd w:id="7"/>
      <w:r>
        <w:t xml:space="preserve"> </w:t>
      </w:r>
      <w:hyperlink w:anchor="TOC">
        <w:r>
          <w:rPr>
            <w:rStyle w:val="Hyperlink"/>
          </w:rPr>
          <w:t>Back to TOC</w:t>
        </w:r>
      </w:hyperlink>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8" w:name="sec006"/>
      <w:pPr>
        <w:pStyle w:val="Heading2"/>
        <w:spacing w:before="280" w:after="120"/>
      </w:pPr>
      <w:r>
        <w:t>a. Automation States are force-disabled after every import — by design, not a bug</w:t>
      </w:r>
      <w:bookmarkEnd w:id="8"/>
      <w:r>
        <w:t xml:space="preserve"> </w:t>
      </w:r>
      <w:hyperlink w:anchor="TOC">
        <w:r>
          <w:rPr>
            <w:rStyle w:val="Hyperlink"/>
          </w:rPr>
          <w:t>Back to TOC</w:t>
        </w:r>
      </w:hyperlink>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9" w:name="sec007"/>
      <w:pPr>
        <w:pStyle w:val="Heading2"/>
        <w:spacing w:before="280" w:after="120"/>
      </w:pPr>
      <w:r>
        <w:t>b. Import restores states wholesale — where “states I never made myself” can come from</w:t>
      </w:r>
      <w:bookmarkEnd w:id="9"/>
      <w:r>
        <w:t xml:space="preserve"> </w:t>
      </w:r>
      <w:hyperlink w:anchor="TOC">
        <w:r>
          <w:rPr>
            <w:rStyle w:val="Hyperlink"/>
          </w:rPr>
          <w:t>Back to TOC</w:t>
        </w:r>
      </w:hyperlink>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10" w:name="sec008"/>
      <w:pPr>
        <w:pStyle w:val="Heading2"/>
        <w:spacing w:before="280" w:after="120"/>
      </w:pPr>
      <w:r>
        <w:t>c. Four “Keep current…” checkboxes not present in stock AAPS</w:t>
      </w:r>
      <w:bookmarkEnd w:id="10"/>
      <w:r>
        <w:t xml:space="preserve"> </w:t>
      </w:r>
      <w:hyperlink w:anchor="TOC">
        <w:r>
          <w:rPr>
            <w:rStyle w:val="Hyperlink"/>
          </w:rPr>
          <w:t>Back to TOC</w:t>
        </w:r>
      </w:hyperlink>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1" w:name="sec009"/>
      <w:pPr>
        <w:pStyle w:val="Heading1"/>
        <w:spacing w:before="400" w:after="200"/>
      </w:pPr>
      <w:r>
        <w:t>3. Settings That Materially Affect Day-to-Day Function</w:t>
      </w:r>
      <w:bookmarkEnd w:id="11"/>
      <w:r>
        <w:t xml:space="preserve"> </w:t>
      </w:r>
      <w:hyperlink w:anchor="TOC">
        <w:r>
          <w:rPr>
            <w:rStyle w:val="Hyperlink"/>
          </w:rPr>
          <w:t>Back to TOC</w:t>
        </w:r>
      </w:hyperlink>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2" w:name="sec010"/>
      <w:pPr>
        <w:pStyle w:val="Heading2"/>
        <w:spacing w:before="280" w:after="120"/>
      </w:pPr>
      <w:r>
        <w:t>a. The SMB delivery brake</w:t>
      </w:r>
      <w:bookmarkEnd w:id="12"/>
      <w:r>
        <w:t xml:space="preserve"> </w:t>
      </w:r>
      <w:hyperlink w:anchor="TOC">
        <w:r>
          <w:rPr>
            <w:rStyle w:val="Hyperlink"/>
          </w:rPr>
          <w:t>Back to TOC</w:t>
        </w:r>
      </w:hyperlink>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bookmarkStart w:id="13" w:name="sec011"/>
      <w:pPr>
        <w:pStyle w:val="Heading2"/>
      </w:pPr>
      <w:r>
        <w:t>b. Tier 3 UAM Boost: criteria, output, and duration</w:t>
      </w:r>
      <w:bookmarkEnd w:id="13"/>
      <w:r>
        <w:t xml:space="preserve"> </w:t>
      </w:r>
      <w:hyperlink w:anchor="TOC">
        <w:r>
          <w:rPr>
            <w:rStyle w:val="Hyperlink"/>
          </w:rPr>
          <w:t>Back to TOC</w:t>
        </w:r>
      </w:hyperlink>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pPr>
        <w:ind w:left="360" w:firstLine="0"/>
      </w:pPr>
      <w:r>
        <w:rPr>
          <w:b/>
        </w:rPr>
        <w:t xml:space="preserve">Relationship to SMBs already delivered. </w:t>
      </w:r>
      <w:r>
        <w:t>Tier 3's initial maximum boost bolus is an absolute per-SMB cap, not a percentage of recently delivered SMBs. Its ordinary candidate is directly affected by the current smb_delivery_ratio, and delivered SMBs affect current IOB once their bolus records arrive. After Tier 3 proposes an amount, the shared safety path directly uses delivered-SMB history: rolling 10-minute limits are 0.6 U from 00:30–04:00 and 1.5 U otherwise; the rolling 30-minute ceiling is 2.1 U; late fast-rise delivery is reduced to 75% after 1.5 U/30 min and 50% after 1.9 U/30 min; rapid spacing and the sub-7.5 mmol/L heavy-delivery cooldown may further reduce or zero the candidate.</w:t>
      </w:r>
    </w:p>
    <w:p>
      <w:pPr>
        <w:ind w:left="360" w:firstLine="0"/>
      </w:pPr>
      <w:r>
        <w:rPr>
          <w:b/>
        </w:rPr>
        <w:t xml:space="preserve">BolusGiven strong boost. </w:t>
      </w:r>
      <w:r>
        <w:t>This is separate from Tier 3 and is controlled by Enable BolusGiven/BolusGivenMild automations. Branches 1 and 2 react after a normal bolus, using bolus age, COB, glucose rise, raw-Libre confirmation, activity, profile and state gates. Branch 3 is delivery-driven: normally no bolus or carbs for at least 120 minutes, a sufficiently large five-minute IOB rise, strong AAPS/raw glucose rise, BG no higher than 9.5 mmol/L, low activity, not on the Low/MJ profile, and not literally MJ active. Branch 3 also has a raw-signal bypass when recent SMB delivery was suppressed despite a strong continuing rise.</w:t>
      </w:r>
    </w:p>
    <w:p>
      <w:pPr>
        <w:ind w:left="360" w:firstLine="0"/>
      </w:pPr>
      <w:r>
        <w:rPr>
          <w:b/>
        </w:rPr>
        <w:t xml:space="preserve">Strong-boost effects. </w:t>
      </w:r>
      <w:r>
        <w:t>When a BolusGiven branch fires it cancels the current temporary target, sets iob_threshold_percent to 71, selects the Standard Profile, restores acceleration weight to its configured normal value, raises postprandial ISF weight, sets SMB delivery ratio to Mild Boost base + 0.03, applies a 110% profile for two minutes, and applies a 4.2 mmol/L target for two minutes. Branch 3 also arms a 30-minute recent-boost marker that can restore selected fast-rise-capped SMBs to the saved uncapped amount; recent-low and final cumulative-delivery protections run afterward and still take precedence.</w:t>
      </w:r>
    </w:p>
    <w:p>
      <w:pPr>
        <w:ind w:left="360" w:firstLine="0"/>
      </w:pPr>
      <w:r>
        <w:rPr>
          <w:b/>
        </w:rPr>
        <w:t xml:space="preserve">BolusGivenMild and Mild Failsafe. </w:t>
      </w:r>
      <w:r>
        <w:t>Mild covers a lower raw-delta band than strong branch 3 and is designed to be mutually exclusive with it. It uses delivery change, raw/AAPS rise confirmation, no recent bolus/carbs, low activity, profile/MJ gates and cross-cooldowns. It leaves profile percentage and IOB threshold unchanged, but raises smb_delivery_ratio to Mild base +0.05 below 7.5 mmol/L, +0.02 below 9.0 mmol/L, or the base at/above 9.0 mmol/L; it also sets a 5.0 mmol/L target for two minutes and raises postprandial ISF weight. Mild Failsafe applies similar effects when BG is above 6.5 mmol/L, the rise is confirmed across delta horizons, IOB is at most 0.20 U, and no SMB has been delivered for 20 minutes.</w:t>
      </w:r>
    </w:p>
    <w:p>
      <w:pPr>
        <w:ind w:left="360" w:firstLine="0"/>
      </w:pPr>
      <w:r>
        <w:rPr>
          <w:b/>
        </w:rPr>
        <w:t xml:space="preserve">Initiation order relative to Tier 3. </w:t>
      </w:r>
      <w:r>
        <w:t>BolusGiven/Mild automations run first and can change smb_delivery_ratio, profile percentage, target and weights. AutoISF then builds the profile passed into DetermineBasal, where Tier 3 independently evaluates its own Virtual-Pump, delta-ratio, BG, eventual-BG, positive-insulin-requirement and IOB-ceiling criteria. A prior boost can therefore alter Tier 3's ordinary candidate, effective scale or target context, but it does not automatically start Tier 3. Tier 3's separate switch and all of its own gates must still pass; afterward every common SMB safety modifier and the normal SMB interval still apply.</w:t>
      </w:r>
    </w:p>
    <w:p w14:paraId="2C90200E" w14:textId="77777777" w:rsidR="00F16DB1" w:rsidRDefault="001E64C6">
      <w:bookmarkStart w:id="14" w:name="sec012"/>
      <w:pPr>
        <w:pStyle w:val="Heading2"/>
        <w:spacing w:before="280" w:after="120"/>
      </w:pPr>
      <w:r>
        <w:t>c. The weight system's Resting/Boosted pairs</w:t>
      </w:r>
      <w:bookmarkEnd w:id="14"/>
      <w:r>
        <w:t xml:space="preserve"> </w:t>
      </w:r>
      <w:hyperlink w:anchor="TOC">
        <w:r>
          <w:rPr>
            <w:rStyle w:val="Hyperlink"/>
          </w:rPr>
          <w:t>Back to TOC</w:t>
        </w:r>
      </w:hyperlink>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5" w:name="sec013"/>
      <w:pPr>
        <w:pStyle w:val="Heading2"/>
        <w:spacing w:before="280" w:after="120"/>
      </w:pPr>
      <w:r>
        <w:t>d. TDD factor / sensitivity toggles</w:t>
      </w:r>
      <w:bookmarkEnd w:id="15"/>
      <w:r>
        <w:t xml:space="preserve"> </w:t>
      </w:r>
      <w:hyperlink w:anchor="TOC">
        <w:r>
          <w:rPr>
            <w:rStyle w:val="Hyperlink"/>
          </w:rPr>
          <w:t>Back to TOC</w:t>
        </w:r>
      </w:hyperlink>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6" w:name="sec014"/>
      <w:pPr>
        <w:pStyle w:val="Heading2"/>
        <w:spacing w:before="280" w:after="120"/>
      </w:pPr>
      <w:r>
        <w:t>e. The overnight safety-guard architecture</w:t>
      </w:r>
      <w:bookmarkEnd w:id="16"/>
      <w:r>
        <w:t xml:space="preserve"> </w:t>
      </w:r>
      <w:hyperlink w:anchor="TOC">
        <w:r>
          <w:rPr>
            <w:rStyle w:val="Hyperlink"/>
          </w:rPr>
          <w:t>Back to TOC</w:t>
        </w:r>
      </w:hyperlink>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7" w:name="sec015"/>
      <w:pPr>
        <w:pStyle w:val="Heading1"/>
        <w:spacing w:before="400" w:after="200"/>
      </w:pPr>
      <w:r>
        <w:t>4. Setting: If Steroids Are Needed</w:t>
      </w:r>
      <w:bookmarkEnd w:id="17"/>
      <w:r>
        <w:t xml:space="preserve"> </w:t>
      </w:r>
      <w:hyperlink w:anchor="TOC">
        <w:r>
          <w:rPr>
            <w:rStyle w:val="Hyperlink"/>
          </w:rPr>
          <w:t>Back to TOC</w:t>
        </w:r>
      </w:hyperlink>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8" w:name="sec016"/>
      <w:pPr>
        <w:pStyle w:val="Heading2"/>
        <w:spacing w:before="280" w:after="120"/>
      </w:pPr>
      <w:r>
        <w:t>a. Turning it on</w:t>
      </w:r>
      <w:bookmarkEnd w:id="18"/>
      <w:r>
        <w:t xml:space="preserve"> </w:t>
      </w:r>
      <w:hyperlink w:anchor="TOC">
        <w:r>
          <w:rPr>
            <w:rStyle w:val="Hyperlink"/>
          </w:rPr>
          <w:t>Back to TOC</w:t>
        </w:r>
      </w:hyperlink>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9" w:name="sec017"/>
      <w:pPr>
        <w:pStyle w:val="Heading2"/>
        <w:spacing w:before="280" w:after="120"/>
      </w:pPr>
      <w:r>
        <w:t>b. The escalation ladder</w:t>
      </w:r>
      <w:bookmarkEnd w:id="19"/>
      <w:r>
        <w:t xml:space="preserve"> </w:t>
      </w:r>
      <w:hyperlink w:anchor="TOC">
        <w:r>
          <w:rPr>
            <w:rStyle w:val="Hyperlink"/>
          </w:rPr>
          <w:t>Back to TOC</w:t>
        </w:r>
      </w:hyperlink>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20" w:name="sec018"/>
      <w:pPr>
        <w:pStyle w:val="Heading1"/>
      </w:pPr>
      <w:r>
        <w:t>5. Mounjaro (MJ): three-day reduced-insulin cycle</w:t>
      </w:r>
      <w:bookmarkEnd w:id="20"/>
      <w:r>
        <w:t xml:space="preserve"> </w:t>
      </w:r>
      <w:hyperlink w:anchor="TOC">
        <w:r>
          <w:rPr>
            <w:rStyle w:val="Hyperlink"/>
          </w:rPr>
          <w:t>Back to TOC</w:t>
        </w:r>
      </w:hyperlink>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1" w:name="sec019"/>
      <w:pPr>
        <w:pStyle w:val="Heading2"/>
      </w:pPr>
      <w:r>
        <w:t>a. Starting the cycle</w:t>
      </w:r>
      <w:bookmarkEnd w:id="21"/>
      <w:r>
        <w:t xml:space="preserve"> </w:t>
      </w:r>
      <w:hyperlink w:anchor="TOC">
        <w:r>
          <w:rPr>
            <w:rStyle w:val="Hyperlink"/>
          </w:rPr>
          <w:t>Back to TOC</w:t>
        </w:r>
      </w:hyperlink>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2" w:name="sec020"/>
      <w:pPr>
        <w:pStyle w:val="Heading2"/>
      </w:pPr>
      <w:r>
        <w:t>b. Day-by-day state progression</w:t>
      </w:r>
      <w:bookmarkEnd w:id="22"/>
      <w:r>
        <w:t xml:space="preserve"> </w:t>
      </w:r>
      <w:hyperlink w:anchor="TOC">
        <w:r>
          <w:rPr>
            <w:rStyle w:val="Hyperlink"/>
          </w:rPr>
          <w:t>Back to TOC</w:t>
        </w:r>
      </w:hyperlink>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3" w:name="sec021"/>
      <w:pPr>
        <w:pStyle w:val="Heading2"/>
      </w:pPr>
      <w:r>
        <w:t>c. What changes while MJ remains active</w:t>
      </w:r>
      <w:bookmarkEnd w:id="23"/>
      <w:r>
        <w:t xml:space="preserve"> </w:t>
      </w:r>
      <w:hyperlink w:anchor="TOC">
        <w:r>
          <w:rPr>
            <w:rStyle w:val="Hyperlink"/>
          </w:rPr>
          <w:t>Back to TOC</w:t>
        </w:r>
      </w:hyperlink>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4" w:name="sec022"/>
      <w:pPr>
        <w:pStyle w:val="Heading2"/>
      </w:pPr>
      <w:r>
        <w:t>d. Hypoglycaemia warnings and protective overrides</w:t>
      </w:r>
      <w:bookmarkEnd w:id="24"/>
      <w:r>
        <w:t xml:space="preserve"> </w:t>
      </w:r>
      <w:hyperlink w:anchor="TOC">
        <w:r>
          <w:rPr>
            <w:rStyle w:val="Hyperlink"/>
          </w:rPr>
          <w:t>Back to TOC</w:t>
        </w:r>
      </w:hyperlink>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5" w:name="sec023"/>
      <w:pPr>
        <w:pStyle w:val="Heading2"/>
      </w:pPr>
      <w:r>
        <w:t>e. Automatic exit and manual restoration</w:t>
      </w:r>
      <w:bookmarkEnd w:id="25"/>
      <w:r>
        <w:t xml:space="preserve"> </w:t>
      </w:r>
      <w:hyperlink w:anchor="TOC">
        <w:r>
          <w:rPr>
            <w:rStyle w:val="Hyperlink"/>
          </w:rPr>
          <w:t>Back to TOC</w:t>
        </w:r>
      </w:hyperlink>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6" w:name="sec024"/>
      <w:pPr>
        <w:pStyle w:val="Heading1"/>
        <w:spacing w:before="400" w:after="200"/>
      </w:pPr>
      <w:r>
        <w:t>6. Mechanism For Ignoring Or Invoking Native Automations</w:t>
      </w:r>
      <w:bookmarkEnd w:id="26"/>
      <w:r>
        <w:t xml:space="preserve"> </w:t>
      </w:r>
      <w:hyperlink w:anchor="TOC">
        <w:r>
          <w:rPr>
            <w:rStyle w:val="Hyperlink"/>
          </w:rPr>
          <w:t>Back to TOC</w:t>
        </w:r>
      </w:hyperlink>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7" w:name="sec025"/>
      <w:pPr>
        <w:pStyle w:val="Heading2"/>
        <w:spacing w:before="280" w:after="120"/>
      </w:pPr>
      <w:r>
        <w:t>a. The reconciliation mechanism</w:t>
      </w:r>
      <w:bookmarkEnd w:id="27"/>
      <w:r>
        <w:t xml:space="preserve"> </w:t>
      </w:r>
      <w:hyperlink w:anchor="TOC">
        <w:r>
          <w:rPr>
            <w:rStyle w:val="Hyperlink"/>
          </w:rPr>
          <w:t>Back to TOC</w:t>
        </w:r>
      </w:hyperlink>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8" w:name="sec026"/>
      <w:pPr>
        <w:pStyle w:val="Heading2"/>
        <w:spacing w:before="280" w:after="120"/>
      </w:pPr>
      <w:r>
        <w:t>b. The suppression only applies while AutoISF is actually the active algorithm</w:t>
      </w:r>
      <w:bookmarkEnd w:id="28"/>
      <w:r>
        <w:t xml:space="preserve"> </w:t>
      </w:r>
      <w:hyperlink w:anchor="TOC">
        <w:r>
          <w:rPr>
            <w:rStyle w:val="Hyperlink"/>
          </w:rPr>
          <w:t>Back to TOC</w:t>
        </w:r>
      </w:hyperlink>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9" w:name="sec027"/>
      <w:pPr>
        <w:pStyle w:val="Heading1"/>
        <w:spacing w:before="400" w:after="200"/>
      </w:pPr>
      <w:r>
        <w:t>7. Other Idiosyncrasies Worth Knowing</w:t>
      </w:r>
      <w:bookmarkEnd w:id="29"/>
      <w:r>
        <w:t xml:space="preserve"> </w:t>
      </w:r>
      <w:hyperlink w:anchor="TOC">
        <w:r>
          <w:rPr>
            <w:rStyle w:val="Hyperlink"/>
          </w:rPr>
          <w:t>Back to TOC</w:t>
        </w:r>
      </w:hyperlink>
    </w:p>
    <w:p w14:paraId="7A57B480" w14:textId="77777777" w:rsidR="00F16DB1" w:rsidRDefault="001E64C6">
      <w:bookmarkStart w:id="30" w:name="sec028"/>
      <w:pPr>
        <w:pStyle w:val="Heading2"/>
        <w:spacing w:before="280" w:after="120"/>
      </w:pPr>
      <w:r>
        <w:t>a. CarePortal note codes as a compact diagnostic language</w:t>
      </w:r>
      <w:bookmarkEnd w:id="30"/>
      <w:r>
        <w:t xml:space="preserve"> </w:t>
      </w:r>
      <w:hyperlink w:anchor="TOC">
        <w:r>
          <w:rPr>
            <w:rStyle w:val="Hyperlink"/>
          </w:rPr>
          <w:t>Back to TOC</w:t>
        </w:r>
      </w:hyperlink>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1" w:name="sec029"/>
      <w:pPr>
        <w:pStyle w:val="Heading2"/>
        <w:spacing w:before="280" w:after="120"/>
      </w:pPr>
      <w:r>
        <w:t>b. MJ as the fork's other major state machine</w:t>
      </w:r>
      <w:bookmarkEnd w:id="31"/>
      <w:r>
        <w:t xml:space="preserve"> </w:t>
      </w:r>
      <w:hyperlink w:anchor="TOC">
        <w:r>
          <w:rPr>
            <w:rStyle w:val="Hyperlink"/>
          </w:rPr>
          <w:t>Back to TOC</w:t>
        </w:r>
      </w:hyperlink>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2" w:name="sec030"/>
      <w:pPr>
        <w:pStyle w:val="Heading2"/>
        <w:spacing w:before="280" w:after="120"/>
      </w:pPr>
      <w:r>
        <w:t>c. The AIV/UKFcheck export pipeline has more moving parts than it looks</w:t>
      </w:r>
      <w:bookmarkEnd w:id="32"/>
      <w:r>
        <w:t xml:space="preserve"> </w:t>
      </w:r>
      <w:hyperlink w:anchor="TOC">
        <w:r>
          <w:rPr>
            <w:rStyle w:val="Hyperlink"/>
          </w:rPr>
          <w:t>Back to TOC</w:t>
        </w:r>
      </w:hyperlink>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3" w:name="sec031"/>
      <w:pPr>
        <w:pStyle w:val="Heading2"/>
        <w:spacing w:before="280" w:after="120"/>
      </w:pPr>
      <w:r>
        <w:t>d. A concrete regression pattern worth remembering</w:t>
      </w:r>
      <w:bookmarkEnd w:id="33"/>
      <w:r>
        <w:t xml:space="preserve"> </w:t>
      </w:r>
      <w:hyperlink w:anchor="TOC">
        <w:r>
          <w:rPr>
            <w:rStyle w:val="Hyperlink"/>
          </w:rPr>
          <w:t>Back to TOC</w:t>
        </w:r>
      </w:hyperlink>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0A926786" w14:textId="77777777" w:rsidR="00F16DB1" w:rsidRDefault="001E64C6">
      <w:bookmarkStart w:id="34" w:name="sec032"/>
      <w:pPr>
        <w:pStyle w:val="Heading1"/>
        <w:spacing w:before="400" w:after="200"/>
      </w:pPr>
      <w:r>
        <w:t>Appendix A — Installation and explanatory information</w:t>
      </w:r>
      <w:bookmarkEnd w:id="34"/>
      <w:r>
        <w:t xml:space="preserve"> </w:t>
      </w:r>
      <w:hyperlink w:anchor="TOC">
        <w:r>
          <w:rPr>
            <w:rStyle w:val="Hyperlink"/>
          </w:rPr>
          <w:t>Back to TOC</w:t>
        </w:r>
      </w:hyperlink>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35" w:name="sec033"/>
      <w:pPr>
        <w:pStyle w:val="Heading2"/>
        <w:spacing w:before="280" w:after="120"/>
      </w:pPr>
      <w:r>
        <w:t>a. Version tag &amp; build identification</w:t>
      </w:r>
      <w:bookmarkEnd w:id="35"/>
      <w:r>
        <w:t xml:space="preserve"> </w:t>
      </w:r>
      <w:hyperlink w:anchor="TOC">
        <w:r>
          <w:rPr>
            <w:rStyle w:val="Hyperlink"/>
          </w:rPr>
          <w:t>Back to TOC</w:t>
        </w:r>
      </w:hyperlink>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36" w:name="sec034"/>
      <w:pPr>
        <w:pStyle w:val="Heading2"/>
        <w:spacing w:before="280" w:after="120"/>
      </w:pPr>
      <w:r>
        <w:t>b. Per-device backup/export folder naming</w:t>
      </w:r>
      <w:bookmarkEnd w:id="36"/>
      <w:r>
        <w:t xml:space="preserve"> </w:t>
      </w:r>
      <w:hyperlink w:anchor="TOC">
        <w:r>
          <w:rPr>
            <w:rStyle w:val="Hyperlink"/>
          </w:rPr>
          <w:t>Back to TOC</w:t>
        </w:r>
      </w:hyperlink>
    </w:p>
    <w:p w14:paraId="14A04C49" w14:textId="77777777" w:rsidR="00F16DB1" w:rsidRDefault="001E64C6">
      <w:bookmarkStart w:id="2" w:name="Bottom"/>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bookmarkEnd w:id="2"/>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