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DEB20" w14:textId="77777777" w:rsidR="00F16DB1" w:rsidRDefault="001E64C6">
      <w:pPr>
        <w:pStyle w:val="Title"/>
        <w:spacing w:after="100"/>
      </w:pPr>
      <w:r>
        <w:t>AutoISF Fork — Idiosyncrasies &amp; Operations Manual</w:t>
      </w:r>
    </w:p>
    <w:p w14:paraId="5E01EA9D" w14:textId="77777777" w:rsidR="00F16DB1" w:rsidRDefault="001E64C6">
      <w:pPr>
        <w:spacing w:after="160"/>
      </w:pPr>
      <w:r>
        <w:rPr>
          <w:i/>
          <w:iCs/>
        </w:rPr>
        <w:t>UKF3426 (live/production branch). Companion to “AutoISF Settings Reference” — this document covers behavior, mechanisms, and gotchas that aren't obvious from the settings screens alone: what's different from stock AndroidAPS, what “Automation States” actually requires, how settings import interacts with them, which day-to-day settings carry outsized real-world effect, the steroid and GLP-1 (“Mounjaro”) situations specifically, and how native Automation-tab triggers coexist with this fork's own hand-coded au</w:t>
      </w:r>
      <w:r>
        <w:rPr>
          <w:i/>
          <w:iCs/>
        </w:rPr>
        <w:t>tomations.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F16DB1" w14:paraId="51DB39B2" w14:textId="77777777">
        <w:tblPrEx>
          <w:tblCellMar>
            <w:top w:w="0" w:type="dxa"/>
            <w:bottom w:w="0" w:type="dxa"/>
          </w:tblCellMar>
        </w:tblPrEx>
        <w:trPr>
          <w:tblHeader/>
        </w:trPr>
        <w:tc>
          <w:tcPr>
            <w:tcW w:w="2000" w:type="dxa"/>
            <w:shd w:val="clear" w:color="auto" w:fill="2F5496"/>
            <w:tcMar>
              <w:top w:w="80" w:type="dxa"/>
              <w:left w:w="100" w:type="dxa"/>
              <w:bottom w:w="80" w:type="dxa"/>
              <w:right w:w="100" w:type="dxa"/>
            </w:tcMar>
          </w:tcPr>
          <w:p w14:paraId="0FF133F9" w14:textId="77777777" w:rsidR="00F16DB1" w:rsidRDefault="001E64C6">
            <w:r>
              <w:rPr>
                <w:b/>
                <w:bCs/>
                <w:color w:val="FFFFFF"/>
                <w:sz w:val="18"/>
                <w:szCs w:val="18"/>
              </w:rPr>
              <w:t>Flavor</w:t>
            </w:r>
          </w:p>
        </w:tc>
        <w:tc>
          <w:tcPr>
            <w:tcW w:w="3200" w:type="dxa"/>
            <w:shd w:val="clear" w:color="auto" w:fill="2F5496"/>
            <w:tcMar>
              <w:top w:w="80" w:type="dxa"/>
              <w:left w:w="100" w:type="dxa"/>
              <w:bottom w:w="80" w:type="dxa"/>
              <w:right w:w="100" w:type="dxa"/>
            </w:tcMar>
          </w:tcPr>
          <w:p w14:paraId="3363968C" w14:textId="77777777" w:rsidR="00F16DB1" w:rsidRDefault="001E64C6">
            <w:r>
              <w:rPr>
                <w:b/>
                <w:bCs/>
                <w:color w:val="FFFFFF"/>
                <w:sz w:val="18"/>
                <w:szCs w:val="18"/>
              </w:rPr>
              <w:t>Application ID</w:t>
            </w:r>
          </w:p>
        </w:tc>
        <w:tc>
          <w:tcPr>
            <w:tcW w:w="1600" w:type="dxa"/>
            <w:shd w:val="clear" w:color="auto" w:fill="2F5496"/>
            <w:tcMar>
              <w:top w:w="80" w:type="dxa"/>
              <w:left w:w="100" w:type="dxa"/>
              <w:bottom w:w="80" w:type="dxa"/>
              <w:right w:w="100" w:type="dxa"/>
            </w:tcMar>
          </w:tcPr>
          <w:p w14:paraId="0E935074" w14:textId="77777777" w:rsidR="00F16DB1" w:rsidRDefault="001E64C6">
            <w:r>
              <w:rPr>
                <w:b/>
                <w:bCs/>
                <w:color w:val="FFFFFF"/>
                <w:sz w:val="18"/>
                <w:szCs w:val="18"/>
              </w:rPr>
              <w:t>Icon</w:t>
            </w:r>
          </w:p>
        </w:tc>
        <w:tc>
          <w:tcPr>
            <w:tcW w:w="3280" w:type="dxa"/>
            <w:shd w:val="clear" w:color="auto" w:fill="2F5496"/>
            <w:tcMar>
              <w:top w:w="80" w:type="dxa"/>
              <w:left w:w="100" w:type="dxa"/>
              <w:bottom w:w="80" w:type="dxa"/>
              <w:right w:w="100" w:type="dxa"/>
            </w:tcMar>
          </w:tcPr>
          <w:p w14:paraId="44823294" w14:textId="77777777" w:rsidR="00F16DB1" w:rsidRDefault="001E64C6">
            <w:r>
              <w:rPr>
                <w:b/>
                <w:bCs/>
                <w:color w:val="FFFFFF"/>
                <w:sz w:val="18"/>
                <w:szCs w:val="18"/>
              </w:rPr>
              <w:t>Role</w:t>
            </w:r>
          </w:p>
        </w:tc>
      </w:tr>
      <w:tr w:rsidR="00F16DB1" w14:paraId="3B34EF66" w14:textId="77777777">
        <w:tblPrEx>
          <w:tblCellMar>
            <w:top w:w="0" w:type="dxa"/>
            <w:bottom w:w="0" w:type="dxa"/>
          </w:tblCellMar>
        </w:tblPrEx>
        <w:tc>
          <w:tcPr>
            <w:tcW w:w="2000" w:type="dxa"/>
            <w:tcMar>
              <w:top w:w="80" w:type="dxa"/>
              <w:left w:w="100" w:type="dxa"/>
              <w:bottom w:w="80" w:type="dxa"/>
              <w:right w:w="100" w:type="dxa"/>
            </w:tcMar>
          </w:tcPr>
          <w:p w14:paraId="62414B03" w14:textId="77777777" w:rsidR="00F16DB1" w:rsidRDefault="001E64C6">
            <w:r>
              <w:rPr>
                <w:sz w:val="18"/>
                <w:szCs w:val="18"/>
              </w:rPr>
              <w:t>full</w:t>
            </w:r>
          </w:p>
        </w:tc>
        <w:tc>
          <w:tcPr>
            <w:tcW w:w="3200" w:type="dxa"/>
            <w:tcMar>
              <w:top w:w="80" w:type="dxa"/>
              <w:left w:w="100" w:type="dxa"/>
              <w:bottom w:w="80" w:type="dxa"/>
              <w:right w:w="100" w:type="dxa"/>
            </w:tcMar>
          </w:tcPr>
          <w:p w14:paraId="7DE79AC3" w14:textId="77777777" w:rsidR="00F16DB1" w:rsidRDefault="001E64C6">
            <w:proofErr w:type="gramStart"/>
            <w:r>
              <w:rPr>
                <w:sz w:val="18"/>
                <w:szCs w:val="18"/>
              </w:rPr>
              <w:t>info.nightscout</w:t>
            </w:r>
            <w:proofErr w:type="gramEnd"/>
            <w:r>
              <w:rPr>
                <w:sz w:val="18"/>
                <w:szCs w:val="18"/>
              </w:rPr>
              <w:t>.androidaps</w:t>
            </w:r>
          </w:p>
        </w:tc>
        <w:tc>
          <w:tcPr>
            <w:tcW w:w="1600" w:type="dxa"/>
            <w:tcMar>
              <w:top w:w="80" w:type="dxa"/>
              <w:left w:w="100" w:type="dxa"/>
              <w:bottom w:w="80" w:type="dxa"/>
              <w:right w:w="100" w:type="dxa"/>
            </w:tcMar>
          </w:tcPr>
          <w:p w14:paraId="39292187" w14:textId="77777777" w:rsidR="00F16DB1" w:rsidRDefault="001E64C6">
            <w:r>
              <w:rPr>
                <w:sz w:val="18"/>
                <w:szCs w:val="18"/>
              </w:rPr>
              <w:t>standard AAPS</w:t>
            </w:r>
          </w:p>
        </w:tc>
        <w:tc>
          <w:tcPr>
            <w:tcW w:w="3280" w:type="dxa"/>
            <w:tcMar>
              <w:top w:w="80" w:type="dxa"/>
              <w:left w:w="100" w:type="dxa"/>
              <w:bottom w:w="80" w:type="dxa"/>
              <w:right w:w="100" w:type="dxa"/>
            </w:tcMar>
          </w:tcPr>
          <w:p w14:paraId="79F80717" w14:textId="77777777" w:rsidR="00F16DB1" w:rsidRDefault="001E64C6">
            <w:r>
              <w:rPr>
                <w:sz w:val="18"/>
                <w:szCs w:val="18"/>
              </w:rPr>
              <w:t>The real, pump-driving install. This is what “Regan” / the primary phone runs.</w:t>
            </w:r>
          </w:p>
        </w:tc>
      </w:tr>
      <w:tr w:rsidR="00F16DB1" w14:paraId="3420E1F8" w14:textId="77777777">
        <w:tblPrEx>
          <w:tblCellMar>
            <w:top w:w="0" w:type="dxa"/>
            <w:bottom w:w="0" w:type="dxa"/>
          </w:tblCellMar>
        </w:tblPrEx>
        <w:tc>
          <w:tcPr>
            <w:tcW w:w="2000" w:type="dxa"/>
            <w:tcMar>
              <w:top w:w="80" w:type="dxa"/>
              <w:left w:w="100" w:type="dxa"/>
              <w:bottom w:w="80" w:type="dxa"/>
              <w:right w:w="100" w:type="dxa"/>
            </w:tcMar>
          </w:tcPr>
          <w:p w14:paraId="78D0E136" w14:textId="77777777" w:rsidR="00F16DB1" w:rsidRDefault="001E64C6">
            <w:r>
              <w:rPr>
                <w:sz w:val="18"/>
                <w:szCs w:val="18"/>
              </w:rPr>
              <w:t>pumpcontrol</w:t>
            </w:r>
          </w:p>
        </w:tc>
        <w:tc>
          <w:tcPr>
            <w:tcW w:w="3200" w:type="dxa"/>
            <w:tcMar>
              <w:top w:w="80" w:type="dxa"/>
              <w:left w:w="100" w:type="dxa"/>
              <w:bottom w:w="80" w:type="dxa"/>
              <w:right w:w="100" w:type="dxa"/>
            </w:tcMar>
          </w:tcPr>
          <w:p w14:paraId="005CC790" w14:textId="77777777" w:rsidR="00F16DB1" w:rsidRDefault="001E64C6">
            <w:proofErr w:type="gramStart"/>
            <w:r>
              <w:rPr>
                <w:sz w:val="18"/>
                <w:szCs w:val="18"/>
              </w:rPr>
              <w:t>info.nightscout</w:t>
            </w:r>
            <w:proofErr w:type="gramEnd"/>
            <w:r>
              <w:rPr>
                <w:sz w:val="18"/>
                <w:szCs w:val="18"/>
              </w:rPr>
              <w:t>.aapspumpcontrol</w:t>
            </w:r>
          </w:p>
        </w:tc>
        <w:tc>
          <w:tcPr>
            <w:tcW w:w="1600" w:type="dxa"/>
            <w:tcMar>
              <w:top w:w="80" w:type="dxa"/>
              <w:left w:w="100" w:type="dxa"/>
              <w:bottom w:w="80" w:type="dxa"/>
              <w:right w:w="100" w:type="dxa"/>
            </w:tcMar>
          </w:tcPr>
          <w:p w14:paraId="02608501" w14:textId="77777777" w:rsidR="00F16DB1" w:rsidRDefault="001E64C6">
            <w:r>
              <w:rPr>
                <w:sz w:val="18"/>
                <w:szCs w:val="18"/>
              </w:rPr>
              <w:t>pumpcontrol icon</w:t>
            </w:r>
          </w:p>
        </w:tc>
        <w:tc>
          <w:tcPr>
            <w:tcW w:w="3280" w:type="dxa"/>
            <w:tcMar>
              <w:top w:w="80" w:type="dxa"/>
              <w:left w:w="100" w:type="dxa"/>
              <w:bottom w:w="80" w:type="dxa"/>
              <w:right w:w="100" w:type="dxa"/>
            </w:tcMar>
          </w:tcPr>
          <w:p w14:paraId="4BDB38DA" w14:textId="77777777" w:rsidR="00F16DB1" w:rsidRDefault="001E64C6">
            <w:r>
              <w:rPr>
                <w:sz w:val="18"/>
                <w:szCs w:val="18"/>
              </w:rPr>
              <w:t xml:space="preserve">Stock AAPS pump-control-only variant; not actively used by this fork's own device </w:t>
            </w:r>
            <w:proofErr w:type="gramStart"/>
            <w:r>
              <w:rPr>
                <w:sz w:val="18"/>
                <w:szCs w:val="18"/>
              </w:rPr>
              <w:t>fleet, but</w:t>
            </w:r>
            <w:proofErr w:type="gramEnd"/>
            <w:r>
              <w:rPr>
                <w:sz w:val="18"/>
                <w:szCs w:val="18"/>
              </w:rPr>
              <w:t xml:space="preserve"> still built.</w:t>
            </w:r>
          </w:p>
        </w:tc>
      </w:tr>
      <w:tr w:rsidR="00F16DB1" w14:paraId="332DF2A0" w14:textId="77777777">
        <w:tblPrEx>
          <w:tblCellMar>
            <w:top w:w="0" w:type="dxa"/>
            <w:bottom w:w="0" w:type="dxa"/>
          </w:tblCellMar>
        </w:tblPrEx>
        <w:tc>
          <w:tcPr>
            <w:tcW w:w="2000" w:type="dxa"/>
            <w:tcMar>
              <w:top w:w="80" w:type="dxa"/>
              <w:left w:w="100" w:type="dxa"/>
              <w:bottom w:w="80" w:type="dxa"/>
              <w:right w:w="100" w:type="dxa"/>
            </w:tcMar>
          </w:tcPr>
          <w:p w14:paraId="6C89B863" w14:textId="77777777" w:rsidR="00F16DB1" w:rsidRDefault="001E64C6">
            <w:r>
              <w:rPr>
                <w:sz w:val="18"/>
                <w:szCs w:val="18"/>
              </w:rPr>
              <w:t>aapsclient</w:t>
            </w:r>
          </w:p>
        </w:tc>
        <w:tc>
          <w:tcPr>
            <w:tcW w:w="3200" w:type="dxa"/>
            <w:tcMar>
              <w:top w:w="80" w:type="dxa"/>
              <w:left w:w="100" w:type="dxa"/>
              <w:bottom w:w="80" w:type="dxa"/>
              <w:right w:w="100" w:type="dxa"/>
            </w:tcMar>
          </w:tcPr>
          <w:p w14:paraId="7A73B13C" w14:textId="77777777" w:rsidR="00F16DB1" w:rsidRDefault="001E64C6">
            <w:proofErr w:type="gramStart"/>
            <w:r>
              <w:rPr>
                <w:sz w:val="18"/>
                <w:szCs w:val="18"/>
              </w:rPr>
              <w:t>info.nightscout</w:t>
            </w:r>
            <w:proofErr w:type="gramEnd"/>
            <w:r>
              <w:rPr>
                <w:sz w:val="18"/>
                <w:szCs w:val="18"/>
              </w:rPr>
              <w:t>.aapsclient</w:t>
            </w:r>
          </w:p>
        </w:tc>
        <w:tc>
          <w:tcPr>
            <w:tcW w:w="1600" w:type="dxa"/>
            <w:tcMar>
              <w:top w:w="80" w:type="dxa"/>
              <w:left w:w="100" w:type="dxa"/>
              <w:bottom w:w="80" w:type="dxa"/>
              <w:right w:w="100" w:type="dxa"/>
            </w:tcMar>
          </w:tcPr>
          <w:p w14:paraId="436353FE" w14:textId="77777777" w:rsidR="00F16DB1" w:rsidRDefault="001E64C6">
            <w:r>
              <w:rPr>
                <w:sz w:val="18"/>
                <w:szCs w:val="18"/>
              </w:rPr>
              <w:t>yellow owl</w:t>
            </w:r>
          </w:p>
        </w:tc>
        <w:tc>
          <w:tcPr>
            <w:tcW w:w="3280" w:type="dxa"/>
            <w:tcMar>
              <w:top w:w="80" w:type="dxa"/>
              <w:left w:w="100" w:type="dxa"/>
              <w:bottom w:w="80" w:type="dxa"/>
              <w:right w:w="100" w:type="dxa"/>
            </w:tcMar>
          </w:tcPr>
          <w:p w14:paraId="549A013A" w14:textId="77777777" w:rsidR="00F16DB1" w:rsidRDefault="001E64C6">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F16DB1" w14:paraId="2FA82356" w14:textId="77777777">
        <w:tblPrEx>
          <w:tblCellMar>
            <w:top w:w="0" w:type="dxa"/>
            <w:bottom w:w="0" w:type="dxa"/>
          </w:tblCellMar>
        </w:tblPrEx>
        <w:tc>
          <w:tcPr>
            <w:tcW w:w="2000" w:type="dxa"/>
            <w:tcMar>
              <w:top w:w="80" w:type="dxa"/>
              <w:left w:w="100" w:type="dxa"/>
              <w:bottom w:w="80" w:type="dxa"/>
              <w:right w:w="100" w:type="dxa"/>
            </w:tcMar>
          </w:tcPr>
          <w:p w14:paraId="04C1B4D4" w14:textId="77777777" w:rsidR="00F16DB1" w:rsidRDefault="001E64C6">
            <w:r>
              <w:rPr>
                <w:sz w:val="18"/>
                <w:szCs w:val="18"/>
              </w:rPr>
              <w:t>aapsclient2</w:t>
            </w:r>
          </w:p>
        </w:tc>
        <w:tc>
          <w:tcPr>
            <w:tcW w:w="3200" w:type="dxa"/>
            <w:tcMar>
              <w:top w:w="80" w:type="dxa"/>
              <w:left w:w="100" w:type="dxa"/>
              <w:bottom w:w="80" w:type="dxa"/>
              <w:right w:w="100" w:type="dxa"/>
            </w:tcMar>
          </w:tcPr>
          <w:p w14:paraId="1642CE2F" w14:textId="77777777" w:rsidR="00F16DB1" w:rsidRDefault="001E64C6">
            <w:proofErr w:type="gramStart"/>
            <w:r>
              <w:rPr>
                <w:sz w:val="18"/>
                <w:szCs w:val="18"/>
              </w:rPr>
              <w:t>info.nightscout</w:t>
            </w:r>
            <w:proofErr w:type="gramEnd"/>
            <w:r>
              <w:rPr>
                <w:sz w:val="18"/>
                <w:szCs w:val="18"/>
              </w:rPr>
              <w:t>.aapsclient2</w:t>
            </w:r>
          </w:p>
        </w:tc>
        <w:tc>
          <w:tcPr>
            <w:tcW w:w="1600" w:type="dxa"/>
            <w:tcMar>
              <w:top w:w="80" w:type="dxa"/>
              <w:left w:w="100" w:type="dxa"/>
              <w:bottom w:w="80" w:type="dxa"/>
              <w:right w:w="100" w:type="dxa"/>
            </w:tcMar>
          </w:tcPr>
          <w:p w14:paraId="1BEC9826" w14:textId="77777777" w:rsidR="00F16DB1" w:rsidRDefault="001E64C6">
            <w:r>
              <w:rPr>
                <w:sz w:val="18"/>
                <w:szCs w:val="18"/>
              </w:rPr>
              <w:t>blue owl</w:t>
            </w:r>
          </w:p>
        </w:tc>
        <w:tc>
          <w:tcPr>
            <w:tcW w:w="3280" w:type="dxa"/>
            <w:tcMar>
              <w:top w:w="80" w:type="dxa"/>
              <w:left w:w="100" w:type="dxa"/>
              <w:bottom w:w="80" w:type="dxa"/>
              <w:right w:w="100" w:type="dxa"/>
            </w:tcMar>
          </w:tcPr>
          <w:p w14:paraId="5E95B0AF" w14:textId="77777777" w:rsidR="00F16DB1" w:rsidRDefault="001E64C6">
            <w:r>
              <w:rPr>
                <w:sz w:val="18"/>
                <w:szCs w:val="18"/>
              </w:rPr>
              <w:t>A second, independent Client mirror — same mechanism as aapsclient, distinct app/prefs, lets one phone run two separate mirror instances.</w:t>
            </w:r>
          </w:p>
        </w:tc>
      </w:tr>
    </w:tbl>
    <w:p>
      <w:bookmarkStart w:id="1" w:name="sec001"/>
      <w:pPr>
        <w:pStyle w:val="Heading1"/>
        <w:spacing w:after="160"/>
      </w:pPr>
      <w:r>
        <w:rPr>
          <w:b/>
          <w:sz w:val="40"/>
        </w:rPr>
        <w:t>Introduction: Most significant new features</w:t>
      </w:r>
      <w:bookmarkEnd w:id="1"/>
    </w:p>
    <w:p>
      <w:pPr>
        <w:spacing w:after="120"/>
      </w:pPr>
      <w:r>
        <w:rPr>
          <w:sz w:val="24"/>
        </w:rPr>
        <w:t>This manual concentrates on the operational changes that most distinguish this AutoISF fork from stock AAPS and that are most likely to affect daily use:</w:t>
      </w:r>
    </w:p>
    <w:p>
      <w:pPr>
        <w:numPr>
          <w:ilvl w:val="0"/>
          <w:numId w:val="2"/>
        </w:numPr>
        <w:spacing w:after="60"/>
      </w:pPr>
      <w:hyperlink w:anchor="sec034">
        <w:r>
          <w:rPr>
            <w:color w:val="0563C1"/>
            <w:u w:val="single"/>
            <w:sz w:val="24"/>
            <w:szCs w:val="24"/>
          </w:rPr>
          <w:t>Full description of the bolus calculator changes.</w:t>
        </w:r>
      </w:hyperlink>
    </w:p>
    <w:p>
      <w:pPr>
        <w:numPr>
          <w:ilvl w:val="0"/>
          <w:numId w:val="2"/>
        </w:numPr>
        <w:spacing w:after="60"/>
      </w:pPr>
      <w:hyperlink w:anchor="sec035">
        <w:r>
          <w:rPr>
            <w:color w:val="0563C1"/>
            <w:u w:val="single"/>
            <w:sz w:val="24"/>
            <w:szCs w:val="24"/>
          </w:rPr>
          <w:t>Lists 1 and 2: full descriptions.</w:t>
        </w:r>
      </w:hyperlink>
    </w:p>
    <w:p>
      <w:pPr>
        <w:numPr>
          <w:ilvl w:val="0"/>
          <w:numId w:val="2"/>
        </w:numPr>
        <w:spacing w:after="60"/>
      </w:pPr>
      <w:hyperlink w:anchor="sec006">
        <w:r>
          <w:rPr>
            <w:color w:val="0563C1"/>
            <w:u w:val="single"/>
            <w:sz w:val="24"/>
            <w:szCs w:val="24"/>
          </w:rPr>
          <w:t>Settings Import Features — Especially With States.</w:t>
        </w:r>
      </w:hyperlink>
    </w:p>
    <w:p>
      <w:pPr>
        <w:numPr>
          <w:ilvl w:val="0"/>
          <w:numId w:val="2"/>
        </w:numPr>
        <w:spacing w:after="60"/>
      </w:pPr>
      <w:hyperlink w:anchor="sec036">
        <w:r>
          <w:rPr>
            <w:color w:val="0563C1"/>
            <w:u w:val="single"/>
            <w:sz w:val="24"/>
            <w:szCs w:val="24"/>
          </w:rPr>
          <w:t>AIV table.</w:t>
        </w:r>
      </w:hyperlink>
    </w:p>
    <w:p>
      <w:pPr>
        <w:numPr>
          <w:ilvl w:val="0"/>
          <w:numId w:val="2"/>
        </w:numPr>
        <w:spacing w:after="60"/>
      </w:pPr>
      <w:hyperlink w:anchor="sec025">
        <w:r>
          <w:rPr>
            <w:color w:val="0563C1"/>
            <w:u w:val="single"/>
            <w:sz w:val="24"/>
            <w:szCs w:val="24"/>
          </w:rPr>
          <w:t>Mechanism For Ignoring Or Invoking Native Automations.</w:t>
        </w:r>
      </w:hyperlink>
    </w:p>
    <w:p>
      <w:pPr>
        <w:numPr>
          <w:ilvl w:val="0"/>
          <w:numId w:val="2"/>
        </w:numPr>
        <w:spacing w:after="60"/>
      </w:pPr>
      <w:hyperlink w:anchor="sec004">
        <w:r>
          <w:rPr>
            <w:color w:val="0563C1"/>
            <w:u w:val="single"/>
            <w:sz w:val="24"/>
            <w:szCs w:val="24"/>
          </w:rPr>
          <w:t>This is now self-healing for the coded automations' own states.</w:t>
        </w:r>
      </w:hyperlink>
    </w:p>
    <w:p>
      <w:pPr>
        <w:numPr>
          <w:ilvl w:val="0"/>
          <w:numId w:val="2"/>
        </w:numPr>
        <w:spacing w:after="60"/>
      </w:pPr>
      <w:hyperlink w:anchor="sec012">
        <w:r>
          <w:rPr>
            <w:color w:val="0563C1"/>
            <w:u w:val="single"/>
            <w:sz w:val="24"/>
            <w:szCs w:val="24"/>
          </w:rPr>
          <w:t>Tier 3 UAM Boost criteria, output limits and duration.</w:t>
        </w:r>
      </w:hyperlink>
    </w:p>
    <w:p>
      <w:pPr>
        <w:numPr>
          <w:ilvl w:val="0"/>
          <w:numId w:val="2"/>
        </w:numPr>
        <w:spacing w:after="60"/>
      </w:pPr>
      <w:hyperlink w:anchor="sec012">
        <w:r>
          <w:rPr>
            <w:color w:val="0563C1"/>
            <w:u w:val="single"/>
            <w:sz w:val="24"/>
            <w:szCs w:val="24"/>
          </w:rPr>
          <w:t>BolusGiven strong-boost effects.</w:t>
        </w:r>
      </w:hyperlink>
    </w:p>
    <w:p>
      <w:pPr>
        <w:numPr>
          <w:ilvl w:val="0"/>
          <w:numId w:val="2"/>
        </w:numPr>
        <w:spacing w:after="60"/>
      </w:pPr>
      <w:hyperlink w:anchor="sec012">
        <w:r>
          <w:rPr>
            <w:color w:val="0563C1"/>
            <w:u w:val="single"/>
            <w:sz w:val="24"/>
            <w:szCs w:val="24"/>
          </w:rPr>
          <w:t>BolusGivenMild and Mild Failsafe behavior.</w:t>
        </w:r>
      </w:hyperlink>
    </w:p>
    <w:p>
      <w:pPr>
        <w:numPr>
          <w:ilvl w:val="0"/>
          <w:numId w:val="2"/>
        </w:numPr>
        <w:spacing w:after="60"/>
      </w:pPr>
      <w:hyperlink w:anchor="sec016">
        <w:r>
          <w:rPr>
            <w:color w:val="0563C1"/>
            <w:u w:val="single"/>
            <w:sz w:val="24"/>
            <w:szCs w:val="24"/>
          </w:rPr>
          <w:t>Steroid-management initiation and escalation.</w:t>
        </w:r>
      </w:hyperlink>
    </w:p>
    <w:p>
      <w:pPr>
        <w:numPr>
          <w:ilvl w:val="0"/>
          <w:numId w:val="2"/>
        </w:numPr>
        <w:spacing w:after="60"/>
      </w:pPr>
      <w:hyperlink w:anchor="sec019">
        <w:r>
          <w:rPr>
            <w:color w:val="0563C1"/>
            <w:u w:val="single"/>
            <w:sz w:val="24"/>
            <w:szCs w:val="24"/>
          </w:rPr>
          <w:t>The Mounjaro three-day reduced-insulin cycle.</w:t>
        </w:r>
      </w:hyperlink>
    </w:p>
    <w:p>
      <w:pPr>
        <w:numPr>
          <w:ilvl w:val="0"/>
          <w:numId w:val="2"/>
        </w:numPr>
        <w:spacing w:after="60"/>
      </w:pPr>
      <w:hyperlink w:anchor="sec023">
        <w:r>
          <w:rPr>
            <w:color w:val="0563C1"/>
            <w:u w:val="single"/>
            <w:sz w:val="24"/>
            <w:szCs w:val="24"/>
          </w:rPr>
          <w:t>Hypoglycaemia warnings and protective overrides.</w:t>
        </w:r>
      </w:hyperlink>
    </w:p>
    <w:p>
      <w:pPr>
        <w:numPr>
          <w:ilvl w:val="0"/>
          <w:numId w:val="2"/>
        </w:numPr>
        <w:spacing w:after="60"/>
      </w:pPr>
      <w:hyperlink w:anchor="sec037">
        <w:r>
          <w:rPr>
            <w:color w:val="0563C1"/>
            <w:u w:val="single"/>
            <w:sz w:val="24"/>
            <w:szCs w:val="24"/>
          </w:rPr>
          <w:t>GUI display changes.</w:t>
        </w:r>
      </w:hyperlink>
    </w:p>
    <w:p w14:paraId="649B3F65" w14:textId="77777777" w:rsidR="00F16DB1" w:rsidRDefault="001E64C6">
      <w:bookmarkStart w:id="2" w:name="sec002"/>
      <w:pPr>
        <w:pStyle w:val="Heading1"/>
        <w:spacing w:before="400" w:after="200"/>
      </w:pPr>
      <w:r>
        <w:t>1. Requirements for “Automation States”</w:t>
      </w:r>
      <w:bookmarkEnd w:id="2"/>
    </w:p>
    <w:p w14:paraId="32DBEC58" w14:textId="77777777" w:rsidR="00F16DB1" w:rsidRDefault="001E64C6">
      <w:pPr>
        <w:spacing w:after="160"/>
      </w:pPr>
      <w:r>
        <w:t>“Automation States” is a generic named state-machine store (its own plugin, its own “States” tab in the UI) shared between native Automation-tab triggers/actions and this fork's own coded automations in Kotlin. Two things make it easy to trip over:</w:t>
      </w:r>
    </w:p>
    <w:p w14:paraId="3A06BFF7" w14:textId="77777777" w:rsidR="00F16DB1" w:rsidRDefault="001E64C6">
      <w:bookmarkStart w:id="3" w:name="sec003"/>
      <w:pPr>
        <w:pStyle w:val="Heading2"/>
        <w:spacing w:before="280" w:after="120"/>
      </w:pPr>
      <w:r>
        <w:t>a. It has a master on/off switch, and things silently do nothing when it's off</w:t>
      </w:r>
      <w:bookmarkEnd w:id="3"/>
    </w:p>
    <w:p w14:paraId="2FFF31F6" w14:textId="77777777" w:rsidR="00F16DB1" w:rsidRDefault="001E64C6">
      <w:pPr>
        <w:spacing w:after="160"/>
        <w:ind w:left="360" w:firstLine="0"/>
      </w:pPr>
      <w:r>
        <w:t>BooleanKey.AutomationStatesEnabled defaults to true on a fresh install. Several coded automations — the Steroid Kotlin button chain is the clearest example — explicitly check this flag and return immediately, doing nothing at all, if it's off. There's no error, no notification: the button/automation just quietly has no effect. If a state-dependent automation appears to have “stopped working,” check this toggle first.</w:t>
      </w:r>
    </w:p>
    <w:p w14:paraId="7F3560D3" w14:textId="77777777" w:rsidR="00F16DB1" w:rsidRDefault="001E64C6">
      <w:pPr>
        <w:spacing w:after="160"/>
        <w:ind w:left="360" w:firstLine="0"/>
      </w:pPr>
      <w:r>
        <w:t xml:space="preserve">A state (e.g. “Steroids”, “MJ”) has a name and a fixed list of allowed value-strings (e.g. “Steroids Off” / “SteroidsON”). AutomationStateService.setState() enforces this at runtime with a hard </w:t>
      </w:r>
      <w:proofErr w:type="gramStart"/>
      <w:r>
        <w:t>require(</w:t>
      </w:r>
      <w:proofErr w:type="gramEnd"/>
      <w:r>
        <w:t xml:space="preserve">) — calling </w:t>
      </w:r>
      <w:proofErr w:type="gramStart"/>
      <w:r>
        <w:t>setAutomationState(</w:t>
      </w:r>
      <w:proofErr w:type="gramEnd"/>
      <w:r>
        <w:t>) from code with a state name or value that hasn't been declared first throws an IllegalStateException rather than silently creating it. Historically the only way to declare one was manually, on the in-app “States” tab (AutomationStateFragment, “+” to add a state).</w:t>
      </w:r>
    </w:p>
    <w:p w14:paraId="3DD07710" w14:textId="77777777" w:rsidR="00F16DB1" w:rsidRDefault="001E64C6">
      <w:bookmarkStart w:id="4" w:name="sec004"/>
      <w:pPr>
        <w:pStyle w:val="Heading2"/>
        <w:spacing w:before="280" w:after="120"/>
      </w:pPr>
      <w:r>
        <w:t>b. Fixed 2026-08-19: this is now self-healing for the coded automations' own states</w:t>
      </w:r>
      <w:bookmarkEnd w:id="4"/>
    </w:p>
    <w:p w14:paraId="017476C2" w14:textId="77777777" w:rsidR="00F16DB1" w:rsidRDefault="001E64C6">
      <w:pPr>
        <w:spacing w:after="160"/>
        <w:ind w:left="360" w:firstLine="0"/>
      </w:pPr>
      <w:r>
        <w:t>Before the self-healing registration was added, a real, already-live crash risk existed: one coded automation called setState() unconditionally with no pre-check at all, so on any device that had never had that specific state typed into the States tab, it would throw. OpenAPSAutoISFPlugin.onStart() now calls ensureRequiredAutomationStatesDeclared() once at every app start, which pre-declares the value-list for every state this fork's coded automations are known to read or write — currently MJ, MJstate, Steroids, LowBG, Steps, BGLstate, Profile, Sleeping, and query_got_up — but only when hasStateValues() says that state isn't already declared, so it can never overwrite/clobber a list you've customized on the States tab yourself.</w:t>
      </w:r>
    </w:p>
    <w:p w14:paraId="6BFCB110" w14:textId="77777777" w:rsidR="00F16DB1" w:rsidRDefault="001E64C6">
      <w:pPr>
        <w:spacing w:after="160"/>
        <w:ind w:left="360" w:firstLine="0"/>
      </w:pPr>
      <w:r>
        <w:t>Practical effect you may actually see on the States tab: the first time a build containing this fix runs, some of those 9 state names can appear with their value-lists already populated even though nobody manually typed them in — that's this bootstrap doing its job, not a mystery and not anything to undo.</w:t>
      </w:r>
    </w:p>
    <w:p w14:paraId="5821A2AE" w14:textId="77777777" w:rsidR="00F16DB1" w:rsidRDefault="001E64C6">
      <w:bookmarkStart w:id="5" w:name="sec005"/>
      <w:pPr>
        <w:pStyle w:val="Heading2"/>
        <w:spacing w:before="280" w:after="120"/>
      </w:pPr>
      <w:r>
        <w:t>c. A second, related gap: declaring the value list still isn't the same as the state having a value</w:t>
      </w:r>
      <w:bookmarkEnd w:id="5"/>
    </w:p>
    <w:p w14:paraId="1D6AD9EF" w14:textId="77777777" w:rsidR="00F16DB1" w:rsidRDefault="001E64C6">
      <w:pPr>
        <w:spacing w:after="160"/>
        <w:ind w:left="360" w:firstLine="0"/>
      </w:pPr>
      <w:r>
        <w:t xml:space="preserve">Even with the fix above, a brand-new state's value LIST existing doesn't mean it has a CURRENT value — AutomationStateService only assigns one the first time something calls </w:t>
      </w:r>
      <w:proofErr w:type="gramStart"/>
      <w:r>
        <w:t>setState(</w:t>
      </w:r>
      <w:proofErr w:type="gramEnd"/>
      <w:r>
        <w:t>) for that name, historically only via a human opening that state on the States tab and pressing OK (which sets the first list entry as current, but only for a state the dialog itself treats as new/blank), or a coded action explicitly setting one. Until that happens, every gate reading that state (</w:t>
      </w:r>
      <w:proofErr w:type="gramStart"/>
      <w:r>
        <w:t>checkAutomationState(</w:t>
      </w:r>
      <w:proofErr w:type="gramEnd"/>
      <w:r>
        <w:t xml:space="preserve">name, someValue)) just silently reads false — no crash, but no default either, </w:t>
      </w:r>
      <w:proofErr w:type="gramStart"/>
      <w:r>
        <w:t>and</w:t>
      </w:r>
      <w:proofErr w:type="gramEnd"/>
      <w:r>
        <w:t xml:space="preserve"> nothing on screen tells you this is why an automation isn't firing.</w:t>
      </w:r>
    </w:p>
    <w:p w14:paraId="27376ECE" w14:textId="77777777" w:rsidR="00F16DB1" w:rsidRDefault="001E64C6">
      <w:pPr>
        <w:spacing w:after="160"/>
        <w:ind w:left="360" w:firstLine="0"/>
      </w:pPr>
      <w:r>
        <w:t>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w:t>
      </w:r>
      <w:r>
        <w:t xml:space="preserve"> observed “off” counterpart (defaulting to it would wrongly assert a low just happened on every fresh device), and query_got_up is a one-shot signal, not a toggle. The default is only applied when the state currently has no value at all — it can never overwrite something you (or the import) already set.</w:t>
      </w:r>
    </w:p>
    <w:p w14:paraId="14A2AB88" w14:textId="77777777" w:rsidR="00F16DB1" w:rsidRDefault="001E64C6">
      <w:bookmarkStart w:id="6" w:name="sec006"/>
      <w:pPr>
        <w:pStyle w:val="Heading1"/>
        <w:spacing w:before="400" w:after="200"/>
      </w:pPr>
      <w:r>
        <w:t>2. Settings Import Features — Especially With States</w:t>
      </w:r>
      <w:bookmarkEnd w:id="6"/>
    </w:p>
    <w:p w14:paraId="3F9B39F4" w14:textId="77777777" w:rsidR="00F16DB1" w:rsidRDefault="001E64C6">
      <w:pPr>
        <w:spacing w:after="160"/>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410B0C4C" w14:textId="77777777" w:rsidR="00F16DB1" w:rsidRDefault="001E64C6">
      <w:bookmarkStart w:id="7" w:name="sec007"/>
      <w:pPr>
        <w:pStyle w:val="Heading2"/>
        <w:spacing w:before="280" w:after="120"/>
      </w:pPr>
      <w:r>
        <w:t>a. Automation States are force-disabled after every import — by design, not a bug</w:t>
      </w:r>
      <w:bookmarkEnd w:id="7"/>
    </w:p>
    <w:p w14:paraId="5FE3A476" w14:textId="77777777" w:rsidR="00F16DB1" w:rsidRDefault="001E64C6">
      <w:pPr>
        <w:spacing w:after="160"/>
        <w:ind w:left="360" w:firstLine="0"/>
      </w:pPr>
      <w:r>
        <w:lastRenderedPageBreak/>
        <w:t>Immediately after any import (cloud or local), AutomationStatesEnabled is unconditionally written back to false, regardless of what the imported file contained or what this device's setting was beforehand. If the imported file's data does include state definitions/values (detected by checking for the automation_state_service/automation_state_values keys), a dialog then appears with a checkbox — “Enable Automation States now?” — defaulting to UNCHECKED. If you import a backup that relies on states (steroid a</w:t>
      </w:r>
      <w:r>
        <w:t>utomations, MJ, etc.) and click OK without ticking that box, every state-dependent automation will silently do nothing after the restart, even though the state data itself was restored correctly underneath. This has been the source of confusing “import didn't restore my automations” reports in the past — the data was fine, the master switch just stayed off. Always tick that box (or re-enable the toggle manually afterward) when importing a file you know used states.</w:t>
      </w:r>
    </w:p>
    <w:p w14:paraId="3B292F70" w14:textId="77777777" w:rsidR="00F16DB1" w:rsidRDefault="001E64C6">
      <w:pPr>
        <w:spacing w:after="160"/>
        <w:ind w:left="360" w:firstLine="0"/>
      </w:pPr>
      <w:r>
        <w:t xml:space="preserve">What this warning does NOT tell you, and no other warning covers either: it only appears when the imported FILE contains state data. If the file has none — an older export from before you started using states, or one from a device that never had them — but this device currently does, there is no warning of any kind. </w:t>
      </w:r>
      <w:proofErr w:type="gramStart"/>
      <w:r>
        <w:t>sp.clear</w:t>
      </w:r>
      <w:proofErr w:type="gramEnd"/>
      <w:r>
        <w:t xml:space="preserve">() still wipes automation_state_service/automation_state_values down to their empty defaults, silently, because nothing in the file exists to restore them. If you're about to import a </w:t>
      </w:r>
      <w:proofErr w:type="gramStart"/>
      <w:r>
        <w:t>file</w:t>
      </w:r>
      <w:proofErr w:type="gramEnd"/>
      <w:r>
        <w:t xml:space="preserve"> you're not sure has current state data, and you care about keeping this device's states, export/back up this device's states first — there's no “keep current states” checkbox in the import dialog the way there is for pump config, patient name, BG source, and sync (§ below).</w:t>
      </w:r>
    </w:p>
    <w:p w14:paraId="360DBD18" w14:textId="77777777" w:rsidR="00F16DB1" w:rsidRDefault="001E64C6">
      <w:bookmarkStart w:id="8" w:name="sec008"/>
      <w:pPr>
        <w:pStyle w:val="Heading2"/>
        <w:spacing w:before="280" w:after="120"/>
      </w:pPr>
      <w:r>
        <w:t>b. Import restores states wholesale — where “states I never made myself” can come from</w:t>
      </w:r>
      <w:bookmarkEnd w:id="8"/>
    </w:p>
    <w:p w14:paraId="481C20A7" w14:textId="77777777" w:rsidR="00F16DB1" w:rsidRDefault="001E64C6">
      <w:pPr>
        <w:spacing w:after="160"/>
        <w:ind w:left="360" w:firstLine="0"/>
      </w:pPr>
      <w:r>
        <w:t>Both halves of the States system — automation_state_service (which value each state is currently set to) and automation_state_values (each state's declared allowed-value list) — are ordinary exportable SharedPreferences keys, stored as single JSON blobs. An import wipes and replaces both wholesale from whatever the imported file contains, with no per-state merging. So after importing an older backup, or a file exported from a different device in this fork's fleet, it's expected — not a mystery — to see states (and their currently-assigned values) appear that you never typed into the States tab on this device yourself: they were sitting in the file, either from earlier on this same device before you deleted them, or from wherever else that file came from. This is separate from, and in addition to, the self-healing declaration described in §1 — an import can still restore a CURRENT VALUE the §1 bootstrap wouldn't have picked (any state/value combination that was ever manually set on any device, not just the 5 states §1 now defaults), and a value restored by import always reflects whatever was really happening on the exporting device at export time, which the bootstrap's fixed, generic defaults cannot know.</w:t>
      </w:r>
    </w:p>
    <w:p w14:paraId="7A1D85D3" w14:textId="77777777" w:rsidR="00F16DB1" w:rsidRDefault="001E64C6">
      <w:bookmarkStart w:id="9" w:name="sec009"/>
      <w:pPr>
        <w:pStyle w:val="Heading2"/>
        <w:spacing w:before="280" w:after="120"/>
      </w:pPr>
      <w:r>
        <w:t>c. Four “Keep current…” checkboxes not present in stock AAPS</w:t>
      </w:r>
      <w:bookmarkEnd w:id="9"/>
    </w:p>
    <w:p w14:paraId="59A3E3B7" w14:textId="77777777" w:rsidR="00F16DB1" w:rsidRDefault="001E64C6">
      <w:pPr>
        <w:spacing w:after="160"/>
        <w:ind w:left="360" w:firstLine="0"/>
      </w:pPr>
      <w:r>
        <w:t>Because importing an older backup would otherwise silently clobber live, device-specific state, the import summary dialog can show up to four independent “preserve this device's current value instead of the file's” checkboxes: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1500"/>
        <w:gridCol w:w="3680"/>
      </w:tblGrid>
      <w:tr w:rsidR="00F16DB1" w14:paraId="160A576E" w14:textId="77777777">
        <w:tblPrEx>
          <w:tblCellMar>
            <w:top w:w="0" w:type="dxa"/>
            <w:bottom w:w="0" w:type="dxa"/>
          </w:tblCellMar>
        </w:tblPrEx>
        <w:trPr>
          <w:tblHeader/>
        </w:trPr>
        <w:tc>
          <w:tcPr>
            <w:tcW w:w="1900" w:type="dxa"/>
            <w:shd w:val="clear" w:color="auto" w:fill="2F5496"/>
            <w:tcMar>
              <w:top w:w="80" w:type="dxa"/>
              <w:left w:w="100" w:type="dxa"/>
              <w:bottom w:w="80" w:type="dxa"/>
              <w:right w:w="100" w:type="dxa"/>
            </w:tcMar>
          </w:tcPr>
          <w:p w14:paraId="7F63CB41" w14:textId="77777777" w:rsidR="00F16DB1" w:rsidRDefault="001E64C6">
            <w:r>
              <w:rPr>
                <w:b/>
                <w:bCs/>
                <w:color w:val="FFFFFF"/>
                <w:sz w:val="18"/>
                <w:szCs w:val="18"/>
              </w:rPr>
              <w:t>Checkbox</w:t>
            </w:r>
          </w:p>
        </w:tc>
        <w:tc>
          <w:tcPr>
            <w:tcW w:w="3000" w:type="dxa"/>
            <w:shd w:val="clear" w:color="auto" w:fill="2F5496"/>
            <w:tcMar>
              <w:top w:w="80" w:type="dxa"/>
              <w:left w:w="100" w:type="dxa"/>
              <w:bottom w:w="80" w:type="dxa"/>
              <w:right w:w="100" w:type="dxa"/>
            </w:tcMar>
          </w:tcPr>
          <w:p w14:paraId="32796C68" w14:textId="77777777" w:rsidR="00F16DB1" w:rsidRDefault="001E64C6">
            <w:r>
              <w:rPr>
                <w:b/>
                <w:bCs/>
                <w:color w:val="FFFFFF"/>
                <w:sz w:val="18"/>
                <w:szCs w:val="18"/>
              </w:rPr>
              <w:t>Shown when…</w:t>
            </w:r>
          </w:p>
        </w:tc>
        <w:tc>
          <w:tcPr>
            <w:tcW w:w="1500" w:type="dxa"/>
            <w:shd w:val="clear" w:color="auto" w:fill="2F5496"/>
            <w:tcMar>
              <w:top w:w="80" w:type="dxa"/>
              <w:left w:w="100" w:type="dxa"/>
              <w:bottom w:w="80" w:type="dxa"/>
              <w:right w:w="100" w:type="dxa"/>
            </w:tcMar>
          </w:tcPr>
          <w:p w14:paraId="7740ABEB" w14:textId="77777777" w:rsidR="00F16DB1" w:rsidRDefault="001E64C6">
            <w:r>
              <w:rPr>
                <w:b/>
                <w:bCs/>
                <w:color w:val="FFFFFF"/>
                <w:sz w:val="18"/>
                <w:szCs w:val="18"/>
              </w:rPr>
              <w:t>Default</w:t>
            </w:r>
          </w:p>
        </w:tc>
        <w:tc>
          <w:tcPr>
            <w:tcW w:w="3680" w:type="dxa"/>
            <w:shd w:val="clear" w:color="auto" w:fill="2F5496"/>
            <w:tcMar>
              <w:top w:w="80" w:type="dxa"/>
              <w:left w:w="100" w:type="dxa"/>
              <w:bottom w:w="80" w:type="dxa"/>
              <w:right w:w="100" w:type="dxa"/>
            </w:tcMar>
          </w:tcPr>
          <w:p w14:paraId="071043EC" w14:textId="77777777" w:rsidR="00F16DB1" w:rsidRDefault="001E64C6">
            <w:r>
              <w:rPr>
                <w:b/>
                <w:bCs/>
                <w:color w:val="FFFFFF"/>
                <w:sz w:val="18"/>
                <w:szCs w:val="18"/>
              </w:rPr>
              <w:t>What it preserves</w:t>
            </w:r>
          </w:p>
        </w:tc>
      </w:tr>
      <w:tr w:rsidR="00F16DB1" w14:paraId="1ABF8C08" w14:textId="77777777">
        <w:tblPrEx>
          <w:tblCellMar>
            <w:top w:w="0" w:type="dxa"/>
            <w:bottom w:w="0" w:type="dxa"/>
          </w:tblCellMar>
        </w:tblPrEx>
        <w:tc>
          <w:tcPr>
            <w:tcW w:w="1900" w:type="dxa"/>
            <w:tcMar>
              <w:top w:w="80" w:type="dxa"/>
              <w:left w:w="100" w:type="dxa"/>
              <w:bottom w:w="80" w:type="dxa"/>
              <w:right w:w="100" w:type="dxa"/>
            </w:tcMar>
          </w:tcPr>
          <w:p w14:paraId="25C8CE43" w14:textId="77777777" w:rsidR="00F16DB1" w:rsidRDefault="001E64C6">
            <w:r>
              <w:rPr>
                <w:sz w:val="18"/>
                <w:szCs w:val="18"/>
              </w:rPr>
              <w:t>Keep current pump configuration</w:t>
            </w:r>
          </w:p>
        </w:tc>
        <w:tc>
          <w:tcPr>
            <w:tcW w:w="3000" w:type="dxa"/>
            <w:tcMar>
              <w:top w:w="80" w:type="dxa"/>
              <w:left w:w="100" w:type="dxa"/>
              <w:bottom w:w="80" w:type="dxa"/>
              <w:right w:w="100" w:type="dxa"/>
            </w:tcMar>
          </w:tcPr>
          <w:p w14:paraId="239D95C4" w14:textId="77777777" w:rsidR="00F16DB1" w:rsidRDefault="001E64C6">
            <w:r>
              <w:rPr>
                <w:sz w:val="18"/>
                <w:szCs w:val="18"/>
              </w:rPr>
              <w:t>the import would change anything in the “pump domain” (driver selection, driver settings, or live session state like an active Omnipod pod) on this device</w:t>
            </w:r>
          </w:p>
        </w:tc>
        <w:tc>
          <w:tcPr>
            <w:tcW w:w="1500" w:type="dxa"/>
            <w:tcMar>
              <w:top w:w="80" w:type="dxa"/>
              <w:left w:w="100" w:type="dxa"/>
              <w:bottom w:w="80" w:type="dxa"/>
              <w:right w:w="100" w:type="dxa"/>
            </w:tcMar>
          </w:tcPr>
          <w:p w14:paraId="6F87473C" w14:textId="77777777" w:rsidR="00F16DB1" w:rsidRDefault="001E64C6">
            <w:r>
              <w:rPr>
                <w:sz w:val="18"/>
                <w:szCs w:val="18"/>
              </w:rPr>
              <w:t>Pre-checked only if the file would overwrite a genuinely live pod/session; unchecked for a mere driver-selection difference</w:t>
            </w:r>
          </w:p>
        </w:tc>
        <w:tc>
          <w:tcPr>
            <w:tcW w:w="3680" w:type="dxa"/>
            <w:tcMar>
              <w:top w:w="80" w:type="dxa"/>
              <w:left w:w="100" w:type="dxa"/>
              <w:bottom w:w="80" w:type="dxa"/>
              <w:right w:w="100" w:type="dxa"/>
            </w:tcMar>
          </w:tcPr>
          <w:p w14:paraId="33C4AA21" w14:textId="77777777" w:rsidR="00F16DB1" w:rsidRDefault="001E64C6">
            <w:r>
              <w:rPr>
                <w:sz w:val="18"/>
                <w:szCs w:val="18"/>
              </w:rPr>
              <w:t>Pump driver ConfigBuilder selection + that driver's own settings + device session state (pod_state, current_bolus, etc.) — everything else in the file (Safety max basal/bolus, insulin type) still comes from the file</w:t>
            </w:r>
          </w:p>
        </w:tc>
      </w:tr>
      <w:tr w:rsidR="00F16DB1" w14:paraId="3D5BAC84" w14:textId="77777777">
        <w:tblPrEx>
          <w:tblCellMar>
            <w:top w:w="0" w:type="dxa"/>
            <w:bottom w:w="0" w:type="dxa"/>
          </w:tblCellMar>
        </w:tblPrEx>
        <w:tc>
          <w:tcPr>
            <w:tcW w:w="1900" w:type="dxa"/>
            <w:tcMar>
              <w:top w:w="80" w:type="dxa"/>
              <w:left w:w="100" w:type="dxa"/>
              <w:bottom w:w="80" w:type="dxa"/>
              <w:right w:w="100" w:type="dxa"/>
            </w:tcMar>
          </w:tcPr>
          <w:p w14:paraId="416BD2CB" w14:textId="77777777" w:rsidR="00F16DB1" w:rsidRDefault="001E64C6">
            <w:r>
              <w:rPr>
                <w:sz w:val="18"/>
                <w:szCs w:val="18"/>
              </w:rPr>
              <w:t>Keep current patient name</w:t>
            </w:r>
          </w:p>
        </w:tc>
        <w:tc>
          <w:tcPr>
            <w:tcW w:w="3000" w:type="dxa"/>
            <w:tcMar>
              <w:top w:w="80" w:type="dxa"/>
              <w:left w:w="100" w:type="dxa"/>
              <w:bottom w:w="80" w:type="dxa"/>
              <w:right w:w="100" w:type="dxa"/>
            </w:tcMar>
          </w:tcPr>
          <w:p w14:paraId="60827EF3" w14:textId="77777777" w:rsidR="00F16DB1" w:rsidRDefault="001E64C6">
            <w:r>
              <w:rPr>
                <w:sz w:val="18"/>
                <w:szCs w:val="18"/>
              </w:rPr>
              <w:t>Virtual Pump is this device's active pump</w:t>
            </w:r>
          </w:p>
        </w:tc>
        <w:tc>
          <w:tcPr>
            <w:tcW w:w="1500" w:type="dxa"/>
            <w:tcMar>
              <w:top w:w="80" w:type="dxa"/>
              <w:left w:w="100" w:type="dxa"/>
              <w:bottom w:w="80" w:type="dxa"/>
              <w:right w:w="100" w:type="dxa"/>
            </w:tcMar>
          </w:tcPr>
          <w:p w14:paraId="094D1BE1" w14:textId="77777777" w:rsidR="00F16DB1" w:rsidRDefault="001E64C6">
            <w:r>
              <w:rPr>
                <w:sz w:val="18"/>
                <w:szCs w:val="18"/>
              </w:rPr>
              <w:t>Unchecked</w:t>
            </w:r>
          </w:p>
        </w:tc>
        <w:tc>
          <w:tcPr>
            <w:tcW w:w="3680" w:type="dxa"/>
            <w:tcMar>
              <w:top w:w="80" w:type="dxa"/>
              <w:left w:w="100" w:type="dxa"/>
              <w:bottom w:w="80" w:type="dxa"/>
              <w:right w:w="100" w:type="dxa"/>
            </w:tcMar>
          </w:tcPr>
          <w:p w14:paraId="6E3333EB" w14:textId="77777777" w:rsidR="00F16DB1" w:rsidRDefault="001E64C6">
            <w:r>
              <w:rPr>
                <w:sz w:val="18"/>
                <w:szCs w:val="18"/>
              </w:rPr>
              <w:t>StringKey.GeneralPatientName only</w:t>
            </w:r>
          </w:p>
        </w:tc>
      </w:tr>
      <w:tr w:rsidR="00F16DB1" w14:paraId="4CE39569" w14:textId="77777777">
        <w:tblPrEx>
          <w:tblCellMar>
            <w:top w:w="0" w:type="dxa"/>
            <w:bottom w:w="0" w:type="dxa"/>
          </w:tblCellMar>
        </w:tblPrEx>
        <w:tc>
          <w:tcPr>
            <w:tcW w:w="1900" w:type="dxa"/>
            <w:tcMar>
              <w:top w:w="80" w:type="dxa"/>
              <w:left w:w="100" w:type="dxa"/>
              <w:bottom w:w="80" w:type="dxa"/>
              <w:right w:w="100" w:type="dxa"/>
            </w:tcMar>
          </w:tcPr>
          <w:p w14:paraId="00F61E65" w14:textId="77777777" w:rsidR="00F16DB1" w:rsidRDefault="001E64C6">
            <w:r>
              <w:rPr>
                <w:sz w:val="18"/>
                <w:szCs w:val="18"/>
              </w:rPr>
              <w:t>Keep current BG source configuration</w:t>
            </w:r>
          </w:p>
        </w:tc>
        <w:tc>
          <w:tcPr>
            <w:tcW w:w="3000" w:type="dxa"/>
            <w:tcMar>
              <w:top w:w="80" w:type="dxa"/>
              <w:left w:w="100" w:type="dxa"/>
              <w:bottom w:w="80" w:type="dxa"/>
              <w:right w:w="100" w:type="dxa"/>
            </w:tcMar>
          </w:tcPr>
          <w:p w14:paraId="7CF8C561" w14:textId="77777777" w:rsidR="00F16DB1" w:rsidRDefault="001E64C6">
            <w:r>
              <w:rPr>
                <w:sz w:val="18"/>
                <w:szCs w:val="18"/>
              </w:rPr>
              <w:t>Virtual Pump is active</w:t>
            </w:r>
          </w:p>
        </w:tc>
        <w:tc>
          <w:tcPr>
            <w:tcW w:w="1500" w:type="dxa"/>
            <w:tcMar>
              <w:top w:w="80" w:type="dxa"/>
              <w:left w:w="100" w:type="dxa"/>
              <w:bottom w:w="80" w:type="dxa"/>
              <w:right w:w="100" w:type="dxa"/>
            </w:tcMar>
          </w:tcPr>
          <w:p w14:paraId="6EB91F62" w14:textId="77777777" w:rsidR="00F16DB1" w:rsidRDefault="001E64C6">
            <w:r>
              <w:rPr>
                <w:sz w:val="18"/>
                <w:szCs w:val="18"/>
              </w:rPr>
              <w:t>Unchecked</w:t>
            </w:r>
          </w:p>
        </w:tc>
        <w:tc>
          <w:tcPr>
            <w:tcW w:w="3680" w:type="dxa"/>
            <w:tcMar>
              <w:top w:w="80" w:type="dxa"/>
              <w:left w:w="100" w:type="dxa"/>
              <w:bottom w:w="80" w:type="dxa"/>
              <w:right w:w="100" w:type="dxa"/>
            </w:tcMar>
          </w:tcPr>
          <w:p w14:paraId="4EF5F5CD" w14:textId="77777777" w:rsidR="00F16DB1" w:rsidRDefault="001E64C6">
            <w:r>
              <w:rPr>
                <w:sz w:val="18"/>
                <w:szCs w:val="18"/>
              </w:rPr>
              <w:t>The BGSOURCE-domain plugin selection plus every core BgSource* key</w:t>
            </w:r>
          </w:p>
        </w:tc>
      </w:tr>
      <w:tr w:rsidR="00F16DB1" w14:paraId="07C96774" w14:textId="77777777">
        <w:tblPrEx>
          <w:tblCellMar>
            <w:top w:w="0" w:type="dxa"/>
            <w:bottom w:w="0" w:type="dxa"/>
          </w:tblCellMar>
        </w:tblPrEx>
        <w:tc>
          <w:tcPr>
            <w:tcW w:w="1900" w:type="dxa"/>
            <w:tcMar>
              <w:top w:w="80" w:type="dxa"/>
              <w:left w:w="100" w:type="dxa"/>
              <w:bottom w:w="80" w:type="dxa"/>
              <w:right w:w="100" w:type="dxa"/>
            </w:tcMar>
          </w:tcPr>
          <w:p w14:paraId="51E7B21D" w14:textId="77777777" w:rsidR="00F16DB1" w:rsidRDefault="001E64C6">
            <w:r>
              <w:rPr>
                <w:sz w:val="18"/>
                <w:szCs w:val="18"/>
              </w:rPr>
              <w:t>Keep current Synchronization configuration</w:t>
            </w:r>
          </w:p>
        </w:tc>
        <w:tc>
          <w:tcPr>
            <w:tcW w:w="3000" w:type="dxa"/>
            <w:tcMar>
              <w:top w:w="80" w:type="dxa"/>
              <w:left w:w="100" w:type="dxa"/>
              <w:bottom w:w="80" w:type="dxa"/>
              <w:right w:w="100" w:type="dxa"/>
            </w:tcMar>
          </w:tcPr>
          <w:p w14:paraId="40A8DBA0" w14:textId="77777777" w:rsidR="00F16DB1" w:rsidRDefault="001E64C6">
            <w:r>
              <w:rPr>
                <w:sz w:val="18"/>
                <w:szCs w:val="18"/>
              </w:rPr>
              <w:t>Virtual Pump is active</w:t>
            </w:r>
          </w:p>
        </w:tc>
        <w:tc>
          <w:tcPr>
            <w:tcW w:w="1500" w:type="dxa"/>
            <w:tcMar>
              <w:top w:w="80" w:type="dxa"/>
              <w:left w:w="100" w:type="dxa"/>
              <w:bottom w:w="80" w:type="dxa"/>
              <w:right w:w="100" w:type="dxa"/>
            </w:tcMar>
          </w:tcPr>
          <w:p w14:paraId="28FE61D8" w14:textId="77777777" w:rsidR="00F16DB1" w:rsidRDefault="001E64C6">
            <w:r>
              <w:rPr>
                <w:sz w:val="18"/>
                <w:szCs w:val="18"/>
              </w:rPr>
              <w:t>Unchecked</w:t>
            </w:r>
          </w:p>
        </w:tc>
        <w:tc>
          <w:tcPr>
            <w:tcW w:w="3680" w:type="dxa"/>
            <w:tcMar>
              <w:top w:w="80" w:type="dxa"/>
              <w:left w:w="100" w:type="dxa"/>
              <w:bottom w:w="80" w:type="dxa"/>
              <w:right w:w="100" w:type="dxa"/>
            </w:tcMar>
          </w:tcPr>
          <w:p w14:paraId="41FC5158" w14:textId="77777777" w:rsidR="00F16DB1" w:rsidRDefault="001E64C6">
            <w:r>
              <w:rPr>
                <w:sz w:val="18"/>
                <w:szCs w:val="18"/>
              </w:rPr>
              <w:t>The SYNC-domain plugin selection plus every core NsClient*/Tidepool*/OpenHumans*/Xdrip* key (NS URL, password/token, sync toggles)</w:t>
            </w:r>
          </w:p>
        </w:tc>
      </w:tr>
    </w:tbl>
    <w:p w14:paraId="54926F62" w14:textId="77777777" w:rsidR="00F16DB1" w:rsidRDefault="001E64C6">
      <w:pPr>
        <w:spacing w:after="160"/>
        <w:ind w:left="360" w:firstLine="0"/>
      </w:pPr>
      <w:r>
        <w:t xml:space="preserve">The Virtual-Pump gating on the last three exists because they matter most for Client-style mirror phones — importing a backup onto a </w:t>
      </w:r>
      <w:proofErr w:type="gramStart"/>
      <w:r>
        <w:t>Client</w:t>
      </w:r>
      <w:proofErr w:type="gramEnd"/>
      <w:r>
        <w:t xml:space="preserve"> shouldn't normally overwrite which real device it's mirroring, its own BG source, or its own NS connection, even though the rest of the imported settings (therapy/dosing preferences) should still apply.</w:t>
      </w:r>
    </w:p>
    <w:p w14:paraId="10C7DCD2" w14:textId="77777777" w:rsidR="00F16DB1" w:rsidRDefault="001E64C6">
      <w:pPr>
        <w:spacing w:after="160"/>
        <w:ind w:left="360" w:firstLine="0"/>
      </w:pPr>
      <w:r>
        <w:rPr>
          <w:i/>
          <w:iCs/>
        </w:rPr>
        <w:lastRenderedPageBreak/>
        <w:t xml:space="preserve">A separate, older precedent for the same “keep one thing across the </w:t>
      </w:r>
      <w:proofErr w:type="gramStart"/>
      <w:r>
        <w:rPr>
          <w:i/>
          <w:iCs/>
        </w:rPr>
        <w:t>clear(</w:t>
      </w:r>
      <w:proofErr w:type="gramEnd"/>
      <w:r>
        <w:rPr>
          <w:i/>
          <w:iCs/>
        </w:rPr>
        <w:t>)” pattern: StringKey.AapsDirectoryUri (the AAPS working-folder URI) is always snapshotted and restored automatically, with no checkbox — it's considered device plumbing, never something a backup file should be allowed to move.</w:t>
      </w:r>
    </w:p>
    <w:p w14:paraId="5E6F0C13" w14:textId="77777777" w:rsidR="00F16DB1" w:rsidRDefault="001E64C6">
      <w:bookmarkStart w:id="10" w:name="sec010"/>
      <w:pPr>
        <w:pStyle w:val="Heading1"/>
        <w:spacing w:before="400" w:after="200"/>
      </w:pPr>
      <w:r>
        <w:t>3. Settings That Materially Affect Day-to-Day Function</w:t>
      </w:r>
      <w:bookmarkEnd w:id="10"/>
    </w:p>
    <w:p w14:paraId="652F200C" w14:textId="77777777" w:rsidR="00F16DB1" w:rsidRDefault="001E64C6">
      <w:pPr>
        <w:spacing w:after="160"/>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5BED62D2" w14:textId="77777777" w:rsidR="00F16DB1" w:rsidRDefault="001E64C6">
      <w:bookmarkStart w:id="11" w:name="sec011"/>
      <w:pPr>
        <w:pStyle w:val="Heading2"/>
        <w:spacing w:before="280" w:after="120"/>
      </w:pPr>
      <w:r>
        <w:t>a. The SMB delivery brake</w:t>
      </w:r>
      <w:bookmarkEnd w:id="11"/>
    </w:p>
    <w:p w14:paraId="3CF4F2CC" w14:textId="77777777" w:rsidR="00F16DB1" w:rsidRDefault="001E64C6">
      <w:pPr>
        <w:spacing w:after="100"/>
        <w:ind w:left="360" w:firstLine="0"/>
      </w:pPr>
      <w:r>
        <w:t>• FIXED SMB delivery ratio (smb_delivery_ratio) — the single biggest lever on how much of a calculated insulin requirement gets delivered as one SMB. It is also the silent source value for the (GUI-less) “UAM Boost insulin req %” internal setting — changing this ratio changes UAM Boost's bypass behavior too, even though nothing on the Boost screen says so.</w:t>
      </w:r>
    </w:p>
    <w:p w14:paraId="1C135427" w14:textId="77777777" w:rsidR="00F16DB1" w:rsidRDefault="001E64C6">
      <w:pPr>
        <w:spacing w:after="100"/>
        <w:ind w:left="360" w:firstLine="0"/>
      </w:pPr>
      <w:r>
        <w:t>• maxIOB threshold percent for SMB (iob_threshold_percent) — defaults to 100% (effectively off, governed only by the hard max-IOB cap). Lowering it adds a second, earlier IOB-based SMB cutoff that's easy to forget is active once set.</w:t>
      </w:r>
    </w:p>
    <w:p>
      <w:bookmarkStart w:id="12" w:name="sec012"/>
      <w:pPr>
        <w:pStyle w:val="Heading2"/>
      </w:pPr>
      <w:r>
        <w:t>b. Tier 3 UAM Boost: criteria, output, and duration</w:t>
      </w:r>
      <w:bookmarkEnd w:id="12"/>
    </w:p>
    <w:p>
      <w:pPr>
        <w:ind w:left="360" w:firstLine="0"/>
      </w:pPr>
      <w:r>
        <w:t>Tier 3 UAM Boost is an opt-in, Virtual-Pump-only SMB calculation. It is evaluated only inside the normal SMB pathway, so microboluses must be allowed, SMB must be enabled, and glucose must already be above the ordinary SMB threshold. The Tier 3 switch defaults to off and this feature cannot activate while a real pump is selected.</w:t>
      </w:r>
    </w:p>
    <w:p>
      <w:pPr>
        <w:ind w:left="360" w:firstLine="0"/>
      </w:pPr>
      <w:r>
        <w:t>Direct entry criteria: current delta at least 5 mg/dL per 5 minutes (about 0.28 mmol/L); short-average delta at least 3 mg/dL per 5 minutes (about 0.17 mmol/L); delta divided by short-average delta greater than 1.2; absolute delta divided by long-average delta greater than 2; current BG above 80 mg/dL (about 4.4 mmol/L); eventual BG above target; positive calculated insulin requirement; effective boost scale below 3; and current IOB below the configured Tier 3 ceiling. A missing or effectively zero short/long delta makes its ratio zero and prevents entry. Tier 3 has no direct HP or HP2 criterion.</w:t>
      </w:r>
    </w:p>
    <w:p>
      <w:pPr>
        <w:ind w:left="360" w:firstLine="0"/>
      </w:pPr>
      <w:r>
        <w:t>The IOB ceiling is percentage-based: profile max_iob multiplied by the configured UAM Boost max-IOB percentage, divided by 100. The default is 10%. Remaining Tier 3 allowance is that ceiling minus current IOB. A new preference key is used so a historical absolute value such as 1.0 U cannot be misread as 1%.</w:t>
      </w:r>
    </w:p>
    <w:p>
      <w:pPr>
        <w:ind w:left="360" w:firstLine="0"/>
      </w:pPr>
      <w:r>
        <w:t>For output, the calculation compares the ordinary SMB candidate with a scaled Tier 3 candidate based on effective boost scale and current basal. Tier 3 is considered to have enhanced the candidate only when its rounded candidate is larger than the ordinary pre-boost SMB. The selected amount is limited by the configured maximum boost bolus and by the remaining percentage-based IOB allowance. The same IOB allowance is enforced again immediately before final pump-increment rounding.</w:t>
      </w:r>
    </w:p>
    <w:p>
      <w:pPr>
        <w:ind w:left="360" w:firstLine="0"/>
      </w:pPr>
      <w:r>
        <w:t>The Tier 3 candidate still passes through all shared SMB protections. These include stacking reductions, recent-low rebound reduction, late-fast-rise tapering, rolling 30-minute and 10-minute SMB limits, sub-7.5 mmol/L heavy-delivery cooldown, offset-based SMB zeroing, final rounding, and the ordinary SMB delivery-interval gate. Any of these can reduce the Tier 3 candidate or cancel delivery.</w:t>
      </w:r>
    </w:p>
    <w:p>
      <w:pPr>
        <w:ind w:left="360" w:firstLine="0"/>
      </w:pPr>
      <w:r>
        <w:t>Reporting now describes delivered output rather than an early criteria match. The UamBst CarePortal note and “UamBoost: SMB boosted” SMS are produced only when Tier 3 genuinely increased the initial candidate, a positive amount survived all final safety modifiers, the normal SMB interval permitted delivery, and the result was written to rT.units.</w:t>
      </w:r>
    </w:p>
    <w:p>
      <w:pPr>
        <w:ind w:left="360" w:firstLine="0"/>
      </w:pPr>
      <w:r>
        <w:t>Duration: Tier 3 applies to one calculation cycle only. It has no persistent boost duration and no separate two-minute Tier 3 throttle. The normal SMB delivery interval still controls when another SMB may be delivered. A concurrent 30- or 60-minute low temporary basal can be produced by the ordinary SMB algorithm, but that is not a Tier 3 duration.</w:t>
      </w:r>
    </w:p>
    <w:p>
      <w:pPr>
        <w:ind w:left="360" w:firstLine="0"/>
      </w:pPr>
      <w:r>
        <w:rPr>
          <w:b/>
        </w:rPr>
        <w:t xml:space="preserve">Relationship to SMBs already delivered. </w:t>
      </w:r>
      <w:r>
        <w:t>Tier 3's initial maximum boost bolus is an absolute per-SMB cap, not a percentage of recently delivered SMBs. Its ordinary candidate is directly affected by the current smb_delivery_ratio, and delivered SMBs affect current IOB once their bolus records arrive. After Tier 3 proposes an amount, the shared safety path directly uses delivered-SMB history: rolling 10-minute limits are 0.6 U from 00:30–04:00 and 1.5 U otherwise; the rolling 30-minute ceiling is 2.1 U; late fast-rise delivery is reduced to 75% after 1.5 U/30 min and 50% after 1.9 U/30 min; rapid spacing and the sub-7.5 mmol/L heavy-delivery cooldown may further reduce or zero the candidate.</w:t>
      </w:r>
    </w:p>
    <w:p>
      <w:pPr>
        <w:ind w:left="360" w:firstLine="0"/>
      </w:pPr>
      <w:r>
        <w:rPr>
          <w:b/>
        </w:rPr>
        <w:t xml:space="preserve">BolusGiven strong boost. </w:t>
      </w:r>
      <w:r>
        <w:t>This is separate from Tier 3 and is controlled by Enable BolusGiven/BolusGivenMild automations. Branches 1 and 2 react after a normal bolus, using bolus age, COB, glucose rise, raw-Libre confirmation, activity, profile and state gates. Branch 3 is delivery-driven: normally no bolus or carbs for at least 120 minutes, a sufficiently large five-minute IOB rise, strong AAPS/raw glucose rise, BG no higher than 9.5 mmol/L, low activity, not on the Low/MJ profile, and not literally MJ active. Branch 3 also has a raw-signal bypass when recent SMB delivery was suppressed despite a strong continuing rise.</w:t>
      </w:r>
    </w:p>
    <w:p>
      <w:pPr>
        <w:ind w:left="360" w:firstLine="0"/>
      </w:pPr>
      <w:r>
        <w:rPr>
          <w:b/>
        </w:rPr>
        <w:t xml:space="preserve">Strong-boost effects. </w:t>
      </w:r>
      <w:r>
        <w:t>When a BolusGiven branch fires it cancels the current temporary target, sets iob_threshold_percent to 71, selects the Standard Profile, restores acceleration weight to its configured normal value, raises postprandial ISF weight, sets SMB delivery ratio to Mild Boost base + 0.03, applies a 110% profile for two minutes, and applies a 4.2 mmol/L target for two minutes. Branch 3 also arms a 30-minute recent-boost marker that can restore selected fast-rise-capped SMBs to the saved uncapped amount; recent-low and final cumulative-delivery protections run afterward and still take precedence.</w:t>
      </w:r>
    </w:p>
    <w:p>
      <w:pPr>
        <w:ind w:left="360" w:firstLine="0"/>
      </w:pPr>
      <w:r>
        <w:rPr>
          <w:b/>
        </w:rPr>
        <w:t xml:space="preserve">BolusGivenMild and Mild Failsafe. </w:t>
      </w:r>
      <w:r>
        <w:t>Mild covers a lower raw-delta band than strong branch 3 and is designed to be mutually exclusive with it. It uses delivery change, raw/AAPS rise confirmation, no recent bolus/carbs, low activity, profile/MJ gates and cross-cooldowns. It leaves profile percentage and IOB threshold unchanged, but raises smb_delivery_ratio to Mild base +0.05 below 7.5 mmol/L, +0.02 below 9.0 mmol/L, or the base at/above 9.0 mmol/L; it also sets a 5.0 mmol/L target for two minutes and raises postprandial ISF weight. Mild Failsafe applies similar effects when BG is above 6.5 mmol/L, the rise is confirmed across delta horizons, IOB is at most 0.20 U, and no SMB has been delivered for 20 minutes.</w:t>
      </w:r>
    </w:p>
    <w:p>
      <w:pPr>
        <w:ind w:left="360" w:firstLine="0"/>
      </w:pPr>
      <w:r>
        <w:rPr>
          <w:b/>
        </w:rPr>
        <w:t xml:space="preserve">Initiation order relative to Tier 3. </w:t>
      </w:r>
      <w:r>
        <w:t>BolusGiven/Mild automations run first and can change smb_delivery_ratio, profile percentage, target and weights. AutoISF then builds the profile passed into DetermineBasal, where Tier 3 independently evaluates its own Virtual-Pump, delta-ratio, BG, eventual-BG, positive-insulin-requirement and IOB-ceiling criteria. A prior boost can therefore alter Tier 3's ordinary candidate, effective scale or target context, but it does not automatically start Tier 3. Tier 3's separate switch and all of its own gates must still pass; afterward every common SMB safety modifier and the normal SMB interval still apply.</w:t>
      </w:r>
    </w:p>
    <w:p w14:paraId="2C90200E" w14:textId="77777777" w:rsidR="00F16DB1" w:rsidRDefault="001E64C6">
      <w:bookmarkStart w:id="13" w:name="sec013"/>
      <w:pPr>
        <w:pStyle w:val="Heading2"/>
        <w:spacing w:before="280" w:after="120"/>
      </w:pPr>
      <w:r>
        <w:t>c. The weight system's Resting/Boosted pairs</w:t>
      </w:r>
      <w:bookmarkEnd w:id="13"/>
    </w:p>
    <w:p w14:paraId="302A824B" w14:textId="77777777" w:rsidR="00F16DB1" w:rsidRDefault="001E64C6">
      <w:pPr>
        <w:spacing w:after="160"/>
        <w:ind w:left="360" w:firstLine="0"/>
      </w:pPr>
      <w:r>
        <w:t xml:space="preserve">Several ISF-strengthening weights (acceleration, postprandial) exist as a live value plus a separate “Resting” and “Boosted” pair. Automations write the live value transiently during a boost and restore it from “Resting” afterward — editing the live-value setting directly has no lasting effect once the next boost/restore cycle runs; the “Resting” setting is the one that </w:t>
      </w:r>
      <w:proofErr w:type="gramStart"/>
      <w:r>
        <w:t>actually persists</w:t>
      </w:r>
      <w:proofErr w:type="gramEnd"/>
      <w:r>
        <w:t xml:space="preserve"> day to day.</w:t>
      </w:r>
    </w:p>
    <w:p w14:paraId="69D53C7A" w14:textId="77777777" w:rsidR="00F16DB1" w:rsidRDefault="001E64C6">
      <w:bookmarkStart w:id="14" w:name="sec014"/>
      <w:pPr>
        <w:pStyle w:val="Heading2"/>
        <w:spacing w:before="280" w:after="120"/>
      </w:pPr>
      <w:r>
        <w:t>d. TDD factor / sensitivity toggles</w:t>
      </w:r>
      <w:bookmarkEnd w:id="14"/>
    </w:p>
    <w:p w14:paraId="347E0E3B" w14:textId="77777777" w:rsidR="00F16DB1" w:rsidRDefault="001E64C6">
      <w:pPr>
        <w:spacing w:after="160"/>
        <w:ind w:left="360" w:firstLine="0"/>
      </w:pPr>
      <w:r>
        <w:t xml:space="preserve">TDD Sensitivity (ISF/Basal) and TDD Factor (max_iob/insulinReq) both default on and quietly govern how much the blended-TDD ratio adjusts dosing in the background. Turning either off doesn't disable dosing — it just locks that </w:t>
      </w:r>
      <w:proofErr w:type="gramStart"/>
      <w:r>
        <w:t>particular ratio</w:t>
      </w:r>
      <w:proofErr w:type="gramEnd"/>
      <w:r>
        <w:t xml:space="preserve"> to neutral (1.0) or to the TDD Factor fallback value, which most users have never touched since it only matters while the toggle above it is off.</w:t>
      </w:r>
    </w:p>
    <w:p w14:paraId="62F4B537" w14:textId="77777777" w:rsidR="00F16DB1" w:rsidRDefault="001E64C6">
      <w:bookmarkStart w:id="15" w:name="sec015"/>
      <w:pPr>
        <w:pStyle w:val="Heading2"/>
        <w:spacing w:before="280" w:after="120"/>
      </w:pPr>
      <w:r>
        <w:t>e. The overnight safety-guard architecture</w:t>
      </w:r>
      <w:bookmarkEnd w:id="15"/>
    </w:p>
    <w:p w14:paraId="60D8D944" w14:textId="77777777" w:rsidR="00F16DB1" w:rsidRDefault="001E64C6">
      <w:pPr>
        <w:spacing w:after="160"/>
        <w:ind w:left="360" w:firstLine="0"/>
      </w:pPr>
      <w:r>
        <w:t xml:space="preserve">Built after two real hypoglycemia incidents (27 Jul and 6–7 Aug 2026), this is the most safety-critical cluster of settings/automations in the fork: NightIobCeiling (00:00–06:00) and EveningIobCeiling (20:00–00:00) cap iobTH/acce weight purely on time + current value; an escalating SMB anti-stacking trim plus a cumulative 10-minute SMB-sum cap in DetermineBasalAutoISF.kt measure delivered amount rather than rate; four sites unconditionally switch to the Low profile 22:00–06:00; and OvernightDuraRescue is a </w:t>
      </w:r>
      <w:r>
        <w:t>narrow, one-shot 02:00–04:00 exception that can switch back up when genuinely warranted. None of these have their own dedicated GUI toggle beyond the underlying weight/threshold settings they act on — they're time-and-condition-gated automations, not switches, so they can't be “turned off” from a menu even if a value they're capping looks wrong. See CLAUDE.md's own documentation of this architecture for the full mechanism and the known EveningTH/NightIobCeiling flip-flop regression pattern (§ “Other idiosyn</w:t>
      </w:r>
      <w:r>
        <w:t>crasies” below has the short version).</w:t>
      </w:r>
    </w:p>
    <w:p w14:paraId="7A14012F" w14:textId="77777777" w:rsidR="00F16DB1" w:rsidRDefault="001E64C6">
      <w:bookmarkStart w:id="16" w:name="sec016"/>
      <w:pPr>
        <w:pStyle w:val="Heading1"/>
        <w:spacing w:before="400" w:after="200"/>
      </w:pPr>
      <w:r>
        <w:t>4. Setting: If Steroids Are Needed</w:t>
      </w:r>
      <w:bookmarkEnd w:id="16"/>
    </w:p>
    <w:p w14:paraId="6C7E4F19" w14:textId="77777777" w:rsidR="00F16DB1" w:rsidRDefault="001E64C6">
      <w:pPr>
        <w:spacing w:after="160"/>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44AD68FE" w14:textId="77777777" w:rsidR="00F16DB1" w:rsidRDefault="001E64C6">
      <w:bookmarkStart w:id="17" w:name="sec017"/>
      <w:pPr>
        <w:pStyle w:val="Heading2"/>
        <w:spacing w:before="280" w:after="120"/>
      </w:pPr>
      <w:r>
        <w:t>a. Turning it on</w:t>
      </w:r>
      <w:bookmarkEnd w:id="17"/>
    </w:p>
    <w:p w14:paraId="4BA1BC4D" w14:textId="77777777" w:rsidR="00F16DB1" w:rsidRDefault="001E64C6">
      <w:pPr>
        <w:spacing w:after="100"/>
        <w:ind w:left="360" w:firstLine="0"/>
      </w:pPr>
      <w:r>
        <w:t>• GUI: “Steroid Kotlin button” setting (autoisf_steroid_kotlin_button_enabled, default on) shows a direct “Steroids ON” button on the Overview screen.</w:t>
      </w:r>
    </w:p>
    <w:p w14:paraId="16C1C29F" w14:textId="77777777" w:rsidR="00F16DB1" w:rsidRDefault="001E64C6">
      <w:pPr>
        <w:spacing w:after="100"/>
        <w:ind w:left="360" w:firstLine="0"/>
      </w:pPr>
      <w:r>
        <w:t>• Requires: BooleanKey.AutomationStatesEnabled must be on (see §1) — the whole chain silently no-ops otherwise.</w:t>
      </w:r>
    </w:p>
    <w:p w14:paraId="22540FC7" w14:textId="77777777" w:rsidR="00F16DB1" w:rsidRDefault="001E64C6">
      <w:pPr>
        <w:spacing w:after="100"/>
        <w:ind w:left="360" w:firstLine="0"/>
      </w:pPr>
      <w:r>
        <w:t>• Also reachable via a direct TT-code (a specific temp-target value used purely as a signal, not a real target) for remote/automated triggering without opening the app — see §6 for how TT-codes are used generally in this fork.</w:t>
      </w:r>
    </w:p>
    <w:p w14:paraId="0DEDF9BF" w14:textId="77777777" w:rsidR="00F16DB1" w:rsidRDefault="001E64C6">
      <w:bookmarkStart w:id="18" w:name="sec018"/>
      <w:pPr>
        <w:pStyle w:val="Heading2"/>
        <w:spacing w:before="280" w:after="120"/>
      </w:pPr>
      <w:r>
        <w:t>b. The escalation ladder</w:t>
      </w:r>
      <w:bookmarkEnd w:id="18"/>
    </w:p>
    <w:p w14:paraId="7D92CD8E" w14:textId="77777777" w:rsidR="00F16DB1" w:rsidRDefault="001E64C6">
      <w:pPr>
        <w:spacing w:after="160"/>
        <w:ind w:left="360" w:firstLine="0"/>
      </w:pPr>
      <w:r>
        <w:t>Each step requires the previous step's Automation State + profile match to still hold, switches to a named Steroid profile, and bumps iobTH percent and bgAccel_ISF_weight — each step is a deliberate, separate user action, not automatic escalation over time: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633585A3" w14:textId="77777777">
        <w:tblPrEx>
          <w:tblCellMar>
            <w:top w:w="0" w:type="dxa"/>
            <w:bottom w:w="0" w:type="dxa"/>
          </w:tblCellMar>
        </w:tblPrEx>
        <w:trPr>
          <w:tblHeader/>
        </w:trPr>
        <w:tc>
          <w:tcPr>
            <w:tcW w:w="2600" w:type="dxa"/>
            <w:shd w:val="clear" w:color="auto" w:fill="2F5496"/>
            <w:tcMar>
              <w:top w:w="80" w:type="dxa"/>
              <w:left w:w="100" w:type="dxa"/>
              <w:bottom w:w="80" w:type="dxa"/>
              <w:right w:w="100" w:type="dxa"/>
            </w:tcMar>
          </w:tcPr>
          <w:p w14:paraId="03E4B122" w14:textId="77777777" w:rsidR="00F16DB1" w:rsidRDefault="001E64C6">
            <w:r>
              <w:rPr>
                <w:b/>
                <w:bCs/>
                <w:color w:val="FFFFFF"/>
                <w:sz w:val="18"/>
                <w:szCs w:val="18"/>
              </w:rPr>
              <w:t>Step</w:t>
            </w:r>
          </w:p>
        </w:tc>
        <w:tc>
          <w:tcPr>
            <w:tcW w:w="3400" w:type="dxa"/>
            <w:shd w:val="clear" w:color="auto" w:fill="2F5496"/>
            <w:tcMar>
              <w:top w:w="80" w:type="dxa"/>
              <w:left w:w="100" w:type="dxa"/>
              <w:bottom w:w="80" w:type="dxa"/>
              <w:right w:w="100" w:type="dxa"/>
            </w:tcMar>
          </w:tcPr>
          <w:p w14:paraId="776C123B" w14:textId="77777777" w:rsidR="00F16DB1" w:rsidRDefault="001E64C6">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08045A12" w14:textId="77777777" w:rsidR="00F16DB1" w:rsidRDefault="001E64C6">
            <w:r>
              <w:rPr>
                <w:b/>
                <w:bCs/>
                <w:color w:val="FFFFFF"/>
                <w:sz w:val="18"/>
                <w:szCs w:val="18"/>
              </w:rPr>
              <w:t>iobTH %</w:t>
            </w:r>
          </w:p>
        </w:tc>
        <w:tc>
          <w:tcPr>
            <w:tcW w:w="1780" w:type="dxa"/>
            <w:shd w:val="clear" w:color="auto" w:fill="2F5496"/>
            <w:tcMar>
              <w:top w:w="80" w:type="dxa"/>
              <w:left w:w="100" w:type="dxa"/>
              <w:bottom w:w="80" w:type="dxa"/>
              <w:right w:w="100" w:type="dxa"/>
            </w:tcMar>
          </w:tcPr>
          <w:p w14:paraId="2A00291A" w14:textId="77777777" w:rsidR="00F16DB1" w:rsidRDefault="001E64C6">
            <w:r>
              <w:rPr>
                <w:b/>
                <w:bCs/>
                <w:color w:val="FFFFFF"/>
                <w:sz w:val="18"/>
                <w:szCs w:val="18"/>
              </w:rPr>
              <w:t>bgAccel weight</w:t>
            </w:r>
          </w:p>
        </w:tc>
      </w:tr>
      <w:tr w:rsidR="00F16DB1" w14:paraId="21E7C3DB" w14:textId="77777777">
        <w:tblPrEx>
          <w:tblCellMar>
            <w:top w:w="0" w:type="dxa"/>
            <w:bottom w:w="0" w:type="dxa"/>
          </w:tblCellMar>
        </w:tblPrEx>
        <w:tc>
          <w:tcPr>
            <w:tcW w:w="2600" w:type="dxa"/>
            <w:tcMar>
              <w:top w:w="80" w:type="dxa"/>
              <w:left w:w="100" w:type="dxa"/>
              <w:bottom w:w="80" w:type="dxa"/>
              <w:right w:w="100" w:type="dxa"/>
            </w:tcMar>
          </w:tcPr>
          <w:p w14:paraId="1754AB17" w14:textId="77777777" w:rsidR="00F16DB1" w:rsidRDefault="001E64C6">
            <w:r>
              <w:rPr>
                <w:sz w:val="18"/>
                <w:szCs w:val="18"/>
              </w:rPr>
              <w:t>START (110%)</w:t>
            </w:r>
          </w:p>
        </w:tc>
        <w:tc>
          <w:tcPr>
            <w:tcW w:w="3400" w:type="dxa"/>
            <w:tcMar>
              <w:top w:w="80" w:type="dxa"/>
              <w:left w:w="100" w:type="dxa"/>
              <w:bottom w:w="80" w:type="dxa"/>
              <w:right w:w="100" w:type="dxa"/>
            </w:tcMar>
          </w:tcPr>
          <w:p w14:paraId="263441E9" w14:textId="77777777" w:rsidR="00F16DB1" w:rsidRDefault="001E64C6">
            <w:r>
              <w:rPr>
                <w:sz w:val="18"/>
                <w:szCs w:val="18"/>
              </w:rPr>
              <w:t>Steroid Profile110</w:t>
            </w:r>
          </w:p>
        </w:tc>
        <w:tc>
          <w:tcPr>
            <w:tcW w:w="1300" w:type="dxa"/>
            <w:tcMar>
              <w:top w:w="80" w:type="dxa"/>
              <w:left w:w="100" w:type="dxa"/>
              <w:bottom w:w="80" w:type="dxa"/>
              <w:right w:w="100" w:type="dxa"/>
            </w:tcMar>
          </w:tcPr>
          <w:p w14:paraId="3DD15618" w14:textId="77777777" w:rsidR="00F16DB1" w:rsidRDefault="001E64C6">
            <w:r>
              <w:rPr>
                <w:sz w:val="18"/>
                <w:szCs w:val="18"/>
              </w:rPr>
              <w:t>71</w:t>
            </w:r>
          </w:p>
        </w:tc>
        <w:tc>
          <w:tcPr>
            <w:tcW w:w="1780" w:type="dxa"/>
            <w:tcMar>
              <w:top w:w="80" w:type="dxa"/>
              <w:left w:w="100" w:type="dxa"/>
              <w:bottom w:w="80" w:type="dxa"/>
              <w:right w:w="100" w:type="dxa"/>
            </w:tcMar>
          </w:tcPr>
          <w:p w14:paraId="22E0B761" w14:textId="77777777" w:rsidR="00F16DB1" w:rsidRDefault="001E64C6">
            <w:r>
              <w:rPr>
                <w:sz w:val="18"/>
                <w:szCs w:val="18"/>
              </w:rPr>
              <w:t>0.70</w:t>
            </w:r>
          </w:p>
        </w:tc>
      </w:tr>
      <w:tr w:rsidR="00F16DB1" w14:paraId="11E98403" w14:textId="77777777">
        <w:tblPrEx>
          <w:tblCellMar>
            <w:top w:w="0" w:type="dxa"/>
            <w:bottom w:w="0" w:type="dxa"/>
          </w:tblCellMar>
        </w:tblPrEx>
        <w:tc>
          <w:tcPr>
            <w:tcW w:w="2600" w:type="dxa"/>
            <w:tcMar>
              <w:top w:w="80" w:type="dxa"/>
              <w:left w:w="100" w:type="dxa"/>
              <w:bottom w:w="80" w:type="dxa"/>
              <w:right w:w="100" w:type="dxa"/>
            </w:tcMar>
          </w:tcPr>
          <w:p w14:paraId="53516433" w14:textId="77777777" w:rsidR="00F16DB1" w:rsidRDefault="001E64C6">
            <w:r>
              <w:rPr>
                <w:sz w:val="18"/>
                <w:szCs w:val="18"/>
              </w:rPr>
              <w:t>INCREASE (130%)</w:t>
            </w:r>
          </w:p>
        </w:tc>
        <w:tc>
          <w:tcPr>
            <w:tcW w:w="3400" w:type="dxa"/>
            <w:tcMar>
              <w:top w:w="80" w:type="dxa"/>
              <w:left w:w="100" w:type="dxa"/>
              <w:bottom w:w="80" w:type="dxa"/>
              <w:right w:w="100" w:type="dxa"/>
            </w:tcMar>
          </w:tcPr>
          <w:p w14:paraId="747DE8D8" w14:textId="77777777" w:rsidR="00F16DB1" w:rsidRDefault="001E64C6">
            <w:r>
              <w:rPr>
                <w:sz w:val="18"/>
                <w:szCs w:val="18"/>
              </w:rPr>
              <w:t>Steroid Profile130</w:t>
            </w:r>
          </w:p>
        </w:tc>
        <w:tc>
          <w:tcPr>
            <w:tcW w:w="1300" w:type="dxa"/>
            <w:tcMar>
              <w:top w:w="80" w:type="dxa"/>
              <w:left w:w="100" w:type="dxa"/>
              <w:bottom w:w="80" w:type="dxa"/>
              <w:right w:w="100" w:type="dxa"/>
            </w:tcMar>
          </w:tcPr>
          <w:p w14:paraId="1D5A8B06" w14:textId="77777777" w:rsidR="00F16DB1" w:rsidRDefault="001E64C6">
            <w:r>
              <w:rPr>
                <w:sz w:val="18"/>
                <w:szCs w:val="18"/>
              </w:rPr>
              <w:t>73</w:t>
            </w:r>
          </w:p>
        </w:tc>
        <w:tc>
          <w:tcPr>
            <w:tcW w:w="1780" w:type="dxa"/>
            <w:tcMar>
              <w:top w:w="80" w:type="dxa"/>
              <w:left w:w="100" w:type="dxa"/>
              <w:bottom w:w="80" w:type="dxa"/>
              <w:right w:w="100" w:type="dxa"/>
            </w:tcMar>
          </w:tcPr>
          <w:p w14:paraId="35943607" w14:textId="77777777" w:rsidR="00F16DB1" w:rsidRDefault="001E64C6">
            <w:r>
              <w:rPr>
                <w:sz w:val="18"/>
                <w:szCs w:val="18"/>
              </w:rPr>
              <w:t>0.70</w:t>
            </w:r>
          </w:p>
        </w:tc>
      </w:tr>
      <w:tr w:rsidR="00F16DB1" w14:paraId="62602D32" w14:textId="77777777">
        <w:tblPrEx>
          <w:tblCellMar>
            <w:top w:w="0" w:type="dxa"/>
            <w:bottom w:w="0" w:type="dxa"/>
          </w:tblCellMar>
        </w:tblPrEx>
        <w:tc>
          <w:tcPr>
            <w:tcW w:w="2600" w:type="dxa"/>
            <w:tcMar>
              <w:top w:w="80" w:type="dxa"/>
              <w:left w:w="100" w:type="dxa"/>
              <w:bottom w:w="80" w:type="dxa"/>
              <w:right w:w="100" w:type="dxa"/>
            </w:tcMar>
          </w:tcPr>
          <w:p w14:paraId="467A15EC" w14:textId="77777777" w:rsidR="00F16DB1" w:rsidRDefault="001E64C6">
            <w:r>
              <w:rPr>
                <w:sz w:val="18"/>
                <w:szCs w:val="18"/>
              </w:rPr>
              <w:t>INCREASE (150%)</w:t>
            </w:r>
          </w:p>
        </w:tc>
        <w:tc>
          <w:tcPr>
            <w:tcW w:w="3400" w:type="dxa"/>
            <w:tcMar>
              <w:top w:w="80" w:type="dxa"/>
              <w:left w:w="100" w:type="dxa"/>
              <w:bottom w:w="80" w:type="dxa"/>
              <w:right w:w="100" w:type="dxa"/>
            </w:tcMar>
          </w:tcPr>
          <w:p w14:paraId="54A7C65D" w14:textId="77777777" w:rsidR="00F16DB1" w:rsidRDefault="001E64C6">
            <w:r>
              <w:rPr>
                <w:sz w:val="18"/>
                <w:szCs w:val="18"/>
              </w:rPr>
              <w:t>Steroid Profile150</w:t>
            </w:r>
          </w:p>
        </w:tc>
        <w:tc>
          <w:tcPr>
            <w:tcW w:w="1300" w:type="dxa"/>
            <w:tcMar>
              <w:top w:w="80" w:type="dxa"/>
              <w:left w:w="100" w:type="dxa"/>
              <w:bottom w:w="80" w:type="dxa"/>
              <w:right w:w="100" w:type="dxa"/>
            </w:tcMar>
          </w:tcPr>
          <w:p w14:paraId="4371D080" w14:textId="77777777" w:rsidR="00F16DB1" w:rsidRDefault="001E64C6">
            <w:r>
              <w:rPr>
                <w:sz w:val="18"/>
                <w:szCs w:val="18"/>
              </w:rPr>
              <w:t>74</w:t>
            </w:r>
          </w:p>
        </w:tc>
        <w:tc>
          <w:tcPr>
            <w:tcW w:w="1780" w:type="dxa"/>
            <w:tcMar>
              <w:top w:w="80" w:type="dxa"/>
              <w:left w:w="100" w:type="dxa"/>
              <w:bottom w:w="80" w:type="dxa"/>
              <w:right w:w="100" w:type="dxa"/>
            </w:tcMar>
          </w:tcPr>
          <w:p w14:paraId="00589BDD" w14:textId="77777777" w:rsidR="00F16DB1" w:rsidRDefault="001E64C6">
            <w:r>
              <w:rPr>
                <w:sz w:val="18"/>
                <w:szCs w:val="18"/>
              </w:rPr>
              <w:t>0.70</w:t>
            </w:r>
          </w:p>
        </w:tc>
      </w:tr>
      <w:tr w:rsidR="00F16DB1" w14:paraId="3B7F06EF" w14:textId="77777777">
        <w:tblPrEx>
          <w:tblCellMar>
            <w:top w:w="0" w:type="dxa"/>
            <w:bottom w:w="0" w:type="dxa"/>
          </w:tblCellMar>
        </w:tblPrEx>
        <w:tc>
          <w:tcPr>
            <w:tcW w:w="2600" w:type="dxa"/>
            <w:tcMar>
              <w:top w:w="80" w:type="dxa"/>
              <w:left w:w="100" w:type="dxa"/>
              <w:bottom w:w="80" w:type="dxa"/>
              <w:right w:w="100" w:type="dxa"/>
            </w:tcMar>
          </w:tcPr>
          <w:p w14:paraId="1EB2D50C" w14:textId="77777777" w:rsidR="00F16DB1" w:rsidRDefault="001E64C6">
            <w:r>
              <w:rPr>
                <w:sz w:val="18"/>
                <w:szCs w:val="18"/>
              </w:rPr>
              <w:t>INCREASE (190%)</w:t>
            </w:r>
          </w:p>
        </w:tc>
        <w:tc>
          <w:tcPr>
            <w:tcW w:w="3400" w:type="dxa"/>
            <w:tcMar>
              <w:top w:w="80" w:type="dxa"/>
              <w:left w:w="100" w:type="dxa"/>
              <w:bottom w:w="80" w:type="dxa"/>
              <w:right w:w="100" w:type="dxa"/>
            </w:tcMar>
          </w:tcPr>
          <w:p w14:paraId="4DA3F537" w14:textId="77777777" w:rsidR="00F16DB1" w:rsidRDefault="001E64C6">
            <w:r>
              <w:rPr>
                <w:sz w:val="18"/>
                <w:szCs w:val="18"/>
              </w:rPr>
              <w:t>Current Profile190Real</w:t>
            </w:r>
          </w:p>
        </w:tc>
        <w:tc>
          <w:tcPr>
            <w:tcW w:w="1300" w:type="dxa"/>
            <w:tcMar>
              <w:top w:w="80" w:type="dxa"/>
              <w:left w:w="100" w:type="dxa"/>
              <w:bottom w:w="80" w:type="dxa"/>
              <w:right w:w="100" w:type="dxa"/>
            </w:tcMar>
          </w:tcPr>
          <w:p w14:paraId="2603203D" w14:textId="77777777" w:rsidR="00F16DB1" w:rsidRDefault="001E64C6">
            <w:r>
              <w:rPr>
                <w:sz w:val="18"/>
                <w:szCs w:val="18"/>
              </w:rPr>
              <w:t>75</w:t>
            </w:r>
          </w:p>
        </w:tc>
        <w:tc>
          <w:tcPr>
            <w:tcW w:w="1780" w:type="dxa"/>
            <w:tcMar>
              <w:top w:w="80" w:type="dxa"/>
              <w:left w:w="100" w:type="dxa"/>
              <w:bottom w:w="80" w:type="dxa"/>
              <w:right w:w="100" w:type="dxa"/>
            </w:tcMar>
          </w:tcPr>
          <w:p w14:paraId="60F89528" w14:textId="77777777" w:rsidR="00F16DB1" w:rsidRDefault="001E64C6">
            <w:r>
              <w:rPr>
                <w:sz w:val="18"/>
                <w:szCs w:val="18"/>
              </w:rPr>
              <w:t>0.70</w:t>
            </w:r>
          </w:p>
        </w:tc>
      </w:tr>
      <w:tr w:rsidR="00F16DB1" w14:paraId="7EE9E404" w14:textId="77777777">
        <w:tblPrEx>
          <w:tblCellMar>
            <w:top w:w="0" w:type="dxa"/>
            <w:bottom w:w="0" w:type="dxa"/>
          </w:tblCellMar>
        </w:tblPrEx>
        <w:tc>
          <w:tcPr>
            <w:tcW w:w="2600" w:type="dxa"/>
            <w:tcMar>
              <w:top w:w="80" w:type="dxa"/>
              <w:left w:w="100" w:type="dxa"/>
              <w:bottom w:w="80" w:type="dxa"/>
              <w:right w:w="100" w:type="dxa"/>
            </w:tcMar>
          </w:tcPr>
          <w:p w14:paraId="1339CBC7" w14:textId="77777777" w:rsidR="00F16DB1" w:rsidRDefault="001E64C6">
            <w:r>
              <w:rPr>
                <w:sz w:val="18"/>
                <w:szCs w:val="18"/>
              </w:rPr>
              <w:t>INCREASE (250%)</w:t>
            </w:r>
          </w:p>
        </w:tc>
        <w:tc>
          <w:tcPr>
            <w:tcW w:w="3400" w:type="dxa"/>
            <w:tcMar>
              <w:top w:w="80" w:type="dxa"/>
              <w:left w:w="100" w:type="dxa"/>
              <w:bottom w:w="80" w:type="dxa"/>
              <w:right w:w="100" w:type="dxa"/>
            </w:tcMar>
          </w:tcPr>
          <w:p w14:paraId="2B4B59AD" w14:textId="77777777" w:rsidR="00F16DB1" w:rsidRDefault="001E64C6">
            <w:r>
              <w:rPr>
                <w:sz w:val="18"/>
                <w:szCs w:val="18"/>
              </w:rPr>
              <w:t>Current ProfileReal250</w:t>
            </w:r>
          </w:p>
        </w:tc>
        <w:tc>
          <w:tcPr>
            <w:tcW w:w="1300" w:type="dxa"/>
            <w:tcMar>
              <w:top w:w="80" w:type="dxa"/>
              <w:left w:w="100" w:type="dxa"/>
              <w:bottom w:w="80" w:type="dxa"/>
              <w:right w:w="100" w:type="dxa"/>
            </w:tcMar>
          </w:tcPr>
          <w:p w14:paraId="04BC0729" w14:textId="77777777" w:rsidR="00F16DB1" w:rsidRDefault="001E64C6">
            <w:r>
              <w:rPr>
                <w:sz w:val="18"/>
                <w:szCs w:val="18"/>
              </w:rPr>
              <w:t>76</w:t>
            </w:r>
          </w:p>
        </w:tc>
        <w:tc>
          <w:tcPr>
            <w:tcW w:w="1780" w:type="dxa"/>
            <w:tcMar>
              <w:top w:w="80" w:type="dxa"/>
              <w:left w:w="100" w:type="dxa"/>
              <w:bottom w:w="80" w:type="dxa"/>
              <w:right w:w="100" w:type="dxa"/>
            </w:tcMar>
          </w:tcPr>
          <w:p w14:paraId="3C6B640C" w14:textId="77777777" w:rsidR="00F16DB1" w:rsidRDefault="001E64C6">
            <w:r>
              <w:rPr>
                <w:sz w:val="18"/>
                <w:szCs w:val="18"/>
              </w:rPr>
              <w:t>0.70</w:t>
            </w:r>
          </w:p>
        </w:tc>
      </w:tr>
      <w:tr w:rsidR="00F16DB1" w14:paraId="7001B835" w14:textId="77777777">
        <w:tblPrEx>
          <w:tblCellMar>
            <w:top w:w="0" w:type="dxa"/>
            <w:bottom w:w="0" w:type="dxa"/>
          </w:tblCellMar>
        </w:tblPrEx>
        <w:tc>
          <w:tcPr>
            <w:tcW w:w="2600" w:type="dxa"/>
            <w:tcMar>
              <w:top w:w="80" w:type="dxa"/>
              <w:left w:w="100" w:type="dxa"/>
              <w:bottom w:w="80" w:type="dxa"/>
              <w:right w:w="100" w:type="dxa"/>
            </w:tcMar>
          </w:tcPr>
          <w:p w14:paraId="6DDD6E7A" w14:textId="77777777" w:rsidR="00F16DB1" w:rsidRDefault="001E64C6">
            <w:r>
              <w:rPr>
                <w:sz w:val="18"/>
                <w:szCs w:val="18"/>
              </w:rPr>
              <w:t>TURN OFF</w:t>
            </w:r>
          </w:p>
        </w:tc>
        <w:tc>
          <w:tcPr>
            <w:tcW w:w="3400" w:type="dxa"/>
            <w:tcMar>
              <w:top w:w="80" w:type="dxa"/>
              <w:left w:w="100" w:type="dxa"/>
              <w:bottom w:w="80" w:type="dxa"/>
              <w:right w:w="100" w:type="dxa"/>
            </w:tcMar>
          </w:tcPr>
          <w:p w14:paraId="62E4366E" w14:textId="77777777" w:rsidR="00F16DB1" w:rsidRDefault="001E64C6">
            <w:r>
              <w:rPr>
                <w:sz w:val="18"/>
                <w:szCs w:val="18"/>
              </w:rPr>
              <w:t>Current ProfileReal</w:t>
            </w:r>
          </w:p>
        </w:tc>
        <w:tc>
          <w:tcPr>
            <w:tcW w:w="1300" w:type="dxa"/>
            <w:tcMar>
              <w:top w:w="80" w:type="dxa"/>
              <w:left w:w="100" w:type="dxa"/>
              <w:bottom w:w="80" w:type="dxa"/>
              <w:right w:w="100" w:type="dxa"/>
            </w:tcMar>
          </w:tcPr>
          <w:p w14:paraId="6808FA64" w14:textId="77777777" w:rsidR="00F16DB1" w:rsidRDefault="001E64C6">
            <w:r>
              <w:rPr>
                <w:sz w:val="18"/>
                <w:szCs w:val="18"/>
              </w:rPr>
              <w:t>71</w:t>
            </w:r>
          </w:p>
        </w:tc>
        <w:tc>
          <w:tcPr>
            <w:tcW w:w="1780" w:type="dxa"/>
            <w:tcMar>
              <w:top w:w="80" w:type="dxa"/>
              <w:left w:w="100" w:type="dxa"/>
              <w:bottom w:w="80" w:type="dxa"/>
              <w:right w:w="100" w:type="dxa"/>
            </w:tcMar>
          </w:tcPr>
          <w:p w14:paraId="3B7AC5C4" w14:textId="77777777" w:rsidR="00F16DB1" w:rsidRDefault="001E64C6">
            <w:r>
              <w:rPr>
                <w:sz w:val="18"/>
                <w:szCs w:val="18"/>
              </w:rPr>
              <w:t>0.71</w:t>
            </w:r>
          </w:p>
        </w:tc>
      </w:tr>
    </w:tbl>
    <w:p w14:paraId="0D04B873" w14:textId="77777777" w:rsidR="00F16DB1" w:rsidRDefault="001E64C6">
      <w:pPr>
        <w:spacing w:after="160"/>
        <w:ind w:left="360" w:firstLine="0"/>
      </w:pPr>
      <w:r>
        <w:t>Every step re-validates its own preconditions right before executing (profile percentage still 100, the right prior Automation State still active) and silently aborts with an overview refresh if something changed in the meantime — e.g. pressing “increase” after someone already turned steroids off elsewhere does nothing rather than acting on stale intent. Each step also fires a confirmatory SMS and a distinct CarePortal note (SteroidsON, Steroids130, Steroids150, Steroids190, Steroids250, SteroidsOff), and s</w:t>
      </w:r>
      <w:r>
        <w:t xml:space="preserve">everal unrelated automations elsewhere in the fork explicitly check </w:t>
      </w:r>
      <w:proofErr w:type="gramStart"/>
      <w:r>
        <w:t>checkAutomationState(</w:t>
      </w:r>
      <w:proofErr w:type="gramEnd"/>
      <w:r>
        <w:t>"Steroids", "Steroids Off") as one of their own preconditions — turning steroids on doesn't just change dosing directly, it also silences a number of other automations that assume a normal (non-steroid) state.</w:t>
      </w:r>
    </w:p>
    <w:p>
      <w:bookmarkStart w:id="19" w:name="sec019"/>
      <w:pPr>
        <w:pStyle w:val="Heading1"/>
      </w:pPr>
      <w:r>
        <w:t>5. Mounjaro (MJ): three-day reduced-insulin cycle</w:t>
      </w:r>
      <w:bookmarkEnd w:id="19"/>
    </w:p>
    <w:p>
      <w:pPr/>
      <w:r>
        <w:t>MJ means Mounjaro in this fork. It does not mean Morning Jog.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bookmarkStart w:id="20" w:name="sec020"/>
      <w:pPr>
        <w:pStyle w:val="Heading2"/>
      </w:pPr>
      <w:r>
        <w:t>a. Starting the cycle</w:t>
      </w:r>
      <w:bookmarkEnd w:id="20"/>
    </w:p>
    <w:p>
      <w:pPr>
        <w:ind w:left="360" w:firstLine="0"/>
      </w:pPr>
      <w:r>
        <w:t>The start button is offered when Automation State MJ is NOMJremains. Automation States must be enabled; otherwise the action returns without changing anything. After confirmation, the code sends the SMS “Injection MJ 0.35_.70”, creates an urgent MJ notification and graph announcement, sets bgAccel_ISF_weight to 0.35, sets iob_threshold_percent to 70, switches to the configured Low Profile, changes MJ to MJ active, and writes the CarePortal note “MJ active”.</w:t>
      </w:r>
    </w:p>
    <w:p>
      <w:pPr>
        <w:ind w:left="360" w:firstLine="0"/>
      </w:pPr>
      <w:r>
        <w:t>The button wording says “3 days of 80%”, but the Kotlin action does not hard-code an 80% temporary profile percentage. It selects the profile named by the Low Profile setting. Whether that profile represents 80% depends on the user’s configured profile; the manual must therefore describe it as the configured Low Profile rather than promise a fixed 80%.</w:t>
      </w:r>
    </w:p>
    <w:p>
      <w:bookmarkStart w:id="21" w:name="sec021"/>
      <w:pPr>
        <w:pStyle w:val="Heading2"/>
      </w:pPr>
      <w:r>
        <w:t>b. Day-by-day state progression</w:t>
      </w:r>
      <w:bookmarkEnd w:id="21"/>
    </w:p>
    <w:p>
      <w:pPr>
        <w:ind w:left="360" w:firstLine="0"/>
      </w:pPr>
      <w:r>
        <w:t>Day 1 — MJ active: this state begins immediately after the Mounjaro start action. While MJ is literally MJ active, several automations apply their MJ-specific branches or block stronger non-MJ behavior.</w:t>
      </w:r>
    </w:p>
    <w:p>
      <w:pPr>
        <w:ind w:left="360" w:firstLine="0"/>
      </w:pPr>
      <w:r>
        <w:t>Day 2 — MJ2: when MJ is still MJ active, the MJ2 automation can advance it to MJ2 during 02:10–03:10. It sends “MJ2” and records the CarePortal note MJ2.</w:t>
      </w:r>
    </w:p>
    <w:p>
      <w:pPr>
        <w:ind w:left="360" w:firstLine="0"/>
      </w:pPr>
      <w:r>
        <w:t>Day 3 — MJ3: when MJ is MJ2, the MJ3 automation can advance it to MJ3 during 01:05–02:05 on a later pass through that window. It sends “MJ3” and records the CarePortal note MJ3.</w:t>
      </w:r>
    </w:p>
    <w:p>
      <w:pPr>
        <w:ind w:left="360" w:firstLine="0"/>
      </w:pPr>
      <w:r>
        <w:t>These are clock-window transitions, not elapsed-day calculations. The precise wall-clock duration therefore depends on when the start button was pressed and whether the app ran during each transition window. The states represent the intended three-stage course, but the code does not independently prove that exactly three full 24-hour periods have elapsed.</w:t>
      </w:r>
    </w:p>
    <w:p>
      <w:bookmarkStart w:id="22" w:name="sec022"/>
      <w:pPr>
        <w:pStyle w:val="Heading2"/>
      </w:pPr>
      <w:r>
        <w:t>c. What changes while MJ remains active</w:t>
      </w:r>
      <w:bookmarkEnd w:id="22"/>
    </w:p>
    <w:p>
      <w:pPr>
        <w:ind w:left="360" w:firstLine="0"/>
      </w:pPr>
      <w:r>
        <w:t>The immediate start action applies the configured Low Profile, acceleration weight 0.35, and IOB-threshold percentage 70. The MJ state is also read throughout the automation layer: it changes eligibility for profile restoration, bolus/post-bolus handling, evening and overnight thresholds, time-of-day offset resets, and several high-glucose or steroid actions. Consequently, MJ is not only a label; it is a shared gate that changes which other automations may run.</w:t>
      </w:r>
    </w:p>
    <w:p>
      <w:pPr>
        <w:ind w:left="360" w:firstLine="0"/>
      </w:pPr>
      <w:r>
        <w:t>Some checks intentionally distinguish MJ active from later MJ2/MJ3 states. In particular, mjActive() is true only for the literal MJ active state. Other checks distinguish NOMJremains from every active-stage value. This means the behavior can change as the cycle advances even before it is fully cleared.</w:t>
      </w:r>
    </w:p>
    <w:p>
      <w:bookmarkStart w:id="23" w:name="sec023"/>
      <w:pPr>
        <w:pStyle w:val="Heading2"/>
      </w:pPr>
      <w:r>
        <w:t>d. Hypoglycaemia warnings and protective overrides</w:t>
      </w:r>
      <w:bookmarkEnd w:id="23"/>
    </w:p>
    <w:p>
      <w:pPr>
        <w:ind w:left="360" w:firstLine="0"/>
      </w:pPr>
      <w:r>
        <w:t>Hypoglycaemia warnings do not automatically mean “cancel MJ and restore 100%”. GentleHypoRisk, AlarmHypo1, AlarmHypo2, the 50% profile machinery, and related HP/HP2 checks can lower acceleration weighting, lower the IOB threshold, set protective low/recent-low states, or apply a protective profile/temporary target while the MJ cycle remains relevant.</w:t>
      </w:r>
    </w:p>
    <w:p>
      <w:pPr>
        <w:ind w:left="360" w:firstLine="0"/>
      </w:pPr>
      <w:r>
        <w:t>The MoreMJ automation can advance MJ directly to MJ3 when its low-risk conditions are met: very low acceleration weight, low recent activity, glucose below 5.5 mmol/L, a 50% profile, no COB, more than 210 minutes since the last bolus, recent-low state, and at least 0.2 U IOB. A separate path can also set MJ3 when no raw Libre value above 12 mmol/L has been seen in the preceding 48 hours. This advances the cycle toward its exit state; it is not the same as immediately restoring the standard profile.</w:t>
      </w:r>
    </w:p>
    <w:p>
      <w:pPr>
        <w:ind w:left="360" w:firstLine="0"/>
      </w:pPr>
      <w:r>
        <w:t>Because the protective automations and MJ state machine are separate mechanisms, a hypoglycaemia alert should be treated as an override requiring attention, not as evidence that the three-day cycle has already been completely cleared.</w:t>
      </w:r>
    </w:p>
    <w:p>
      <w:bookmarkStart w:id="24" w:name="sec024"/>
      <w:pPr>
        <w:pStyle w:val="Heading2"/>
      </w:pPr>
      <w:r>
        <w:t>e. Automatic exit and manual restoration</w:t>
      </w:r>
      <w:bookmarkEnd w:id="24"/>
    </w:p>
    <w:p>
      <w:pPr>
        <w:ind w:left="360" w:firstLine="0"/>
      </w:pPr>
      <w:r>
        <w:t>Once MJ is MJ3, MJoff can set it to NOMJremains either between 00:00 and 01:00, or between 12:00 and 21:04 when glucose is at least 10.5 mmol/L. This clears the MJ state and records an MJoff note. The automatic MJoff action itself changes the state; it does not explicitly restore all profile and weight settings in the same block.</w:t>
      </w:r>
    </w:p>
    <w:p>
      <w:pPr>
        <w:ind w:left="360" w:firstLine="0"/>
      </w:pPr>
      <w:r>
        <w:t>The manual restore button is shown for any MJ value other than NOMJremains and is labelled for a dose four or more days old, or whenever the user wants to restore the 100% strategy. It switches to the configured Standard Profile, sets acceleration weight to 0.50, sets the IOB-threshold percentage to 70, changes MJ to NOMJremains, sends “MJ dose 4+ days old”, and writes the CarePortal note NOMJremains.</w:t>
      </w:r>
    </w:p>
    <w:p w14:paraId="3CC40E6E" w14:textId="77777777" w:rsidR="00F16DB1" w:rsidRDefault="001E64C6">
      <w:bookmarkStart w:id="25" w:name="sec025"/>
      <w:pPr>
        <w:pStyle w:val="Heading1"/>
        <w:spacing w:before="400" w:after="200"/>
      </w:pPr>
      <w:r>
        <w:t>6. Mechanism For Ignoring Or Invoking Native Automations</w:t>
      </w:r>
      <w:bookmarkEnd w:id="25"/>
    </w:p>
    <w:p w14:paraId="486A753E" w14:textId="77777777" w:rsidR="00F16DB1" w:rsidRDefault="001E64C6">
      <w:pPr>
        <w:spacing w:after="160"/>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w:t>
      </w:r>
      <w:r>
        <w:t>nce from each system) unless something reconciles them.</w:t>
      </w:r>
    </w:p>
    <w:p w14:paraId="372098DA" w14:textId="77777777" w:rsidR="00F16DB1" w:rsidRDefault="001E64C6">
      <w:bookmarkStart w:id="26" w:name="sec026"/>
      <w:pPr>
        <w:pStyle w:val="Heading2"/>
        <w:spacing w:before="280" w:after="120"/>
      </w:pPr>
      <w:r>
        <w:t>a. The reconciliation mechanism</w:t>
      </w:r>
      <w:bookmarkEnd w:id="26"/>
    </w:p>
    <w:p w14:paraId="7894A80D" w14:textId="77777777" w:rsidR="00F16DB1" w:rsidRDefault="001E64C6">
      <w:pPr>
        <w:spacing w:after="160"/>
        <w:ind w:left="360" w:firstLine="0"/>
      </w:pPr>
      <w:r>
        <w:t>CodedAutomationNames.kt keeps a hand-maintained registry of every readyToRun()/</w:t>
      </w:r>
      <w:proofErr w:type="gramStart"/>
      <w:r>
        <w:t>markRun(</w:t>
      </w:r>
      <w:proofErr w:type="gramEnd"/>
      <w:r>
        <w:t xml:space="preserve">) key used by the coded-automation layer (currently 100+ keys, extracted via a documented grep one-liner whenever the list drifts). AutomationPlugin.kt classifies each native Automation-tab event's title against that registry every time it decides whether to </w:t>
      </w:r>
      <w:proofErr w:type="gramStart"/>
      <w:r>
        <w:t>actually run</w:t>
      </w:r>
      <w:proofErr w:type="gramEnd"/>
      <w:r>
        <w:t xml:space="preserve"> a native event: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04156675" w14:textId="77777777">
        <w:tblPrEx>
          <w:tblCellMar>
            <w:top w:w="0" w:type="dxa"/>
            <w:bottom w:w="0" w:type="dxa"/>
          </w:tblCellMar>
        </w:tblPrEx>
        <w:trPr>
          <w:tblHeader/>
        </w:trPr>
        <w:tc>
          <w:tcPr>
            <w:tcW w:w="1400" w:type="dxa"/>
            <w:shd w:val="clear" w:color="auto" w:fill="2F5496"/>
            <w:tcMar>
              <w:top w:w="80" w:type="dxa"/>
              <w:left w:w="100" w:type="dxa"/>
              <w:bottom w:w="80" w:type="dxa"/>
              <w:right w:w="100" w:type="dxa"/>
            </w:tcMar>
          </w:tcPr>
          <w:p w14:paraId="79FFF826" w14:textId="77777777" w:rsidR="00F16DB1" w:rsidRDefault="001E64C6">
            <w:r>
              <w:rPr>
                <w:b/>
                <w:bCs/>
                <w:color w:val="FFFFFF"/>
                <w:sz w:val="18"/>
                <w:szCs w:val="18"/>
              </w:rPr>
              <w:t>Match</w:t>
            </w:r>
          </w:p>
        </w:tc>
        <w:tc>
          <w:tcPr>
            <w:tcW w:w="4400" w:type="dxa"/>
            <w:shd w:val="clear" w:color="auto" w:fill="2F5496"/>
            <w:tcMar>
              <w:top w:w="80" w:type="dxa"/>
              <w:left w:w="100" w:type="dxa"/>
              <w:bottom w:w="80" w:type="dxa"/>
              <w:right w:w="100" w:type="dxa"/>
            </w:tcMar>
          </w:tcPr>
          <w:p w14:paraId="6BDFCCB4" w14:textId="77777777" w:rsidR="00F16DB1" w:rsidRDefault="001E64C6">
            <w:r>
              <w:rPr>
                <w:b/>
                <w:bCs/>
                <w:color w:val="FFFFFF"/>
                <w:sz w:val="18"/>
                <w:szCs w:val="18"/>
              </w:rPr>
              <w:t>Meaning</w:t>
            </w:r>
          </w:p>
        </w:tc>
        <w:tc>
          <w:tcPr>
            <w:tcW w:w="3780" w:type="dxa"/>
            <w:shd w:val="clear" w:color="auto" w:fill="2F5496"/>
            <w:tcMar>
              <w:top w:w="80" w:type="dxa"/>
              <w:left w:w="100" w:type="dxa"/>
              <w:bottom w:w="80" w:type="dxa"/>
              <w:right w:w="100" w:type="dxa"/>
            </w:tcMar>
          </w:tcPr>
          <w:p w14:paraId="03BCFBD2" w14:textId="77777777" w:rsidR="00F16DB1" w:rsidRDefault="001E64C6">
            <w:r>
              <w:rPr>
                <w:b/>
                <w:bCs/>
                <w:color w:val="FFFFFF"/>
                <w:sz w:val="18"/>
                <w:szCs w:val="18"/>
              </w:rPr>
              <w:t>Effect on the native event</w:t>
            </w:r>
          </w:p>
        </w:tc>
      </w:tr>
      <w:tr w:rsidR="00F16DB1" w14:paraId="31CB8247" w14:textId="77777777">
        <w:tblPrEx>
          <w:tblCellMar>
            <w:top w:w="0" w:type="dxa"/>
            <w:bottom w:w="0" w:type="dxa"/>
          </w:tblCellMar>
        </w:tblPrEx>
        <w:tc>
          <w:tcPr>
            <w:tcW w:w="1400" w:type="dxa"/>
            <w:tcMar>
              <w:top w:w="80" w:type="dxa"/>
              <w:left w:w="100" w:type="dxa"/>
              <w:bottom w:w="80" w:type="dxa"/>
              <w:right w:w="100" w:type="dxa"/>
            </w:tcMar>
          </w:tcPr>
          <w:p w14:paraId="44084EB3" w14:textId="77777777" w:rsidR="00F16DB1" w:rsidRDefault="001E64C6">
            <w:r>
              <w:rPr>
                <w:sz w:val="18"/>
                <w:szCs w:val="18"/>
              </w:rPr>
              <w:t>EXACT</w:t>
            </w:r>
          </w:p>
        </w:tc>
        <w:tc>
          <w:tcPr>
            <w:tcW w:w="4400" w:type="dxa"/>
            <w:tcMar>
              <w:top w:w="80" w:type="dxa"/>
              <w:left w:w="100" w:type="dxa"/>
              <w:bottom w:w="80" w:type="dxa"/>
              <w:right w:w="100" w:type="dxa"/>
            </w:tcMar>
          </w:tcPr>
          <w:p w14:paraId="0DC00BB6" w14:textId="77777777" w:rsidR="00F16DB1" w:rsidRDefault="001E64C6">
            <w:r>
              <w:rPr>
                <w:sz w:val="18"/>
                <w:szCs w:val="18"/>
              </w:rPr>
              <w:t>normalized title equals a coded key exactly</w:t>
            </w:r>
          </w:p>
        </w:tc>
        <w:tc>
          <w:tcPr>
            <w:tcW w:w="3780" w:type="dxa"/>
            <w:tcMar>
              <w:top w:w="80" w:type="dxa"/>
              <w:left w:w="100" w:type="dxa"/>
              <w:bottom w:w="80" w:type="dxa"/>
              <w:right w:w="100" w:type="dxa"/>
            </w:tcMar>
          </w:tcPr>
          <w:p w14:paraId="1B8E0110" w14:textId="77777777" w:rsidR="00F16DB1" w:rsidRDefault="001E64C6">
            <w:r>
              <w:rPr>
                <w:sz w:val="18"/>
                <w:szCs w:val="18"/>
              </w:rPr>
              <w:t>Always suppressed — the coded equivalent is assumed to be running every cycle instead, no user choice involved</w:t>
            </w:r>
          </w:p>
        </w:tc>
      </w:tr>
      <w:tr w:rsidR="00F16DB1" w14:paraId="26CE4227" w14:textId="77777777">
        <w:tblPrEx>
          <w:tblCellMar>
            <w:top w:w="0" w:type="dxa"/>
            <w:bottom w:w="0" w:type="dxa"/>
          </w:tblCellMar>
        </w:tblPrEx>
        <w:tc>
          <w:tcPr>
            <w:tcW w:w="1400" w:type="dxa"/>
            <w:tcMar>
              <w:top w:w="80" w:type="dxa"/>
              <w:left w:w="100" w:type="dxa"/>
              <w:bottom w:w="80" w:type="dxa"/>
              <w:right w:w="100" w:type="dxa"/>
            </w:tcMar>
          </w:tcPr>
          <w:p w14:paraId="6751B1DC" w14:textId="77777777" w:rsidR="00F16DB1" w:rsidRDefault="001E64C6">
            <w:r>
              <w:rPr>
                <w:sz w:val="18"/>
                <w:szCs w:val="18"/>
              </w:rPr>
              <w:t>CLOSE</w:t>
            </w:r>
          </w:p>
        </w:tc>
        <w:tc>
          <w:tcPr>
            <w:tcW w:w="4400" w:type="dxa"/>
            <w:tcMar>
              <w:top w:w="80" w:type="dxa"/>
              <w:left w:w="100" w:type="dxa"/>
              <w:bottom w:w="80" w:type="dxa"/>
              <w:right w:w="100" w:type="dxa"/>
            </w:tcMar>
          </w:tcPr>
          <w:p w14:paraId="44213D7B" w14:textId="77777777" w:rsidR="00F16DB1" w:rsidRDefault="001E64C6">
            <w:r>
              <w:rPr>
                <w:sz w:val="18"/>
                <w:szCs w:val="18"/>
              </w:rPr>
              <w:t>one normalized string contains the other, without being exactly equal</w:t>
            </w:r>
          </w:p>
        </w:tc>
        <w:tc>
          <w:tcPr>
            <w:tcW w:w="3780" w:type="dxa"/>
            <w:tcMar>
              <w:top w:w="80" w:type="dxa"/>
              <w:left w:w="100" w:type="dxa"/>
              <w:bottom w:w="80" w:type="dxa"/>
              <w:right w:w="100" w:type="dxa"/>
            </w:tcMar>
          </w:tcPr>
          <w:p w14:paraId="4A407B7D" w14:textId="77777777" w:rsidR="00F16DB1" w:rsidRDefault="001E64C6">
            <w:r>
              <w:rPr>
                <w:sz w:val="18"/>
                <w:szCs w:val="18"/>
              </w:rPr>
              <w:t>Suppressed only if the user hasn't explicitly accepted it via the review popup (below); a prior “accept” decision (persisted per title) lets it run</w:t>
            </w:r>
          </w:p>
        </w:tc>
      </w:tr>
      <w:tr w:rsidR="00F16DB1" w14:paraId="3A98389E" w14:textId="77777777">
        <w:tblPrEx>
          <w:tblCellMar>
            <w:top w:w="0" w:type="dxa"/>
            <w:bottom w:w="0" w:type="dxa"/>
          </w:tblCellMar>
        </w:tblPrEx>
        <w:tc>
          <w:tcPr>
            <w:tcW w:w="1400" w:type="dxa"/>
            <w:tcMar>
              <w:top w:w="80" w:type="dxa"/>
              <w:left w:w="100" w:type="dxa"/>
              <w:bottom w:w="80" w:type="dxa"/>
              <w:right w:w="100" w:type="dxa"/>
            </w:tcMar>
          </w:tcPr>
          <w:p w14:paraId="51CCA08B" w14:textId="77777777" w:rsidR="00F16DB1" w:rsidRDefault="001E64C6">
            <w:r>
              <w:rPr>
                <w:sz w:val="18"/>
                <w:szCs w:val="18"/>
              </w:rPr>
              <w:t>NONE</w:t>
            </w:r>
          </w:p>
        </w:tc>
        <w:tc>
          <w:tcPr>
            <w:tcW w:w="4400" w:type="dxa"/>
            <w:tcMar>
              <w:top w:w="80" w:type="dxa"/>
              <w:left w:w="100" w:type="dxa"/>
              <w:bottom w:w="80" w:type="dxa"/>
              <w:right w:w="100" w:type="dxa"/>
            </w:tcMar>
          </w:tcPr>
          <w:p w14:paraId="3237CE30" w14:textId="77777777" w:rsidR="00F16DB1" w:rsidRDefault="001E64C6">
            <w:r>
              <w:rPr>
                <w:sz w:val="18"/>
                <w:szCs w:val="18"/>
              </w:rPr>
              <w:t>no relationship to any coded key</w:t>
            </w:r>
          </w:p>
        </w:tc>
        <w:tc>
          <w:tcPr>
            <w:tcW w:w="3780" w:type="dxa"/>
            <w:tcMar>
              <w:top w:w="80" w:type="dxa"/>
              <w:left w:w="100" w:type="dxa"/>
              <w:bottom w:w="80" w:type="dxa"/>
              <w:right w:w="100" w:type="dxa"/>
            </w:tcMar>
          </w:tcPr>
          <w:p w14:paraId="21EDCB2D" w14:textId="77777777" w:rsidR="00F16DB1" w:rsidRDefault="001E64C6">
            <w:r>
              <w:rPr>
                <w:sz w:val="18"/>
                <w:szCs w:val="18"/>
              </w:rPr>
              <w:t>Never touched — runs exactly as stock AAPS would</w:t>
            </w:r>
          </w:p>
        </w:tc>
      </w:tr>
    </w:tbl>
    <w:p w14:paraId="7CC0D2DF" w14:textId="77777777" w:rsidR="00F16DB1" w:rsidRDefault="001E64C6">
      <w:pPr>
        <w:spacing w:after="160"/>
        <w:ind w:left="360" w:firstLine="0"/>
      </w:pPr>
      <w:r>
        <w:t>CLOSE matches surface as a review popup (</w:t>
      </w:r>
      <w:proofErr w:type="gramStart"/>
      <w:r>
        <w:t>pendingCodedAutomationReviews(</w:t>
      </w:r>
      <w:proofErr w:type="gramEnd"/>
      <w:r>
        <w:t>), shown from Overview) listing each ambiguous title for a one-time accept/deny decision, persisted in AutomationStringKey.CodedAutomationDecisions — deliberately simple substring matching rather than fuzzy/edit-distance scoring, on the reasoning that an occasional unnecessary review prompt is harmless, while a missed suppression is not.</w:t>
      </w:r>
    </w:p>
    <w:p w14:paraId="0C66AE2D" w14:textId="77777777" w:rsidR="00F16DB1" w:rsidRDefault="001E64C6">
      <w:bookmarkStart w:id="27" w:name="sec027"/>
      <w:pPr>
        <w:pStyle w:val="Heading2"/>
        <w:spacing w:before="280" w:after="120"/>
      </w:pPr>
      <w:r>
        <w:t>b. The suppression only applies while AutoISF is actually the active algorithm</w:t>
      </w:r>
      <w:bookmarkEnd w:id="27"/>
    </w:p>
    <w:p w14:paraId="5A349CE2" w14:textId="77777777" w:rsidR="00F16DB1" w:rsidRDefault="001E64C6">
      <w:pPr>
        <w:spacing w:after="160"/>
        <w:ind w:left="360" w:firstLine="0"/>
      </w:pPr>
      <w:r>
        <w:t xml:space="preserve">The whole mechanism is additionally gated on </w:t>
      </w:r>
      <w:proofErr w:type="gramStart"/>
      <w:r>
        <w:t>preferences.get(</w:t>
      </w:r>
      <w:proofErr w:type="gramEnd"/>
      <w:r>
        <w:t xml:space="preserve">BooleanKey.ApsAutoIsfCustomAutomationsEnabled) AND the currently active APS algorithm </w:t>
      </w:r>
      <w:proofErr w:type="gramStart"/>
      <w:r>
        <w:t>actually being</w:t>
      </w:r>
      <w:proofErr w:type="gramEnd"/>
      <w:r>
        <w:t xml:space="preserve"> AUTO_ISF — not just the preference toggle being on. This matters: if you ever switch the active APS algorithm away from AutoISF, OpenAPSAutoISFPlugin.invoke() (and therefore every coded automation) simply stops running, but any native events that were being suppressed as EXACT/CLOSE matches go right on being suppressed too, since the suppression check itself doesn't care which algorithm is ac</w:t>
      </w:r>
      <w:r>
        <w:t>tive — only whether the toggle is on. In that state neither the coded automation nor the native one is doing anything, and it isn't obvious from the UI. If you ever change APS algorithm away from AutoISF, deliberately revisit “Enable Tier 3…”-style toggles and the custom-automations suppression, since “AutoISF-specific automation was silently suppressing a native one” becomes “nothing is running that automation at all.”</w:t>
      </w:r>
    </w:p>
    <w:p w14:paraId="2F736E35" w14:textId="77777777" w:rsidR="00F16DB1" w:rsidRDefault="001E64C6">
      <w:bookmarkStart w:id="28" w:name="sec028"/>
      <w:pPr>
        <w:pStyle w:val="Heading1"/>
        <w:spacing w:before="400" w:after="200"/>
      </w:pPr>
      <w:r>
        <w:t>7. Other Idiosyncrasies Worth Knowing</w:t>
      </w:r>
      <w:bookmarkEnd w:id="28"/>
    </w:p>
    <w:p w14:paraId="7A57B480" w14:textId="77777777" w:rsidR="00F16DB1" w:rsidRDefault="001E64C6">
      <w:bookmarkStart w:id="29" w:name="sec029"/>
      <w:pPr>
        <w:pStyle w:val="Heading2"/>
        <w:spacing w:before="280" w:after="120"/>
      </w:pPr>
      <w:r>
        <w:t>a. CarePortal note codes as a compact diagnostic language</w:t>
      </w:r>
      <w:bookmarkEnd w:id="29"/>
    </w:p>
    <w:p w14:paraId="11B49D1F" w14:textId="77777777" w:rsidR="00F16DB1" w:rsidRDefault="001E64C6">
      <w:pPr>
        <w:spacing w:after="160"/>
        <w:ind w:left="360" w:firstLine="0"/>
      </w:pPr>
      <w:r>
        <w:t xml:space="preserve">Rather than free-text notes, several export/automation pathways write </w:t>
      </w:r>
      <w:proofErr w:type="gramStart"/>
      <w:r>
        <w:t>short fixed</w:t>
      </w:r>
      <w:proofErr w:type="gramEnd"/>
      <w:r>
        <w:t xml:space="preserve"> codes to CarePortal specifically so their outcome history can be grepped later, the same way this manual's authors diagnosed the UKFcheck read-path bug from note counts alone:</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42A91915" w14:textId="77777777">
        <w:tblPrEx>
          <w:tblCellMar>
            <w:top w:w="0" w:type="dxa"/>
            <w:bottom w:w="0" w:type="dxa"/>
          </w:tblCellMar>
        </w:tblPrEx>
        <w:trPr>
          <w:tblHeader/>
        </w:trPr>
        <w:tc>
          <w:tcPr>
            <w:tcW w:w="2600" w:type="dxa"/>
            <w:shd w:val="clear" w:color="auto" w:fill="2F5496"/>
            <w:tcMar>
              <w:top w:w="80" w:type="dxa"/>
              <w:left w:w="100" w:type="dxa"/>
              <w:bottom w:w="80" w:type="dxa"/>
              <w:right w:w="100" w:type="dxa"/>
            </w:tcMar>
          </w:tcPr>
          <w:p w14:paraId="58FC633C" w14:textId="77777777" w:rsidR="00F16DB1" w:rsidRDefault="001E64C6">
            <w:r>
              <w:rPr>
                <w:b/>
                <w:bCs/>
                <w:color w:val="FFFFFF"/>
                <w:sz w:val="18"/>
                <w:szCs w:val="18"/>
              </w:rPr>
              <w:t>Code family</w:t>
            </w:r>
          </w:p>
        </w:tc>
        <w:tc>
          <w:tcPr>
            <w:tcW w:w="6980" w:type="dxa"/>
            <w:shd w:val="clear" w:color="auto" w:fill="2F5496"/>
            <w:tcMar>
              <w:top w:w="80" w:type="dxa"/>
              <w:left w:w="100" w:type="dxa"/>
              <w:bottom w:w="80" w:type="dxa"/>
              <w:right w:w="100" w:type="dxa"/>
            </w:tcMar>
          </w:tcPr>
          <w:p w14:paraId="6577DEBE" w14:textId="77777777" w:rsidR="00F16DB1" w:rsidRDefault="001E64C6">
            <w:r>
              <w:rPr>
                <w:b/>
                <w:bCs/>
                <w:color w:val="FFFFFF"/>
                <w:sz w:val="18"/>
                <w:szCs w:val="18"/>
              </w:rPr>
              <w:t>Meaning</w:t>
            </w:r>
          </w:p>
        </w:tc>
      </w:tr>
      <w:tr w:rsidR="00F16DB1" w14:paraId="2A3C772F" w14:textId="77777777">
        <w:tblPrEx>
          <w:tblCellMar>
            <w:top w:w="0" w:type="dxa"/>
            <w:bottom w:w="0" w:type="dxa"/>
          </w:tblCellMar>
        </w:tblPrEx>
        <w:tc>
          <w:tcPr>
            <w:tcW w:w="2600" w:type="dxa"/>
            <w:tcMar>
              <w:top w:w="80" w:type="dxa"/>
              <w:left w:w="100" w:type="dxa"/>
              <w:bottom w:w="80" w:type="dxa"/>
              <w:right w:w="100" w:type="dxa"/>
            </w:tcMar>
          </w:tcPr>
          <w:p w14:paraId="6C341058" w14:textId="77777777" w:rsidR="00F16DB1" w:rsidRDefault="001E64C6">
            <w:r>
              <w:rPr>
                <w:sz w:val="18"/>
                <w:szCs w:val="18"/>
              </w:rPr>
              <w:t>AVLs / AVLf</w:t>
            </w:r>
          </w:p>
        </w:tc>
        <w:tc>
          <w:tcPr>
            <w:tcW w:w="6980" w:type="dxa"/>
            <w:tcMar>
              <w:top w:w="80" w:type="dxa"/>
              <w:left w:w="100" w:type="dxa"/>
              <w:bottom w:w="80" w:type="dxa"/>
              <w:right w:w="100" w:type="dxa"/>
            </w:tcMar>
          </w:tcPr>
          <w:p w14:paraId="2463F861" w14:textId="77777777" w:rsidR="00F16DB1" w:rsidRDefault="001E64C6">
            <w:r>
              <w:rPr>
                <w:sz w:val="18"/>
                <w:szCs w:val="18"/>
              </w:rPr>
              <w:t>AIV local export succeeded / failed</w:t>
            </w:r>
          </w:p>
        </w:tc>
      </w:tr>
      <w:tr w:rsidR="00F16DB1" w14:paraId="1F7EF886" w14:textId="77777777">
        <w:tblPrEx>
          <w:tblCellMar>
            <w:top w:w="0" w:type="dxa"/>
            <w:bottom w:w="0" w:type="dxa"/>
          </w:tblCellMar>
        </w:tblPrEx>
        <w:tc>
          <w:tcPr>
            <w:tcW w:w="2600" w:type="dxa"/>
            <w:tcMar>
              <w:top w:w="80" w:type="dxa"/>
              <w:left w:w="100" w:type="dxa"/>
              <w:bottom w:w="80" w:type="dxa"/>
              <w:right w:w="100" w:type="dxa"/>
            </w:tcMar>
          </w:tcPr>
          <w:p w14:paraId="6CB506A9" w14:textId="77777777" w:rsidR="00F16DB1" w:rsidRDefault="001E64C6">
            <w:r>
              <w:rPr>
                <w:sz w:val="18"/>
                <w:szCs w:val="18"/>
              </w:rPr>
              <w:t>ACEs / ACEf</w:t>
            </w:r>
          </w:p>
        </w:tc>
        <w:tc>
          <w:tcPr>
            <w:tcW w:w="6980" w:type="dxa"/>
            <w:tcMar>
              <w:top w:w="80" w:type="dxa"/>
              <w:left w:w="100" w:type="dxa"/>
              <w:bottom w:w="80" w:type="dxa"/>
              <w:right w:w="100" w:type="dxa"/>
            </w:tcMar>
          </w:tcPr>
          <w:p w14:paraId="77CD7142" w14:textId="77777777" w:rsidR="00F16DB1" w:rsidRDefault="001E64C6">
            <w:proofErr w:type="gramStart"/>
            <w:r>
              <w:rPr>
                <w:sz w:val="18"/>
                <w:szCs w:val="18"/>
              </w:rPr>
              <w:t>combined-export</w:t>
            </w:r>
            <w:proofErr w:type="gramEnd"/>
            <w:r>
              <w:rPr>
                <w:sz w:val="18"/>
                <w:szCs w:val="18"/>
              </w:rPr>
              <w:t xml:space="preserve"> (combined&lt;Name&gt;.txt) rebuild succeeded / failed</w:t>
            </w:r>
          </w:p>
        </w:tc>
      </w:tr>
      <w:tr w:rsidR="00F16DB1" w14:paraId="427AFF43" w14:textId="77777777">
        <w:tblPrEx>
          <w:tblCellMar>
            <w:top w:w="0" w:type="dxa"/>
            <w:bottom w:w="0" w:type="dxa"/>
          </w:tblCellMar>
        </w:tblPrEx>
        <w:tc>
          <w:tcPr>
            <w:tcW w:w="2600" w:type="dxa"/>
            <w:tcMar>
              <w:top w:w="80" w:type="dxa"/>
              <w:left w:w="100" w:type="dxa"/>
              <w:bottom w:w="80" w:type="dxa"/>
              <w:right w:w="100" w:type="dxa"/>
            </w:tcMar>
          </w:tcPr>
          <w:p w14:paraId="6510F6C8" w14:textId="77777777" w:rsidR="00F16DB1" w:rsidRDefault="001E64C6">
            <w:r>
              <w:rPr>
                <w:sz w:val="18"/>
                <w:szCs w:val="18"/>
              </w:rPr>
              <w:lastRenderedPageBreak/>
              <w:t>UKCs / UKCn / UKCf</w:t>
            </w:r>
          </w:p>
        </w:tc>
        <w:tc>
          <w:tcPr>
            <w:tcW w:w="6980" w:type="dxa"/>
            <w:tcMar>
              <w:top w:w="80" w:type="dxa"/>
              <w:left w:w="100" w:type="dxa"/>
              <w:bottom w:w="80" w:type="dxa"/>
              <w:right w:w="100" w:type="dxa"/>
            </w:tcMar>
          </w:tcPr>
          <w:p w14:paraId="56D84925" w14:textId="77777777" w:rsidR="00F16DB1" w:rsidRDefault="001E64C6">
            <w:r>
              <w:rPr>
                <w:sz w:val="18"/>
                <w:szCs w:val="18"/>
              </w:rPr>
              <w:t>UKFcheck diagnostic export found matches / ran fine but found nothing / genuinely failed (UKCf can ONLY come from an exception — never means “no findings”)</w:t>
            </w:r>
          </w:p>
        </w:tc>
      </w:tr>
      <w:tr w:rsidR="00F16DB1" w14:paraId="3E6BC7C8" w14:textId="77777777">
        <w:tblPrEx>
          <w:tblCellMar>
            <w:top w:w="0" w:type="dxa"/>
            <w:bottom w:w="0" w:type="dxa"/>
          </w:tblCellMar>
        </w:tblPrEx>
        <w:tc>
          <w:tcPr>
            <w:tcW w:w="2600" w:type="dxa"/>
            <w:tcMar>
              <w:top w:w="80" w:type="dxa"/>
              <w:left w:w="100" w:type="dxa"/>
              <w:bottom w:w="80" w:type="dxa"/>
              <w:right w:w="100" w:type="dxa"/>
            </w:tcMar>
          </w:tcPr>
          <w:p w14:paraId="039F799F" w14:textId="77777777" w:rsidR="00F16DB1" w:rsidRDefault="001E64C6">
            <w:r>
              <w:rPr>
                <w:sz w:val="18"/>
                <w:szCs w:val="18"/>
              </w:rPr>
              <w:t>StB On / StB Off</w:t>
            </w:r>
          </w:p>
        </w:tc>
        <w:tc>
          <w:tcPr>
            <w:tcW w:w="6980" w:type="dxa"/>
            <w:tcMar>
              <w:top w:w="80" w:type="dxa"/>
              <w:left w:w="100" w:type="dxa"/>
              <w:bottom w:w="80" w:type="dxa"/>
              <w:right w:w="100" w:type="dxa"/>
            </w:tcMar>
          </w:tcPr>
          <w:p w14:paraId="180978CB" w14:textId="77777777" w:rsidR="00F16DB1" w:rsidRDefault="001E64C6">
            <w:r>
              <w:rPr>
                <w:sz w:val="18"/>
                <w:szCs w:val="18"/>
              </w:rPr>
              <w:t>Steroid Kotlin button feature toggled on/off via its TT-code</w:t>
            </w:r>
          </w:p>
        </w:tc>
      </w:tr>
      <w:tr w:rsidR="00F16DB1" w14:paraId="3E489486" w14:textId="77777777">
        <w:tblPrEx>
          <w:tblCellMar>
            <w:top w:w="0" w:type="dxa"/>
            <w:bottom w:w="0" w:type="dxa"/>
          </w:tblCellMar>
        </w:tblPrEx>
        <w:tc>
          <w:tcPr>
            <w:tcW w:w="2600" w:type="dxa"/>
            <w:tcMar>
              <w:top w:w="80" w:type="dxa"/>
              <w:left w:w="100" w:type="dxa"/>
              <w:bottom w:w="80" w:type="dxa"/>
              <w:right w:w="100" w:type="dxa"/>
            </w:tcMar>
          </w:tcPr>
          <w:p w14:paraId="47DC1ACC" w14:textId="77777777" w:rsidR="00F16DB1" w:rsidRDefault="001E64C6">
            <w:r>
              <w:rPr>
                <w:sz w:val="18"/>
                <w:szCs w:val="18"/>
              </w:rPr>
              <w:t>SteroidsON / Steroids130…250 / SteroidsOff</w:t>
            </w:r>
          </w:p>
        </w:tc>
        <w:tc>
          <w:tcPr>
            <w:tcW w:w="6980" w:type="dxa"/>
            <w:tcMar>
              <w:top w:w="80" w:type="dxa"/>
              <w:left w:w="100" w:type="dxa"/>
              <w:bottom w:w="80" w:type="dxa"/>
              <w:right w:w="100" w:type="dxa"/>
            </w:tcMar>
          </w:tcPr>
          <w:p w14:paraId="61FCE776" w14:textId="77777777" w:rsidR="00F16DB1" w:rsidRDefault="001E64C6">
            <w:r>
              <w:rPr>
                <w:sz w:val="18"/>
                <w:szCs w:val="18"/>
              </w:rPr>
              <w:t>each step of the steroid ladder (§5)</w:t>
            </w:r>
          </w:p>
        </w:tc>
      </w:tr>
    </w:tbl>
    <w:p w14:paraId="0176BFC9" w14:textId="77777777" w:rsidR="00F16DB1" w:rsidRDefault="001E64C6">
      <w:pPr>
        <w:spacing w:after="160"/>
        <w:ind w:left="360" w:firstLine="0"/>
      </w:pPr>
      <w:r>
        <w:t xml:space="preserve">Grepping a device's combined export for these codes is often faster and more reliable than trying to reproduce a suspected bug live — this is exactly how the </w:t>
      </w:r>
      <w:proofErr w:type="gramStart"/>
      <w:r>
        <w:t>exportUkfCheckText(</w:t>
      </w:r>
      <w:proofErr w:type="gramEnd"/>
      <w:r>
        <w:t>) read-path bug was confirmed (15/15 UKCf, zero UKCs/UKCn) before any code was touched.</w:t>
      </w:r>
    </w:p>
    <w:p w14:paraId="43A83319" w14:textId="77777777" w:rsidR="00F16DB1" w:rsidRDefault="001E64C6">
      <w:bookmarkStart w:id="30" w:name="sec030"/>
      <w:pPr>
        <w:pStyle w:val="Heading2"/>
        <w:spacing w:before="280" w:after="120"/>
      </w:pPr>
      <w:r>
        <w:t>b. MJ as the fork's other major state machine</w:t>
      </w:r>
      <w:bookmarkEnd w:id="30"/>
    </w:p>
    <w:p w14:paraId="26BD1EF3" w14:textId="77777777" w:rsidR="00F16DB1" w:rsidRDefault="001E64C6">
      <w:pPr>
        <w:spacing w:after="160"/>
        <w:ind w:left="360" w:firstLine="0"/>
      </w:pPr>
      <w:r>
        <w:t>Beyond Steroids, MJ (Mounjaro) is the fork's other major state machine. Numerous coded automations gate on checkAutomationState("MJ", ...), and several steroid escalation actions require MJ=NOMJremains. The MJ Kotlin buttons setting controls whether the Overview quick-action buttons are shown; disabling those buttons does not remove the underlying Mounjaro states or the automations that read them. See §5 for the complete three-stage cycle, hypoglycaemia protections, and restoration behavior.</w:t>
      </w:r>
    </w:p>
    <w:p w14:paraId="40591F8D" w14:textId="77777777" w:rsidR="00F16DB1" w:rsidRDefault="001E64C6">
      <w:bookmarkStart w:id="31" w:name="sec031"/>
      <w:pPr>
        <w:pStyle w:val="Heading2"/>
        <w:spacing w:before="280" w:after="120"/>
      </w:pPr>
      <w:r>
        <w:t>c. The AIV/UKFcheck export pipeline has more moving parts than it looks</w:t>
      </w:r>
      <w:bookmarkEnd w:id="31"/>
    </w:p>
    <w:p w14:paraId="361C44CE" w14:textId="77777777" w:rsidR="00F16DB1" w:rsidRDefault="001E64C6">
      <w:pPr>
        <w:spacing w:after="160"/>
        <w:ind w:left="360" w:firstLine="0"/>
      </w:pPr>
      <w:r>
        <w:t>Automatic exports run every 6 hours (KeepAliveWorker) plus on every manual dialog-open, writing several files (CSV/TXT AIV table, settings snapshot, combined rebuild, UKFcheck diagnostic, UserEntries) to a per-device folder scoped by GeneralPatientName. Two details are easy to get wrong when troubleshooting a missing file: (1) UKFcheck_*.txt's own lookback window is only ~6–7 hours of raw log per file, much shorter than the AIV table's 30-hour window, though the underlying raw log itself survives 30 days re</w:t>
      </w:r>
      <w:r>
        <w:t>gardless; (2) the raw log files UKFcheck reads from can silently live in more than one on-device directory (public Documents/aapsLogs vs. the app-specific fallback), and a function that only checks one of them can fail 100% of the time on a device where logging quietly moved to the other — the actual root cause behind a real 2026-08-19 bug fixed the same day this manual was written.</w:t>
      </w:r>
    </w:p>
    <w:p w14:paraId="758871D8" w14:textId="77777777" w:rsidR="00F16DB1" w:rsidRDefault="001E64C6">
      <w:bookmarkStart w:id="32" w:name="sec032"/>
      <w:pPr>
        <w:pStyle w:val="Heading2"/>
        <w:spacing w:before="280" w:after="120"/>
      </w:pPr>
      <w:r>
        <w:t>d. A concrete regression pattern worth remembering</w:t>
      </w:r>
      <w:bookmarkEnd w:id="32"/>
    </w:p>
    <w:p w14:paraId="0E845199" w14:textId="77777777" w:rsidR="00F16DB1" w:rsidRDefault="001E64C6">
      <w:pPr>
        <w:spacing w:after="160"/>
        <w:ind w:left="360" w:firstLine="0"/>
      </w:pPr>
      <w:r>
        <w:t>The EveningTH automation once had its target action value changed (50→45) without re-checking its own self-latch condition against that new value (latch stayed “&lt;50”) — it then flip-flopped with NightIobCeiling every ~5 minutes for hours before being caught via CarePortal notes. The general lesson generalizes well beyond this one automation: whenever an automation's action value changes, always re-check its own re-arm/self-latch condition against the new value, not just against the old one.</w:t>
      </w:r>
    </w:p>
    <w:p>
      <w:bookmarkStart w:id="33" w:name="sec033"/>
      <w:pPr>
        <w:pStyle w:val="Heading1"/>
      </w:pPr>
      <w:r>
        <w:t>8. Manual controls and AIV history</w:t>
      </w:r>
      <w:bookmarkEnd w:id="33"/>
    </w:p>
    <w:p>
      <w:bookmarkStart w:id="34" w:name="sec034"/>
      <w:pPr>
        <w:pStyle w:val="Heading2"/>
      </w:pPr>
      <w:r>
        <w:t>a. Bolus calculator: screen, calculation and follow-up dosing</w:t>
      </w:r>
      <w:bookmarkEnd w:id="34"/>
    </w:p>
    <w:p>
      <w:pPr>
        <w:ind w:left="360" w:firstLine="0"/>
      </w:pPr>
      <w:r>
        <w:rPr>
          <w:b/>
        </w:rPr>
        <w:t xml:space="preserve">Initial screen and live calculation. </w:t>
      </w:r>
      <w:r>
        <w:t>The Wizard recalculates after each entry or checkbox change. The screen can include BG and target, carbs, protein, fat, correction (units or percentage), carb time, profile, BG trend, COB, bolus and basal IOB, superbolus, the session-only maximum-bolus override, and the calculation breakdown. Selecting COB also selects IOB; clearing IOB clears COB. The displayed total is the constrained, pump-step-rounded proposal. A calculated 0 U remains confirmable so that the decision can be recorded. The maximum-bolus override affects this Wizard session only and is restored on every exit path.</w:t>
      </w:r>
    </w:p>
    <w:p>
      <w:pPr>
        <w:ind w:left="360" w:firstLine="0"/>
      </w:pPr>
      <w:r>
        <w:rPr>
          <w:b/>
        </w:rPr>
        <w:t xml:space="preserve">Profile-percentage behavior. </w:t>
      </w:r>
      <w:r>
        <w:t>At an active 50% profile, the normal immediate calculation is reduced through the profile's effective IC and the automatic delayed-bolus mechanism may later check whether the remaining gap is justified. A separate LowBG=50recent state, or BG below 5.0 mmol/L and not rising, halves only the carbs-driven component when the active profile is not already 50%; the two reductions cannot stack. The manual carb-split row is displayed only when the feature is enabled, the active profile is exactly 100%, the proposed dose exceeds the maximum allowed bolus, and that maximum is positive. The delivery engine accepts an already-selected split at 100% or higher, but the present screen does not offer the row at a profile above 100%. Protein/fat projections can still be shown independently; their delayed delivery requires a profile of at least 100%.</w:t>
      </w:r>
    </w:p>
    <w:p>
      <w:pPr>
        <w:ind w:left="360" w:firstLine="0"/>
      </w:pPr>
      <w:r>
        <w:rPr>
          <w:b/>
        </w:rPr>
        <w:t xml:space="preserve">Component calculation. </w:t>
      </w:r>
      <w:r>
        <w:t>The immediate proposal combines BG correction against the selected profile or temporary target, a 15-minute trend contribution, carbs divided by IC, included COB divided by IC, the negative of included bolus/basal IOB, a manual correction, and any selected superbolus. Protein and fat are not included in the immediate total: protein is converted as protein/25 divided by IC and fat as fat/11 divided by IC, then held as separate delayed-dose projections. The Wizard percentage is applied to the non-protein/fat immediate total before pump-step rounding and the normal bolus-constraint pipeline.</w:t>
      </w:r>
    </w:p>
    <w:p>
      <w:pPr>
        <w:ind w:left="360" w:firstLine="0"/>
      </w:pPr>
      <w:r>
        <w:rPr>
          <w:b/>
        </w:rPr>
        <w:t xml:space="preserve">Fast-rise projected-HP protection. </w:t>
      </w:r>
      <w:r>
        <w:t>The current BolusWizard path, including Quick Wizard calculations using that engine, applies the retrospective guard only when projected HP is at most 6.5 mmol/L, current BG is below 10.0 mmol/L, both current and short-average rise are at least 0.6 mmol/L per five minutes, positive IOB is at least 2.0 U, and the proposed dose is at least 0.75 U. It first removes the calculated COB-insulin contribution and then reduces the remaining already percentage-adjusted proposal to 75%. The changed dose is recalculated and shown as the proposal; the saved calculator result records original dose, adjusted dose, projected HP and COB insulin removed. This is automatic, not a second optional action in the confirmation dialog.</w:t>
      </w:r>
    </w:p>
    <w:p>
      <w:pPr>
        <w:ind w:left="360" w:firstLine="0"/>
      </w:pPr>
      <w:r>
        <w:rPr>
          <w:b/>
        </w:rPr>
        <w:t xml:space="preserve">Manual split-bolus projection and first delivery. </w:t>
      </w:r>
      <w:r>
        <w:t>When the split row is available it starts checked and uses the configured interval (editable from 1 to 60 minutes). The screen shows the planned number and size of parts: the maximum allowed bolus is the first part, with the residual projected at the selected interval. After confirmation, the first constrained part is delivered immediately. The residual is scheduled only once, and a CarePortal scheduling marker records the projected future total. SMBs remain allowed during this manual split sequence.</w:t>
      </w:r>
    </w:p>
    <w:p>
      <w:pPr>
        <w:ind w:left="360" w:firstLine="0"/>
      </w:pPr>
      <w:r>
        <w:rPr>
          <w:b/>
        </w:rPr>
        <w:t xml:space="preserve">Manual split-bolus progress and recalculation. </w:t>
      </w:r>
      <w:r>
        <w:t>Before each later part the code verifies that the user has not stopped follow-up dosing, no newer bolus/carbs entry has superseded the schedule, profile remains at least 100%, the pump is available, and superbolus is not active. It obtains fresh glucose. Missing data is retried after two minutes. BG below 6.0 mmol/L is unsafe; from 6.0 to below 8.0 mmol/L, a delta or short-average delta at or below -0.05 mmol/L is also unsafe. The first two consecutive unsafe checks defer by a full split interval; the third cancels the residual. The complete soft-retry window is limited to 60 minutes. Each part is reduced by any positive rise in live IOB since the preceding post-dose baseline and rounded to the pump step. A result at or below zero is skipped and retried at the next interval rather than increasing the dose. Success schedules the next residual; failure raises the normal delivery alarm. Cancellation and calculated-zero outcomes are written to treatment/history markers.</w:t>
      </w:r>
    </w:p>
    <w:p>
      <w:pPr>
        <w:ind w:left="360" w:firstLine="0"/>
      </w:pPr>
      <w:r>
        <w:rPr>
          <w:b/>
        </w:rPr>
        <w:t xml:space="preserve">Automatic delayed bolus at 50% or recent-50. </w:t>
      </w:r>
      <w:r>
        <w:t>This is distinct from the manual split. After the initial Wizard/Quick Wizard bolus, the worker checks every 10 minutes from +10 through +80 minutes while temporarily blocking SMBs. It requires glucose data no more than five minutes old, BG above 4.5 mmol/L, current delta above +0.10 mmol/L, short-average delta above +0.20 mmol/L, and long-average delta above +0.05 mmol/L. When the criteria first pass, it calculates the frozen original full-required amount minus the original delivered dose, then delivers 90% of that gap if confirmation occurs by 20 minutes or 50% if it occurs later. It does not recompute the original IOB snapshot. Db10, Db20 and subsequent check markers show dose, wait or end; SMBs are unblocked on delivery, cancellation or final expiry.</w:t>
      </w:r>
    </w:p>
    <w:p>
      <w:pPr>
        <w:ind w:left="360" w:firstLine="0"/>
      </w:pPr>
      <w:r>
        <w:rPr>
          <w:b/>
        </w:rPr>
        <w:t xml:space="preserve">Protein and fat delayed doses. </w:t>
      </w:r>
      <w:r>
        <w:t>Protein is scheduled once at +120 minutes and fat once at +180 minutes, independently of the manual carb split. At delivery each requires the schedule still to be current, profile at least 100%, pump available, no superbolus, fresh BG at least 7.0 mmol/L, and both delta measures above -0.05 mmol/L. A positive rise in IOB since the immediate post-bolus baseline is deducted. If the remainder is zero or negative, a 0 U history entry plus cancellation note is recorded; otherwise the rounded remainder is delivered. These fixed-time doses do not retry after a failed BG gate.</w:t>
      </w:r>
    </w:p>
    <w:p>
      <w:pPr>
        <w:ind w:left="360" w:firstLine="0"/>
      </w:pPr>
      <w:r>
        <w:rPr>
          <w:b/>
        </w:rPr>
        <w:t xml:space="preserve">Confirmation and visible history. </w:t>
      </w:r>
      <w:r>
        <w:t>Pressing OK performs one final recalculation, copies the split checkbox/interval into the BolusWizard, opens the standard confirmation/execution flow, and prevents a second OK tap from duplicating it. The BolusCalculatorResult keeps the calculation inputs and notes, including any carb-split projection, protein/fat timing and HP-safety adjustment. CarePortal notes and treatment entries then show scheduling, checks, delivered parts, zero-dose outcomes and cancellation reasons; these entries are the durable status trail after the original dialog closes.</w:t>
      </w:r>
    </w:p>
    <w:p>
      <w:bookmarkStart w:id="35" w:name="sec035"/>
      <w:pPr>
        <w:pStyle w:val="Heading2"/>
      </w:pPr>
      <w:r>
        <w:t>b. Lists 1 and 2: mechanism, current status and confirmation</w:t>
      </w:r>
      <w:bookmarkEnd w:id="35"/>
    </w:p>
    <w:p>
      <w:pPr>
        <w:ind w:left="360" w:firstLine="0"/>
      </w:pPr>
      <w:r>
        <w:rPr>
          <w:b/>
        </w:rPr>
        <w:t xml:space="preserve">List 1 entry and purpose. </w:t>
      </w:r>
      <w:r>
        <w:t>Double-tap the IOB area to open List 1. On a pump/Virtual build its title is Direct AutoISF settings and a confirmed selection invokes the matching local AutoISF handler without creating a temporary target. On AAPSClient its title is Settings - relay to pump; preferences are not changed locally, so confirmation creates the matching five-minute custom temporary-target code for the pump to receive, apply and cancel.</w:t>
      </w:r>
    </w:p>
    <w:p>
      <w:pPr>
        <w:ind w:left="360" w:firstLine="0"/>
      </w:pPr>
      <w:r>
        <w:rPr>
          <w:b/>
        </w:rPr>
        <w:t xml:space="preserve">List 1 rows and current status. </w:t>
      </w:r>
      <w:r>
        <w:t>The outer list shows setting names rather than raw relay numbers. It includes paired adjustments for SMB-delivery values, normal/high ISF weights, Libre slope/offset, SMB offset, Wizard percentage, mild-boost ratio, insulin peak, AutoISF limits and eight time-of-day offsets; single actions/toggles include sensor sensitivity, all boost automations, clean graph, Graph2/Graph5, cloud logs, UKFset1 where permitted and SensorAge; named paired controls cover MJ state and Standard/Low profile. Opening a row shows Current on pump/Virtual. A client shows Pump current from the latest mirrored device-status settings snapshot, with its age, or unavailable if the key has not arrived. Dual-key rows show both values. Stateless commands show an Effect description instead of pretending to have a current state.</w:t>
      </w:r>
    </w:p>
    <w:p>
      <w:pPr>
        <w:ind w:left="360" w:firstLine="0"/>
      </w:pPr>
      <w:r>
        <w:rPr>
          <w:b/>
        </w:rPr>
        <w:t xml:space="preserve">List 1 confirmation. </w:t>
      </w:r>
      <w:r>
        <w:t>A single/toggle row opens its description/current-value popup and requires OK. A stepped row opens mutually exclusive decrease/increase (or named-state) checkboxes labelled with the real change; the selection is not applied until OK. OK with neither direction selected is a no-op. Cancel, back, or outside-dismiss from an inner popup returns to List 1 so another row can be selected; Cancel on the outer list closes to Overview. Client relay commands retain the pump-side repeat guard; direct pump/Virtual actions do not use that relay guard.</w:t>
      </w:r>
    </w:p>
    <w:p>
      <w:pPr>
        <w:ind w:left="360" w:firstLine="0"/>
      </w:pPr>
      <w:r>
        <w:rPr>
          <w:b/>
        </w:rPr>
        <w:t xml:space="preserve">List 2 entry and actions. </w:t>
      </w:r>
      <w:r>
        <w:t>Double-tap the basal-rate area to open List 2. Its direct-action rows cover MJ start/restore, steroid start and escalation/turn-off, MJ and steroid button toggles, and the appropriate AnyDesk restart choices. On pump/Virtual, confirmed actions are dispatched locally. On AAPSClient, most are carried by their five-minute relay temporary-target code. AnyDesk is different: it always writes an ADesk Note; it adds a relay TT only when no real temporary target is active, preserving an existing target. The local-test AnyDesk row queues the real receiving-side path and records its own diagnostic note.</w:t>
      </w:r>
    </w:p>
    <w:p>
      <w:pPr>
        <w:ind w:left="360" w:firstLine="0"/>
      </w:pPr>
      <w:r>
        <w:rPr>
          <w:b/>
        </w:rPr>
        <w:t xml:space="preserve">List 2 graph controls and current status. </w:t>
      </w:r>
      <w:r>
        <w:t>The final rows control UKF1, UKF2, UKF3 and the Graph5 panel. Selecting one opens checkboxes showing the current local display state: Graph on plus its calibration option; UKF2 calibration is shown checked but disabled because calibration is already applied upstream. Graph5's second checkbox means BGL only. These settings are display-local and are written only after OK. Direct-action rows provide a confirmation question but do not all expose a universal live state; their resulting automation state, profile, target or note is the authoritative status after execution.</w:t>
      </w:r>
    </w:p>
    <w:p>
      <w:pPr>
        <w:ind w:left="360" w:firstLine="0"/>
      </w:pPr>
      <w:r>
        <w:rPr>
          <w:b/>
        </w:rPr>
        <w:t xml:space="preserve">List 2 confirmation and return behavior. </w:t>
      </w:r>
      <w:r>
        <w:t>Every direct action requires the confirmation popup. Cancel returns to List 2. For a graph row, OK saves the selected checkboxes and refreshes Overview; Cancel, back or outside-dismiss returns to List 2. The outer Cancel closes the list. Client List 2 is therefore a command/relay interface, while its graph rows remain immediate local display settings.</w:t>
      </w:r>
    </w:p>
    <w:p>
      <w:bookmarkStart w:id="36" w:name="sec036"/>
      <w:pPr>
        <w:pStyle w:val="Heading2"/>
      </w:pPr>
      <w:r>
        <w:t>c. AIV table: popup population and backup/export behavior</w:t>
      </w:r>
      <w:bookmarkEnd w:id="36"/>
    </w:p>
    <w:p>
      <w:pPr>
        <w:ind w:left="360" w:firstLine="0"/>
      </w:pPr>
      <w:r>
        <w:rPr>
          <w:b/>
        </w:rPr>
        <w:t xml:space="preserve">Opening and background population. </w:t>
      </w:r>
      <w:r>
        <w:t>Long-pressing the ISF/history control opens the AIV history popup. On first creation it reads the preceding six hours of AIV records in descending time order, APS results, step counts, SMB boluses and CarePortal notes. It also reads raw glucose with a 20-minute lead-in for delta calculations and computes the UKF3 comparison series. The work is assembled from the local database; it is not populated by parsing the displayed graph. A frozen Time column remains aligned with the horizontally scrolling header/body. SMB only rebuilds the visible table from records whose delivered-SMB value is positive, and All restores every loaded record; filtering does not change the full-record lookback used for derived values. Rotation preserves the filter and does not start another export.</w:t>
      </w:r>
    </w:p>
    <w:p>
      <w:pPr>
        <w:ind w:left="360" w:firstLine="0"/>
      </w:pPr>
      <w:r>
        <w:rPr>
          <w:b/>
        </w:rPr>
        <w:t xml:space="preserve">What the popup represents. </w:t>
      </w:r>
      <w:r>
        <w:t>Each row joins the nearest available context to an AIV timestamp and presents grouped glucose/raw-delta, ISF-factor, insulin/carb/HP, request/delivery and activity/status fields. A missing six-hour history produces an explicit no-data row. Values such as COBt, IOB change, HP/HP2/HP3 and UKF-derived columns are calculated by the exporter/table helpers from the loaded windows; they should therefore be interpreted with their source timing and availability, not as independent sensor samples.</w:t>
      </w:r>
    </w:p>
    <w:p>
      <w:pPr>
        <w:ind w:left="360" w:firstLine="0"/>
      </w:pPr>
      <w:r>
        <w:rPr>
          <w:b/>
        </w:rPr>
        <w:t xml:space="preserve">Manual/on-open export. </w:t>
      </w:r>
      <w:r>
        <w:t>The first opening of the popup starts an off-UI-thread export immediately. It writes three current AIV files (CSV, text and settings), refreshes the combined export, records success or failure in logs and an AVLs/AVLf CarePortal marker, then attempts cloud upload when cloud storage is configured. After the AIV upload callback it can invoke the same log-send route without exporting AIV a second time. Opening the popup is therefore the manual refresh mechanism, although the file work itself continues in the background and the table remains usable.</w:t>
      </w:r>
    </w:p>
    <w:p>
      <w:pPr>
        <w:ind w:left="360" w:firstLine="0"/>
      </w:pPr>
      <w:r>
        <w:rPr>
          <w:b/>
        </w:rPr>
        <w:t xml:space="preserve">Automatic backup/export. </w:t>
      </w:r>
      <w:r>
        <w:t>KeepAlive checks the AIV export timestamp and normally performs the same last-six-hours three-file export every six hours, also rebuilding the combined file and its dated per-device copy. The files are always written locally first. When cloud storage is active they are additionally uploaded to the configured AIV cloud path, scoped by General patient name when supplied. If automatic cloud log export is enabled and due, KeepAlive reserves that six-hour slot before launching the asynchronous AIV-plus-log sequence so overlapping KeepAlive runs do not duplicate it. Automatic operation is silent: success/failure is logged rather than shown as a popup.</w:t>
      </w:r>
    </w:p>
    <w:p>
      <w:pPr>
        <w:ind w:left="360" w:firstLine="0"/>
      </w:pPr>
      <w:r>
        <w:rPr>
          <w:b/>
        </w:rPr>
        <w:t xml:space="preserve">Backup scope and recovery meaning. </w:t>
      </w:r>
      <w:r>
        <w:t>These AIV files are history/diagnostic exports, not a restorable database backup. Manual popup-open and automatic six-hour runs create equivalent current exports and may upload copies; neither reimports AIV rows into the application. The combined/dated files preserve longer troubleshooting continuity, while each popup view itself remains a six-hour database window. A failed cloud upload does not remove the local files, and absence of cloud configuration simply leaves the local export as the backup copy.</w:t>
      </w:r>
    </w:p>
    <w:p>
      <w:bookmarkStart w:id="37" w:name="sec037"/>
      <w:pPr>
        <w:pStyle w:val="Heading1"/>
      </w:pPr>
      <w:r>
        <w:t>9. GUI display changes</w:t>
      </w:r>
      <w:bookmarkEnd w:id="37"/>
    </w:p>
    <w:p>
      <w:bookmarkStart w:id="38" w:name="sec038"/>
      <w:pPr>
        <w:pStyle w:val="Heading2"/>
      </w:pPr>
      <w:r>
        <w:t>a. Graph types and the triggers for each</w:t>
      </w:r>
      <w:bookmarkEnd w:id="38"/>
    </w:p>
    <w:p>
      <w:pPr>
        <w:ind w:left="360" w:firstLine="0"/>
      </w:pPr>
      <w:r>
        <w:rPr>
          <w:b/>
        </w:rPr>
        <w:t xml:space="preserve">Main glucose graph (graph 0). </w:t>
      </w:r>
      <w:r>
        <w:t>This graph is always the primary time-aligned display. Its chart-menu switches select predictions, treatments/therapy events, activity, empirical carb absorption, UAM carb impact, combined carbs, BG parabola, raw BG, smoothed raw/UKF traces and basal data. The separate Graph2 carb-model preference controls the theoretical carb-model curve independently of the empirical absorption switch. Targets, running-mode markers, the current-time line and the principal AutoISF annotations are added automatically.</w:t>
      </w:r>
    </w:p>
    <w:p>
      <w:pPr>
        <w:ind w:left="360" w:firstLine="0"/>
      </w:pPr>
      <w:r>
        <w:rPr>
          <w:b/>
        </w:rPr>
        <w:t xml:space="preserve">Secondary graphs (graphs 1-4). </w:t>
      </w:r>
      <w:r>
        <w:t>The Overview chart menu creates and labels a secondary panel when at least one eligible series is assigned to it. Available series include absolute IOB, IOB, COB, IOB threshold, deviation, -BGI, autosensitivity ratio, variable sensitivity, deviation slope, heart rate, steps, final/acce/BG/postprandial/duration AutoISF factors, raw BG, smoothed raw/UKF data, UAM carb impact and combined carbs. The first active type normally establishes the scale; compatible IOB/threshold, deviation/-BGI and multiple AutoISF-factor selections share aligned scales.</w:t>
      </w:r>
    </w:p>
    <w:p>
      <w:pPr>
        <w:ind w:left="360" w:firstLine="0"/>
      </w:pPr>
      <w:r>
        <w:rPr>
          <w:b/>
        </w:rPr>
        <w:t xml:space="preserve">Graph 5. </w:t>
      </w:r>
      <w:r>
        <w:t>Graph 5 is a dedicated main-sized comparison panel, not another chart-menu secondary graph. It is enabled by the Graph5 preference, the List 1 Graph5 toggle or List 2's Graph: Graph5 panel control. It deliberately ignores graph 0's individual visibility switches and always draws its own BGL comparison set. List 2 also provides BGL only, which hides insulin activity and the three carb-related curves while retaining BGL, basal and annotation rows.</w:t>
      </w:r>
    </w:p>
    <w:p>
      <w:pPr>
        <w:ind w:left="360" w:firstLine="0"/>
      </w:pPr>
      <w:r>
        <w:rPr>
          <w:b/>
        </w:rPr>
        <w:t xml:space="preserve">Gesture and remote triggers. </w:t>
      </w:r>
      <w:r>
        <w:t>A basal-area long-press cycles the main graph's display preset and controls the quick visibility of empirical carb line 1. An IOB-area long-press toggles SMB labels, resets the basal display preset to normal and forces carb line 1 on. The Clean graph command (List 1/relay code 5.042) applies the no-SMB-label/plain BGL preset once and then clears its request flag. Double-tapping the basal area opens List 2, where UKF1/UKF2/UKF3 and Graph5 checkboxes change local graph display settings; UKF2's calibration box is informational because calibration is already applied upstream.</w:t>
      </w:r>
    </w:p>
    <w:p>
      <w:bookmarkStart w:id="39" w:name="sec039"/>
      <w:pPr>
        <w:pStyle w:val="Heading2"/>
      </w:pPr>
      <w:r>
        <w:t>b. Colour changes driven by AutoISF input</w:t>
      </w:r>
      <w:bookmarkEnd w:id="39"/>
    </w:p>
    <w:p>
      <w:pPr>
        <w:ind w:left="360" w:firstLine="0"/>
      </w:pPr>
      <w:r>
        <w:rPr>
          <w:b/>
        </w:rPr>
        <w:t xml:space="preserve">Dominant AutoISF colour. </w:t>
      </w:r>
      <w:r>
        <w:t>For each AIV point the display compares how far the acceleration, BG, postprandial and duration ISF factors lie from neutral 1.0. The factor with the greatest deviation supplies its theme colour. That dominant colour can tint the corresponding glucose dot, SMB delivery marker and the AutoISF temp-basal overlay, so the graph shows which AutoISF input was most influential at that time rather than merely whether the final factor was above or below 1.0.</w:t>
      </w:r>
    </w:p>
    <w:p>
      <w:pPr>
        <w:ind w:left="360" w:firstLine="0"/>
      </w:pPr>
      <w:r>
        <w:rPr>
          <w:b/>
        </w:rPr>
        <w:t xml:space="preserve">Safety and fallback precedence. </w:t>
      </w:r>
      <w:r>
        <w:t>A low glucose dot always uses the low-glucose colour and is never masked by an AutoISF tint. Without a usable dominant-factor override, high points use the normal high colour and other points use the original/default BG colour. Prediction dots retain their IOB, COB, UAM or zero-temp prediction colours. When the plain/clean preset is active, BG dots revert to the conventional low, in-range and high colours and the ISF-coloured temp-basal overlay is suppressed.</w:t>
      </w:r>
    </w:p>
    <w:p>
      <w:pPr>
        <w:ind w:left="360" w:firstLine="0"/>
      </w:pPr>
      <w:r>
        <w:rPr>
          <w:b/>
        </w:rPr>
        <w:t xml:space="preserve">Other fixed colour conventions. </w:t>
      </w:r>
      <w:r>
        <w:t>Raw BG is split into colour-banded segments rather than shown as one undifferentiated trace. UKF1, UKF2 and UKF3 retain distinct comparison-line styling. The AIV/ISF index row uses separate colours for final, acceleration, BG, postprandial and duration factors; an SMB value of zero falls back to the ordinary insulin colour, while a delivered SMB can use the dominant AutoISF colour.</w:t>
      </w:r>
    </w:p>
    <w:p>
      <w:bookmarkStart w:id="40" w:name="sec040"/>
      <w:pPr>
        <w:pStyle w:val="Heading2"/>
      </w:pPr>
      <w:r>
        <w:t>c. Information shown on each graph</w:t>
      </w:r>
      <w:bookmarkEnd w:id="40"/>
    </w:p>
    <w:p>
      <w:pPr>
        <w:ind w:left="360" w:firstLine="0"/>
      </w:pPr>
      <w:r>
        <w:rPr>
          <w:b/>
        </w:rPr>
        <w:t xml:space="preserve">Graph 0 information. </w:t>
      </w:r>
      <w:r>
        <w:t>The main graph can show measured and bucketed glucose, prediction traces, the shaded target range, bolus/carbohydrate treatments, effective-profile switches, therapy events, basals, temporary target, running modes and the now line. Optional analytical curves include insulin activity, empirical absorption, theoretical carb model, UAM and combined carbs, parabola/prediction, raw Libre and UKF-smoothed comparisons. Fixed annotations show the AAPS one-minute delta, UKF/Libre one-minute delta, HP/hypoglycaemia projection and IOB-peak information. Tapping a BG point or treatment displays its detail label.</w:t>
      </w:r>
    </w:p>
    <w:p>
      <w:pPr>
        <w:ind w:left="360" w:firstLine="0"/>
      </w:pPr>
      <w:r>
        <w:rPr>
          <w:b/>
        </w:rPr>
        <w:t xml:space="preserve">Graph 1 information. </w:t>
      </w:r>
      <w:r>
        <w:t>In addition to its user-selected secondary series, graph 1 carries the target-offset/last-duration-taper row, stacked steps, the extra DR/AW/LS status row, noisy/raw-delta information, and the colour-segmented index row showing final, acceleration, BG, postprandial, duration and SMB values. These rows are fixed additions and therefore may appear even when the graph's principal selectable curve is something else.</w:t>
      </w:r>
    </w:p>
    <w:p>
      <w:pPr>
        <w:ind w:left="360" w:firstLine="0"/>
      </w:pPr>
      <w:r>
        <w:rPr>
          <w:b/>
        </w:rPr>
        <w:t xml:space="preserve">Graph 2 information. </w:t>
      </w:r>
      <w:r>
        <w:t>Graph 2 shows its selected secondary series and the per-SMB label/arrow layer. SMB label visibility follows the IOB long-press/Clean graph state, so the underlying numeric curve can remain while dose labels are hidden.</w:t>
      </w:r>
    </w:p>
    <w:p>
      <w:pPr>
        <w:ind w:left="360" w:firstLine="0"/>
      </w:pPr>
      <w:r>
        <w:rPr>
          <w:b/>
        </w:rPr>
        <w:t xml:space="preserve">Graph 3 information. </w:t>
      </w:r>
      <w:r>
        <w:t>Graph 3 shows its selected secondary series plus the total-SMB-per-stack labels at the base of the panel. The older pp/acce/duration annotation row no longer belongs here; it has moved to Graph 5.</w:t>
      </w:r>
    </w:p>
    <w:p>
      <w:pPr>
        <w:ind w:left="360" w:firstLine="0"/>
      </w:pPr>
      <w:r>
        <w:rPr>
          <w:b/>
        </w:rPr>
        <w:t xml:space="preserve">Graph 4 information. </w:t>
      </w:r>
      <w:r>
        <w:t>Graph 4 shows its selected secondary series. When the main Treatments switch is enabled it also shows CarePortal note text and matching arrowheads in the upper part of the panel, separating diagnostic notes from the SMB stack labels now placed on graphs 2 and 3.</w:t>
      </w:r>
    </w:p>
    <w:p>
      <w:pPr>
        <w:ind w:left="360" w:firstLine="0"/>
      </w:pPr>
      <w:r>
        <w:rPr>
          <w:b/>
        </w:rPr>
        <w:t xml:space="preserve">Graph 5 information. </w:t>
      </w:r>
      <w:r>
        <w:t>Graph 5 provides a plain comparison picture: measured/bucketed glucose and predictions, shaded range, BG parabola, raw BG, all three UKF comparison lines, basals, target, running modes and now line. In full mode it also shows insulin activity, theoretical carb model, UAM carb impact and combined carbs. Its fixed annotation rows show target offset/last duration taper and pp/acce/duration weights. It intentionally omits treatments, therapy-event/note text, delta labels and the hypo-prediction row so marker text does not obscure the comparison traces.</w:t>
      </w:r>
    </w:p>
    <w:p w14:paraId="0A926786" w14:textId="77777777" w:rsidR="00F16DB1" w:rsidRDefault="001E64C6">
      <w:bookmarkStart w:id="41" w:name="sec041"/>
      <w:pPr>
        <w:pStyle w:val="Heading1"/>
        <w:spacing w:before="400" w:after="200"/>
      </w:pPr>
      <w:r>
        <w:t>Appendix A — Installation and explanatory information</w:t>
      </w:r>
      <w:bookmarkEnd w:id="41"/>
    </w:p>
    <w:p w14:paraId="2D9A3508" w14:textId="77777777" w:rsidR="00F16DB1" w:rsidRDefault="001E64C6">
      <w:pPr>
        <w:spacing w:after="160"/>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60605416" w14:textId="77777777" w:rsidR="00F16DB1" w:rsidRDefault="001E64C6">
      <w:pPr>
        <w:spacing w:after="160"/>
      </w:pPr>
      <w:r>
        <w:t>Because each flavor is a genuinely separate app, a settings export/import done inside one flavor never touches another flavor's preferences, even on the same physical device — “import into AAPS” and “import into AAPSClient” are two unrelated operations.</w:t>
      </w:r>
    </w:p>
    <w:p w14:paraId="6A86B285" w14:textId="77777777" w:rsidR="00F16DB1" w:rsidRDefault="001E64C6">
      <w:bookmarkStart w:id="42" w:name="sec042"/>
      <w:pPr>
        <w:pStyle w:val="Heading2"/>
        <w:spacing w:before="280" w:after="120"/>
      </w:pPr>
      <w:r>
        <w:t>a. Version tag &amp; build identification</w:t>
      </w:r>
      <w:bookmarkEnd w:id="42"/>
    </w:p>
    <w:p w14:paraId="4C7B930C" w14:textId="77777777" w:rsidR="00F16DB1" w:rsidRDefault="001E64C6">
      <w:pPr>
        <w:spacing w:after="160"/>
        <w:ind w:left="360" w:firstLine="0"/>
      </w:pPr>
      <w:r>
        <w:t>Every console/history line and the on-device log stamp the running build as the last 13 characters of Config.VERSION_NAME (e.g. “aisf321UK_654”), derived automatically from the actual APK version rather than a hand-maintained literal. Known caveat: on the aapsclient/aapsclient2 flavors, VERSION_NAME gets an extra “-aapsclient”</w:t>
      </w:r>
      <w:proofErr w:type="gramStart"/>
      <w:r>
        <w:t>/“</w:t>
      </w:r>
      <w:proofErr w:type="gramEnd"/>
      <w:r>
        <w:t>-aapsclient2” suffix appended, which shifts the fixed 13-character window — the printed tag can look slightly off on Client builds specifically. Not yet fixed as of this writing.</w:t>
      </w:r>
    </w:p>
    <w:p w14:paraId="3BC5216E" w14:textId="77777777" w:rsidR="00F16DB1" w:rsidRDefault="001E64C6">
      <w:bookmarkStart w:id="43" w:name="sec043"/>
      <w:pPr>
        <w:pStyle w:val="Heading2"/>
        <w:spacing w:before="280" w:after="120"/>
      </w:pPr>
      <w:r>
        <w:t>b. Per-device backup/export folder naming</w:t>
      </w:r>
      <w:bookmarkEnd w:id="43"/>
    </w:p>
    <w:p w14:paraId="14A04C49" w14:textId="77777777" w:rsidR="00F16DB1" w:rsidRDefault="001E64C6">
      <w:pPr>
        <w:spacing w:after="160"/>
        <w:ind w:left="360" w:firstLine="0"/>
      </w:pPr>
      <w:r>
        <w:t>The optional “GeneralPatientName” setting scopes where this device's AIV/log exports land — both on-device folder structure (Documents/AAPS/aapsLogs/&lt;Name&gt;/) and the PC-side backup tree pulled off the phone (aiv_&lt;Name&gt;, logs_&lt;Name&gt;, aapsLogs\&lt;Name&gt;\output\). Leaving it blank falls back to a single shared, unscoped folder — fine for one device, ambiguous the moment a second device is added. Set a distinct name per physical/virtual device before its exports start accumulating, since retroactively renaming onl</w:t>
      </w:r>
      <w:r>
        <w:t>y affects future exports, not the ones already written under the old name.</w:t>
      </w:r>
    </w:p>
    <w:p>
      <w:pPr>
        <w:pStyle w:val="Heading1"/>
      </w:pPr>
      <w:r>
        <w:t>Appendix B — Contents</w:t>
      </w:r>
    </w:p>
    <w:p>
      <w:hyperlink w:anchor="sec001">
        <w:r>
          <w:rPr>
            <w:rStyle w:val="Hyperlink"/>
          </w:rPr>
          <w:t>Introduction: Most significant new features</w:t>
        </w:r>
      </w:hyperlink>
    </w:p>
    <w:p>
      <w:hyperlink w:anchor="sec002">
        <w:r>
          <w:rPr>
            <w:rStyle w:val="Hyperlink"/>
          </w:rPr>
          <w:t>1. Requirements for “Automation States”</w:t>
        </w:r>
      </w:hyperlink>
    </w:p>
    <w:p>
      <w:r>
        <w:t xml:space="preserve">  </w:t>
      </w:r>
      <w:hyperlink w:anchor="sec003">
        <w:r>
          <w:rPr>
            <w:rStyle w:val="Hyperlink"/>
          </w:rPr>
          <w:t>a. It has a master on/off switch, and things silently do nothing when it's off</w:t>
        </w:r>
      </w:hyperlink>
    </w:p>
    <w:p>
      <w:r>
        <w:t xml:space="preserve">  </w:t>
      </w:r>
      <w:hyperlink w:anchor="sec004">
        <w:r>
          <w:rPr>
            <w:rStyle w:val="Hyperlink"/>
          </w:rPr>
          <w:t>b. Fixed 2026-08-19: this is now self-healing for the coded automations' own states</w:t>
        </w:r>
      </w:hyperlink>
    </w:p>
    <w:p>
      <w:r>
        <w:t xml:space="preserve">  </w:t>
      </w:r>
      <w:hyperlink w:anchor="sec005">
        <w:r>
          <w:rPr>
            <w:rStyle w:val="Hyperlink"/>
          </w:rPr>
          <w:t>c. A second, related gap: declaring the value list still isn't the same as the state having a value</w:t>
        </w:r>
      </w:hyperlink>
    </w:p>
    <w:p>
      <w:hyperlink w:anchor="sec006">
        <w:r>
          <w:rPr>
            <w:rStyle w:val="Hyperlink"/>
          </w:rPr>
          <w:t>2. Settings Import Features — Especially With States</w:t>
        </w:r>
      </w:hyperlink>
    </w:p>
    <w:p>
      <w:r>
        <w:t xml:space="preserve">  </w:t>
      </w:r>
      <w:hyperlink w:anchor="sec007">
        <w:r>
          <w:rPr>
            <w:rStyle w:val="Hyperlink"/>
          </w:rPr>
          <w:t>a. Automation States are force-disabled after every import — by design, not a bug</w:t>
        </w:r>
      </w:hyperlink>
    </w:p>
    <w:p>
      <w:r>
        <w:t xml:space="preserve">  </w:t>
      </w:r>
      <w:hyperlink w:anchor="sec008">
        <w:r>
          <w:rPr>
            <w:rStyle w:val="Hyperlink"/>
          </w:rPr>
          <w:t>b. Import restores states wholesale — where “states I never made myself” can come from</w:t>
        </w:r>
      </w:hyperlink>
    </w:p>
    <w:p>
      <w:r>
        <w:t xml:space="preserve">  </w:t>
      </w:r>
      <w:hyperlink w:anchor="sec009">
        <w:r>
          <w:rPr>
            <w:rStyle w:val="Hyperlink"/>
          </w:rPr>
          <w:t>c. Four “Keep current…” checkboxes not present in stock AAPS</w:t>
        </w:r>
      </w:hyperlink>
    </w:p>
    <w:p>
      <w:hyperlink w:anchor="sec010">
        <w:r>
          <w:rPr>
            <w:rStyle w:val="Hyperlink"/>
          </w:rPr>
          <w:t>3. Settings That Materially Affect Day-to-Day Function</w:t>
        </w:r>
      </w:hyperlink>
    </w:p>
    <w:p>
      <w:r>
        <w:t xml:space="preserve">  </w:t>
      </w:r>
      <w:hyperlink w:anchor="sec011">
        <w:r>
          <w:rPr>
            <w:rStyle w:val="Hyperlink"/>
          </w:rPr>
          <w:t>a. The SMB delivery brake</w:t>
        </w:r>
      </w:hyperlink>
    </w:p>
    <w:p>
      <w:r>
        <w:t xml:space="preserve">  </w:t>
      </w:r>
      <w:hyperlink w:anchor="sec012">
        <w:r>
          <w:rPr>
            <w:rStyle w:val="Hyperlink"/>
          </w:rPr>
          <w:t>b. Tier 3 UAM Boost: criteria, output, and duration</w:t>
        </w:r>
      </w:hyperlink>
    </w:p>
    <w:p>
      <w:r>
        <w:t xml:space="preserve">  </w:t>
      </w:r>
      <w:hyperlink w:anchor="sec013">
        <w:r>
          <w:rPr>
            <w:rStyle w:val="Hyperlink"/>
          </w:rPr>
          <w:t>c. The weight system's Resting/Boosted pairs</w:t>
        </w:r>
      </w:hyperlink>
    </w:p>
    <w:p>
      <w:r>
        <w:t xml:space="preserve">  </w:t>
      </w:r>
      <w:hyperlink w:anchor="sec014">
        <w:r>
          <w:rPr>
            <w:rStyle w:val="Hyperlink"/>
          </w:rPr>
          <w:t>d. TDD factor / sensitivity toggles</w:t>
        </w:r>
      </w:hyperlink>
    </w:p>
    <w:p>
      <w:r>
        <w:t xml:space="preserve">  </w:t>
      </w:r>
      <w:hyperlink w:anchor="sec015">
        <w:r>
          <w:rPr>
            <w:rStyle w:val="Hyperlink"/>
          </w:rPr>
          <w:t>e. The overnight safety-guard architecture</w:t>
        </w:r>
      </w:hyperlink>
    </w:p>
    <w:p>
      <w:hyperlink w:anchor="sec016">
        <w:r>
          <w:rPr>
            <w:rStyle w:val="Hyperlink"/>
          </w:rPr>
          <w:t>4. Setting: If Steroids Are Needed</w:t>
        </w:r>
      </w:hyperlink>
    </w:p>
    <w:p>
      <w:r>
        <w:t xml:space="preserve">  </w:t>
      </w:r>
      <w:hyperlink w:anchor="sec017">
        <w:r>
          <w:rPr>
            <w:rStyle w:val="Hyperlink"/>
          </w:rPr>
          <w:t>a. Turning it on</w:t>
        </w:r>
      </w:hyperlink>
    </w:p>
    <w:p>
      <w:r>
        <w:t xml:space="preserve">  </w:t>
      </w:r>
      <w:hyperlink w:anchor="sec018">
        <w:r>
          <w:rPr>
            <w:rStyle w:val="Hyperlink"/>
          </w:rPr>
          <w:t>b. The escalation ladder</w:t>
        </w:r>
      </w:hyperlink>
    </w:p>
    <w:p>
      <w:hyperlink w:anchor="sec019">
        <w:r>
          <w:rPr>
            <w:rStyle w:val="Hyperlink"/>
          </w:rPr>
          <w:t>5. Mounjaro (MJ): three-day reduced-insulin cycle</w:t>
        </w:r>
      </w:hyperlink>
    </w:p>
    <w:p>
      <w:r>
        <w:t xml:space="preserve">  </w:t>
      </w:r>
      <w:hyperlink w:anchor="sec020">
        <w:r>
          <w:rPr>
            <w:rStyle w:val="Hyperlink"/>
          </w:rPr>
          <w:t>a. Starting the cycle</w:t>
        </w:r>
      </w:hyperlink>
    </w:p>
    <w:p>
      <w:r>
        <w:t xml:space="preserve">  </w:t>
      </w:r>
      <w:hyperlink w:anchor="sec021">
        <w:r>
          <w:rPr>
            <w:rStyle w:val="Hyperlink"/>
          </w:rPr>
          <w:t>b. Day-by-day state progression</w:t>
        </w:r>
      </w:hyperlink>
    </w:p>
    <w:p>
      <w:r>
        <w:t xml:space="preserve">  </w:t>
      </w:r>
      <w:hyperlink w:anchor="sec022">
        <w:r>
          <w:rPr>
            <w:rStyle w:val="Hyperlink"/>
          </w:rPr>
          <w:t>c. What changes while MJ remains active</w:t>
        </w:r>
      </w:hyperlink>
    </w:p>
    <w:p>
      <w:r>
        <w:t xml:space="preserve">  </w:t>
      </w:r>
      <w:hyperlink w:anchor="sec023">
        <w:r>
          <w:rPr>
            <w:rStyle w:val="Hyperlink"/>
          </w:rPr>
          <w:t>d. Hypoglycaemia warnings and protective overrides</w:t>
        </w:r>
      </w:hyperlink>
    </w:p>
    <w:p>
      <w:r>
        <w:t xml:space="preserve">  </w:t>
      </w:r>
      <w:hyperlink w:anchor="sec024">
        <w:r>
          <w:rPr>
            <w:rStyle w:val="Hyperlink"/>
          </w:rPr>
          <w:t>e. Automatic exit and manual restoration</w:t>
        </w:r>
      </w:hyperlink>
    </w:p>
    <w:p>
      <w:hyperlink w:anchor="sec025">
        <w:r>
          <w:rPr>
            <w:rStyle w:val="Hyperlink"/>
          </w:rPr>
          <w:t>6. Mechanism For Ignoring Or Invoking Native Automations</w:t>
        </w:r>
      </w:hyperlink>
    </w:p>
    <w:p>
      <w:r>
        <w:t xml:space="preserve">  </w:t>
      </w:r>
      <w:hyperlink w:anchor="sec026">
        <w:r>
          <w:rPr>
            <w:rStyle w:val="Hyperlink"/>
          </w:rPr>
          <w:t>a. The reconciliation mechanism</w:t>
        </w:r>
      </w:hyperlink>
    </w:p>
    <w:p>
      <w:r>
        <w:t xml:space="preserve">  </w:t>
      </w:r>
      <w:hyperlink w:anchor="sec027">
        <w:r>
          <w:rPr>
            <w:rStyle w:val="Hyperlink"/>
          </w:rPr>
          <w:t>b. The suppression only applies while AutoISF is actually the active algorithm</w:t>
        </w:r>
      </w:hyperlink>
    </w:p>
    <w:p>
      <w:hyperlink w:anchor="sec028">
        <w:r>
          <w:rPr>
            <w:rStyle w:val="Hyperlink"/>
          </w:rPr>
          <w:t>7. Other Idiosyncrasies Worth Knowing</w:t>
        </w:r>
      </w:hyperlink>
    </w:p>
    <w:p>
      <w:r>
        <w:t xml:space="preserve">  </w:t>
      </w:r>
      <w:hyperlink w:anchor="sec029">
        <w:r>
          <w:rPr>
            <w:rStyle w:val="Hyperlink"/>
          </w:rPr>
          <w:t>a. CarePortal note codes as a compact diagnostic language</w:t>
        </w:r>
      </w:hyperlink>
    </w:p>
    <w:p>
      <w:r>
        <w:t xml:space="preserve">  </w:t>
      </w:r>
      <w:hyperlink w:anchor="sec030">
        <w:r>
          <w:rPr>
            <w:rStyle w:val="Hyperlink"/>
          </w:rPr>
          <w:t>b. MJ as the fork's other major state machine</w:t>
        </w:r>
      </w:hyperlink>
    </w:p>
    <w:p>
      <w:r>
        <w:t xml:space="preserve">  </w:t>
      </w:r>
      <w:hyperlink w:anchor="sec031">
        <w:r>
          <w:rPr>
            <w:rStyle w:val="Hyperlink"/>
          </w:rPr>
          <w:t>c. The AIV/UKFcheck export pipeline has more moving parts than it looks</w:t>
        </w:r>
      </w:hyperlink>
    </w:p>
    <w:p>
      <w:r>
        <w:t xml:space="preserve">  </w:t>
      </w:r>
      <w:hyperlink w:anchor="sec032">
        <w:r>
          <w:rPr>
            <w:rStyle w:val="Hyperlink"/>
          </w:rPr>
          <w:t>d. A concrete regression pattern worth remembering</w:t>
        </w:r>
      </w:hyperlink>
    </w:p>
    <w:p>
      <w:hyperlink w:anchor="sec033">
        <w:r>
          <w:rPr>
            <w:rStyle w:val="Hyperlink"/>
          </w:rPr>
          <w:t>8. Manual controls and AIV history</w:t>
        </w:r>
      </w:hyperlink>
    </w:p>
    <w:p>
      <w:r>
        <w:t xml:space="preserve">  </w:t>
      </w:r>
      <w:hyperlink w:anchor="sec034">
        <w:r>
          <w:rPr>
            <w:rStyle w:val="Hyperlink"/>
          </w:rPr>
          <w:t>a. Bolus calculator: screen, calculation and follow-up dosing</w:t>
        </w:r>
      </w:hyperlink>
    </w:p>
    <w:p>
      <w:r>
        <w:t xml:space="preserve">  </w:t>
      </w:r>
      <w:hyperlink w:anchor="sec035">
        <w:r>
          <w:rPr>
            <w:rStyle w:val="Hyperlink"/>
          </w:rPr>
          <w:t>b. Lists 1 and 2: mechanism, current status and confirmation</w:t>
        </w:r>
      </w:hyperlink>
    </w:p>
    <w:p>
      <w:r>
        <w:t xml:space="preserve">  </w:t>
      </w:r>
      <w:hyperlink w:anchor="sec036">
        <w:r>
          <w:rPr>
            <w:rStyle w:val="Hyperlink"/>
          </w:rPr>
          <w:t>c. AIV table: popup population and backup/export behavior</w:t>
        </w:r>
      </w:hyperlink>
    </w:p>
    <w:p>
      <w:hyperlink w:anchor="sec037">
        <w:r>
          <w:rPr>
            <w:rStyle w:val="Hyperlink"/>
          </w:rPr>
          <w:t>9. GUI display changes</w:t>
        </w:r>
      </w:hyperlink>
    </w:p>
    <w:p>
      <w:r>
        <w:t xml:space="preserve">  </w:t>
      </w:r>
      <w:hyperlink w:anchor="sec038">
        <w:r>
          <w:rPr>
            <w:rStyle w:val="Hyperlink"/>
          </w:rPr>
          <w:t>a. Graph types and the triggers for each</w:t>
        </w:r>
      </w:hyperlink>
    </w:p>
    <w:p>
      <w:r>
        <w:t xml:space="preserve">  </w:t>
      </w:r>
      <w:hyperlink w:anchor="sec039">
        <w:r>
          <w:rPr>
            <w:rStyle w:val="Hyperlink"/>
          </w:rPr>
          <w:t>b. Colour changes driven by AutoISF input</w:t>
        </w:r>
      </w:hyperlink>
    </w:p>
    <w:p>
      <w:r>
        <w:t xml:space="preserve">  </w:t>
      </w:r>
      <w:hyperlink w:anchor="sec040">
        <w:r>
          <w:rPr>
            <w:rStyle w:val="Hyperlink"/>
          </w:rPr>
          <w:t>c. Information shown on each graph</w:t>
        </w:r>
      </w:hyperlink>
    </w:p>
    <w:p>
      <w:hyperlink w:anchor="sec041">
        <w:r>
          <w:rPr>
            <w:rStyle w:val="Hyperlink"/>
          </w:rPr>
          <w:t>Appendix A — Installation and explanatory information</w:t>
        </w:r>
      </w:hyperlink>
    </w:p>
    <w:p>
      <w:r>
        <w:t xml:space="preserve">  </w:t>
      </w:r>
      <w:hyperlink w:anchor="sec042">
        <w:r>
          <w:rPr>
            <w:rStyle w:val="Hyperlink"/>
          </w:rPr>
          <w:t>a. Version tag &amp; build identification</w:t>
        </w:r>
      </w:hyperlink>
    </w:p>
    <w:p>
      <w:r>
        <w:t xml:space="preserve">  </w:t>
      </w:r>
      <w:hyperlink w:anchor="sec043">
        <w:r>
          <w:rPr>
            <w:rStyle w:val="Hyperlink"/>
          </w:rPr>
          <w:t>b. Per-device backup/export folder naming</w:t>
        </w:r>
      </w:hyperlink>
    </w:p>
    <w:p>
      <w:r>
        <w:t/>
      </w:r>
    </w:p>
    <w:sectPr w:rsidR="00F16DB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num w:numId="1" w16cid:durableId="1515731942">
    <w:abstractNumId w:val="0"/>
    <w:lvlOverride w:ilvl="0">
      <w:startOverride w:val="1"/>
    </w:lvlOverride>
  </w:num>
  <w:abstractNum w:abstractNumId="1">
    <w:lvl w:ilvl="0">
      <w:start w:val="1"/>
      <w:numFmt w:val="decimal"/>
      <w:lvlText w:val="%1."/>
      <w:suff w:val="tab"/>
      <w:pPr>
        <w:tabs>
          <w:tab w:val="num" w:pos="720"/>
        </w:tabs>
        <w:ind w:left="720" w:hanging="360"/>
      </w:pPr>
    </w:lvl>
  </w:abstract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1E64C6"/>
    <w:rsid w:val="00265472"/>
    <w:rsid w:val="008D42FA"/>
    <w:rsid w:val="00936EB2"/>
    <w:rsid w:val="00D92253"/>
    <w:rsid w:val="00F16D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9F5EA"/>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3906</Words>
  <Characters>22265</Characters>
  <Application>Microsoft Office Word</Application>
  <DocSecurity>0</DocSecurity>
  <Lines>185</Lines>
  <Paragraphs>52</Paragraphs>
  <ScaleCrop>false</ScaleCrop>
  <Company/>
  <LinksUpToDate>false</LinksUpToDate>
  <CharactersWithSpaces>26119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2026-08-19T13:17:00Z</cp:lastPrinted>
  <dcterms:created xsi:type="dcterms:W3CDTF">2026-08-19T13:17:00Z</dcterms:created>
  <dcterms:modified xsi:type="dcterms:W3CDTF">2026-08-19T13:17:00Z</dcterms:modified>
</cp:coreProperties>
</file>