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EB20" w14:textId="77777777" w:rsidR="00F16DB1" w:rsidRDefault="001E64C6">
      <w:pPr>
        <w:pStyle w:val="Title"/>
        <w:spacing w:after="100"/>
      </w:pPr>
      <w:r>
        <w:t>AutoISF Fork — Idiosyncrasies &amp; Operations Manual</w:t>
      </w:r>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14:paraId="649B3F65" w14:textId="77777777" w:rsidR="00F16DB1" w:rsidRDefault="001E64C6">
      <w:pPr>
        <w:pStyle w:val="Heading1"/>
        <w:spacing w:before="400" w:after="200"/>
      </w:pPr>
      <w:r>
        <w:t>1. Requirements for “Automation States”</w:t>
      </w:r>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pPr>
        <w:pStyle w:val="Heading2"/>
        <w:spacing w:before="280" w:after="120"/>
      </w:pPr>
      <w:r>
        <w:t>a. It has a master on/off switch, and things silently do nothing when it's off</w:t>
      </w:r>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pPr>
        <w:pStyle w:val="Heading2"/>
        <w:spacing w:before="280" w:after="120"/>
      </w:pPr>
      <w:r>
        <w:t>b. Fixed 2026-08-19: this is now self-healing for the coded automations' own states</w:t>
      </w:r>
    </w:p>
    <w:p w14:paraId="017476C2" w14:textId="77777777" w:rsidR="00F16DB1" w:rsidRDefault="001E64C6">
      <w:pPr>
        <w:spacing w:after="160"/>
        <w:ind w:left="360" w:firstLine="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pPr>
        <w:pStyle w:val="Heading2"/>
        <w:spacing w:before="280" w:after="120"/>
      </w:pPr>
      <w:r>
        <w:t>c. A second, related gap: declaring the value list still isn't the same as the state having a value</w:t>
      </w:r>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pPr>
        <w:pStyle w:val="Heading1"/>
        <w:spacing w:before="400" w:after="200"/>
      </w:pPr>
      <w:r>
        <w:t>2. Settings Import Features — Especially With States</w:t>
      </w:r>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pPr>
        <w:pStyle w:val="Heading2"/>
        <w:spacing w:before="280" w:after="120"/>
      </w:pPr>
      <w:r>
        <w:t>a. Automation States are force-disabled after every import — by design, not a bug</w:t>
      </w:r>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pPr>
        <w:pStyle w:val="Heading2"/>
        <w:spacing w:before="280" w:after="120"/>
      </w:pPr>
      <w:r>
        <w:t>b. Import restores states wholesale — where “states I never made myself” can come from</w:t>
      </w:r>
    </w:p>
    <w:p w14:paraId="481C20A7" w14:textId="77777777" w:rsidR="00F16DB1" w:rsidRDefault="001E64C6">
      <w:pPr>
        <w:spacing w:after="160"/>
        <w:ind w:left="360" w:firstLine="0"/>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7A1D85D3" w14:textId="77777777" w:rsidR="00F16DB1" w:rsidRDefault="001E64C6">
      <w:pPr>
        <w:pStyle w:val="Heading2"/>
        <w:spacing w:before="280" w:after="120"/>
      </w:pPr>
      <w:r>
        <w:t>c. Four “Keep current…” checkboxes not present in stock AAPS</w:t>
      </w:r>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pPr>
        <w:pStyle w:val="Heading1"/>
        <w:spacing w:before="400" w:after="200"/>
      </w:pPr>
      <w:r>
        <w:t>3. Settings That Materially Affect Day-to-Day Function</w:t>
      </w:r>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pPr>
        <w:pStyle w:val="Heading2"/>
        <w:spacing w:before="280" w:after="120"/>
      </w:pPr>
      <w:r>
        <w:t>a. The SMB delivery brake</w:t>
      </w:r>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pPr>
        <w:pStyle w:val="Heading2"/>
      </w:pPr>
      <w:r>
        <w:t>b. Tier 3 UAM Boost: criteria, output, and duration</w:t>
      </w:r>
    </w:p>
    <w:p>
      <w:pPr>
        <w:ind w:left="360" w:firstLine="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pPr>
        <w:ind w:left="360" w:firstLine="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pPr>
        <w:ind w:left="360" w:firstLine="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pPr>
        <w:ind w:left="360" w:firstLine="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pPr>
        <w:ind w:left="360" w:firstLine="0"/>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pPr>
        <w:ind w:left="360" w:firstLine="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pPr>
        <w:ind w:left="360" w:firstLine="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pPr>
        <w:ind w:left="360" w:firstLine="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pPr>
        <w:ind w:left="360" w:firstLine="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pPr>
        <w:ind w:left="360" w:firstLine="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pPr>
        <w:ind w:left="360" w:firstLine="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pPr>
        <w:ind w:left="360" w:firstLine="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2C90200E" w14:textId="77777777" w:rsidR="00F16DB1" w:rsidRDefault="001E64C6">
      <w:pPr>
        <w:pStyle w:val="Heading2"/>
        <w:spacing w:before="280" w:after="120"/>
      </w:pPr>
      <w:r>
        <w:t>c. The weight system's Resting/Boosted pairs</w:t>
      </w:r>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pPr>
        <w:pStyle w:val="Heading2"/>
        <w:spacing w:before="280" w:after="120"/>
      </w:pPr>
      <w:r>
        <w:t>d. TDD factor / sensitivity toggles</w:t>
      </w:r>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pPr>
        <w:pStyle w:val="Heading2"/>
        <w:spacing w:before="280" w:after="120"/>
      </w:pPr>
      <w:r>
        <w:t>e. The overnight safety-guard architecture</w:t>
      </w:r>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pPr>
        <w:pStyle w:val="Heading1"/>
        <w:spacing w:before="400" w:after="200"/>
      </w:pPr>
      <w:r>
        <w:t>4. Setting: If Steroids Are Needed</w:t>
      </w:r>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44AD68FE" w14:textId="77777777" w:rsidR="00F16DB1" w:rsidRDefault="001E64C6">
      <w:pPr>
        <w:pStyle w:val="Heading2"/>
        <w:spacing w:before="280" w:after="120"/>
      </w:pPr>
      <w:r>
        <w:t>a. Turning it on</w:t>
      </w:r>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t>• Requires: BooleanKey.AutomationStatesEnabled must be on (see §1)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§6 for how TT-codes are used generally in this fork.</w:t>
      </w:r>
    </w:p>
    <w:p w14:paraId="0DEDF9BF" w14:textId="77777777" w:rsidR="00F16DB1" w:rsidRDefault="001E64C6">
      <w:pPr>
        <w:pStyle w:val="Heading2"/>
        <w:spacing w:before="280" w:after="120"/>
      </w:pPr>
      <w:r>
        <w:t>b. The escalation ladder</w:t>
      </w:r>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pPr>
        <w:pStyle w:val="Heading1"/>
      </w:pPr>
      <w:r>
        <w:t>5. Mounjaro (MJ): three-day reduced-insulin cycle</w:t>
      </w:r>
    </w:p>
    <w:p>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pPr>
        <w:pStyle w:val="Heading2"/>
      </w:pPr>
      <w:r>
        <w:t>a. Starting the cycle</w:t>
      </w:r>
    </w:p>
    <w:p>
      <w:pPr>
        <w:ind w:left="360" w:firstLine="0"/>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pPr>
        <w:ind w:left="360" w:firstLine="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pPr>
        <w:pStyle w:val="Heading2"/>
      </w:pPr>
      <w:r>
        <w:t>b. Day-by-day state progression</w:t>
      </w:r>
    </w:p>
    <w:p>
      <w:pPr>
        <w:ind w:left="360" w:firstLine="0"/>
      </w:pPr>
      <w:r>
        <w:t>Day 1 — MJ active: this state begins immediately after the Mounjaro start action. While MJ is literally MJ active, several automations apply their MJ-specific branches or block stronger non-MJ behavior.</w:t>
      </w:r>
    </w:p>
    <w:p>
      <w:pPr>
        <w:ind w:left="360" w:firstLine="0"/>
      </w:pPr>
      <w:r>
        <w:t>Day 2 — MJ2: when MJ is still MJ active, the MJ2 automation can advance it to MJ2 during 02:10–03:10. It sends “MJ2” and records the CarePortal note MJ2.</w:t>
      </w:r>
    </w:p>
    <w:p>
      <w:pPr>
        <w:ind w:left="360" w:firstLine="0"/>
      </w:pPr>
      <w:r>
        <w:t>Day 3 — MJ3: when MJ is MJ2, the MJ3 automation can advance it to MJ3 during 01:05–02:05 on a later pass through that window. It sends “MJ3” and records the CarePortal note MJ3.</w:t>
      </w:r>
    </w:p>
    <w:p>
      <w:pPr>
        <w:ind w:left="360" w:firstLine="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pPr>
        <w:pStyle w:val="Heading2"/>
      </w:pPr>
      <w:r>
        <w:t>c. What changes while MJ remains active</w:t>
      </w:r>
    </w:p>
    <w:p>
      <w:pPr>
        <w:ind w:left="360" w:firstLine="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pPr>
        <w:ind w:left="360" w:firstLine="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pPr>
        <w:pStyle w:val="Heading2"/>
      </w:pPr>
      <w:r>
        <w:t>d. Hypoglycaemia warnings and protective overrides</w:t>
      </w:r>
    </w:p>
    <w:p>
      <w:pPr>
        <w:ind w:left="360" w:firstLine="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pPr>
        <w:ind w:left="360" w:firstLine="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pPr>
        <w:ind w:left="360" w:firstLine="0"/>
      </w:pPr>
      <w:r>
        <w:t>Because the protective automations and MJ state machine are separate mechanisms, a hypoglycaemia alert should be treated as an override requiring attention, not as evidence that the three-day cycle has already been completely cleared.</w:t>
      </w:r>
    </w:p>
    <w:p>
      <w:pPr>
        <w:pStyle w:val="Heading2"/>
      </w:pPr>
      <w:r>
        <w:t>e. Automatic exit and manual restoration</w:t>
      </w:r>
    </w:p>
    <w:p>
      <w:pPr>
        <w:ind w:left="360" w:firstLine="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pPr>
        <w:ind w:left="360" w:firstLine="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CC40E6E" w14:textId="77777777" w:rsidR="00F16DB1" w:rsidRDefault="001E64C6">
      <w:pPr>
        <w:pStyle w:val="Heading1"/>
        <w:spacing w:before="400" w:after="200"/>
      </w:pPr>
      <w:r>
        <w:t>6. Mechanism For Ignoring Or Invoking Native Automations</w:t>
      </w:r>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pPr>
        <w:pStyle w:val="Heading2"/>
        <w:spacing w:before="280" w:after="120"/>
      </w:pPr>
      <w:r>
        <w:t>a. The reconciliation mechanism</w:t>
      </w:r>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pPr>
        <w:pStyle w:val="Heading2"/>
        <w:spacing w:before="280" w:after="120"/>
      </w:pPr>
      <w:r>
        <w:t>b. The suppression only applies while AutoISF is actually the active algorithm</w:t>
      </w:r>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pPr>
        <w:pStyle w:val="Heading1"/>
        <w:spacing w:before="400" w:after="200"/>
      </w:pPr>
      <w:r>
        <w:t>7. Other Idiosyncrasies Worth Knowing</w:t>
      </w:r>
    </w:p>
    <w:p w14:paraId="7A57B480" w14:textId="77777777" w:rsidR="00F16DB1" w:rsidRDefault="001E64C6">
      <w:pPr>
        <w:pStyle w:val="Heading2"/>
        <w:spacing w:before="280" w:after="120"/>
      </w:pPr>
      <w:r>
        <w:t>a. CarePortal note codes as a compact diagnostic language</w:t>
      </w:r>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pPr>
        <w:pStyle w:val="Heading2"/>
        <w:spacing w:before="280" w:after="120"/>
      </w:pPr>
      <w:r>
        <w:t>b. MJ as the fork's other major state machine</w:t>
      </w:r>
    </w:p>
    <w:p w14:paraId="26BD1EF3" w14:textId="77777777" w:rsidR="00F16DB1" w:rsidRDefault="001E64C6">
      <w:pPr>
        <w:spacing w:after="160"/>
        <w:ind w:left="360" w:firstLine="0"/>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40591F8D" w14:textId="77777777" w:rsidR="00F16DB1" w:rsidRDefault="001E64C6">
      <w:pPr>
        <w:pStyle w:val="Heading2"/>
        <w:spacing w:before="280" w:after="120"/>
      </w:pPr>
      <w:r>
        <w:t>c. The AIV/UKFcheck export pipeline has more moving parts than it looks</w:t>
      </w:r>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pPr>
        <w:pStyle w:val="Heading2"/>
        <w:spacing w:before="280" w:after="120"/>
      </w:pPr>
      <w:r>
        <w:t>d. A concrete regression pattern worth remembering</w:t>
      </w:r>
    </w:p>
    <w:p w14:paraId="0E845199" w14:textId="77777777" w:rsidR="00F16DB1" w:rsidRDefault="001E64C6">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0A926786" w14:textId="77777777" w:rsidR="00F16DB1" w:rsidRDefault="001E64C6">
      <w:pPr>
        <w:pStyle w:val="Heading1"/>
        <w:spacing w:before="400" w:after="200"/>
      </w:pPr>
      <w:r>
        <w:t>Appendix A — Installation and explanatory information</w:t>
      </w:r>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pPr>
        <w:pStyle w:val="Heading2"/>
        <w:spacing w:before="280" w:after="120"/>
      </w:pPr>
      <w:r>
        <w:t>a. Version tag &amp; build identification</w:t>
      </w:r>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pPr>
        <w:pStyle w:val="Heading2"/>
        <w:spacing w:before="280" w:after="120"/>
      </w:pPr>
      <w:r>
        <w:t>b. Per-device backup/export folder naming</w:t>
      </w:r>
    </w:p>
    <w:p w14:paraId="14A04C49" w14:textId="77777777" w:rsidR="00F16DB1" w:rsidRDefault="001E64C6">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