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EB20" w14:textId="77777777" w:rsidR="00F16DB1" w:rsidRDefault="001E64C6">
      <w:pPr>
        <w:pStyle w:val="Title"/>
        <w:spacing w:after="100"/>
      </w:pPr>
      <w:r>
        <w:t>AutoISF Fork — Idiosyncrasies &amp; Operations Manual</w:t>
      </w:r>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pPr>
        <w:pStyle w:val="Heading1"/>
      </w:pPr>
      <w:r>
        <w:t>Introduction: Most significant new features</w:t>
      </w:r>
    </w:p>
    <w:p>
      <w:r>
        <w:t>This manual concentrates on the operational changes that most distinguish this AutoISF fork from stock AAPS and that are most likely to affect daily use:</w:t>
      </w:r>
    </w:p>
    <w:p>
      <w:pPr>
        <w:numPr>
          <w:ilvl w:val="0"/>
          <w:numId w:val="2"/>
        </w:numPr>
      </w:pPr>
      <w:r>
        <w:t>Self-healing coded Automation States.</w:t>
      </w:r>
    </w:p>
    <w:p>
      <w:pPr>
        <w:numPr>
          <w:ilvl w:val="0"/>
          <w:numId w:val="2"/>
        </w:numPr>
      </w:pPr>
      <w:r>
        <w:t>Settings import safeguards, including the four Keep current options.</w:t>
      </w:r>
    </w:p>
    <w:p>
      <w:pPr>
        <w:numPr>
          <w:ilvl w:val="0"/>
          <w:numId w:val="2"/>
        </w:numPr>
      </w:pPr>
      <w:r>
        <w:t>Tier 3 UAM Boost criteria, output limits and duration.</w:t>
      </w:r>
    </w:p>
    <w:p>
      <w:pPr>
        <w:numPr>
          <w:ilvl w:val="0"/>
          <w:numId w:val="2"/>
        </w:numPr>
      </w:pPr>
      <w:r>
        <w:t>BolusGiven strong-boost effects.</w:t>
      </w:r>
    </w:p>
    <w:p>
      <w:pPr>
        <w:numPr>
          <w:ilvl w:val="0"/>
          <w:numId w:val="2"/>
        </w:numPr>
      </w:pPr>
      <w:r>
        <w:t>BolusGivenMild and Mild Failsafe behavior.</w:t>
      </w:r>
    </w:p>
    <w:p>
      <w:pPr>
        <w:numPr>
          <w:ilvl w:val="0"/>
          <w:numId w:val="2"/>
        </w:numPr>
      </w:pPr>
      <w:r>
        <w:t>Steroid-management initiation and escalation.</w:t>
      </w:r>
    </w:p>
    <w:p>
      <w:pPr>
        <w:numPr>
          <w:ilvl w:val="0"/>
          <w:numId w:val="2"/>
        </w:numPr>
      </w:pPr>
      <w:r>
        <w:t>The Mounjaro three-day reduced-insulin cycle.</w:t>
      </w:r>
    </w:p>
    <w:p>
      <w:pPr>
        <w:numPr>
          <w:ilvl w:val="0"/>
          <w:numId w:val="2"/>
        </w:numPr>
      </w:pPr>
      <w:r>
        <w:t>Hypoglycaemia warnings and protective overrides.</w:t>
      </w:r>
    </w:p>
    <w:p>
      <w:pPr>
        <w:numPr>
          <w:ilvl w:val="0"/>
          <w:numId w:val="2"/>
        </w:numPr>
      </w:pPr>
      <w:r>
        <w:t>Bolus-calculator HP protection, split/delayed dosing, Lists 1 and 2, and the AIV history/export workflow.</w:t>
      </w:r>
    </w:p>
    <w:p w14:paraId="649B3F65" w14:textId="77777777" w:rsidR="00F16DB1" w:rsidRDefault="001E64C6">
      <w:pPr>
        <w:pStyle w:val="Heading1"/>
        <w:spacing w:before="400" w:after="200"/>
      </w:pPr>
      <w:r>
        <w:t>1. Requirements for “Automation States”</w:t>
      </w:r>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pPr>
        <w:pStyle w:val="Heading2"/>
        <w:spacing w:before="280" w:after="120"/>
      </w:pPr>
      <w:r>
        <w:t>a. It has a master on/off switch, and things silently do nothing when it's off</w:t>
      </w:r>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pPr>
        <w:pStyle w:val="Heading2"/>
        <w:spacing w:before="280" w:after="120"/>
      </w:pPr>
      <w:r>
        <w:t>b. Fixed 2026-08-19: this is now self-healing for the coded automations' own states</w:t>
      </w:r>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pPr>
        <w:pStyle w:val="Heading2"/>
        <w:spacing w:before="280" w:after="120"/>
      </w:pPr>
      <w:r>
        <w:t>c. A second, related gap: declaring the value list still isn't the same as the state having a value</w:t>
      </w:r>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pPr>
        <w:pStyle w:val="Heading1"/>
        <w:spacing w:before="400" w:after="200"/>
      </w:pPr>
      <w:r>
        <w:t>2. Settings Import Features — Especially With States</w:t>
      </w:r>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pPr>
        <w:pStyle w:val="Heading2"/>
        <w:spacing w:before="280" w:after="120"/>
      </w:pPr>
      <w:r>
        <w:t>a. Automation States are force-disabled after every import — by design, not a bug</w:t>
      </w:r>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pPr>
        <w:pStyle w:val="Heading2"/>
        <w:spacing w:before="280" w:after="120"/>
      </w:pPr>
      <w:r>
        <w:t>b. Import restores states wholesale — where “states I never made myself” can come from</w:t>
      </w:r>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pPr>
        <w:pStyle w:val="Heading2"/>
        <w:spacing w:before="280" w:after="120"/>
      </w:pPr>
      <w:r>
        <w:t>c. Four “Keep current…” checkboxes not present in stock AAPS</w:t>
      </w:r>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pPr>
        <w:pStyle w:val="Heading1"/>
        <w:spacing w:before="400" w:after="200"/>
      </w:pPr>
      <w:r>
        <w:t>3. Settings That Materially Affect Day-to-Day Function</w:t>
      </w:r>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pPr>
        <w:pStyle w:val="Heading2"/>
        <w:spacing w:before="280" w:after="120"/>
      </w:pPr>
      <w:r>
        <w:t>a. The SMB delivery brake</w:t>
      </w:r>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pPr>
        <w:pStyle w:val="Heading2"/>
      </w:pPr>
      <w:r>
        <w:t>b. Tier 3 UAM Boost: criteria, output, and duration</w:t>
      </w:r>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pPr>
        <w:ind w:left="360" w:firstLine="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pPr>
        <w:ind w:left="360" w:firstLine="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pPr>
        <w:ind w:left="360" w:firstLine="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pPr>
        <w:ind w:left="360" w:firstLine="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pPr>
        <w:ind w:left="360" w:firstLine="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2C90200E" w14:textId="77777777" w:rsidR="00F16DB1" w:rsidRDefault="001E64C6">
      <w:pPr>
        <w:pStyle w:val="Heading2"/>
        <w:spacing w:before="280" w:after="120"/>
      </w:pPr>
      <w:r>
        <w:t>c. The weight system's Resting/Boosted pairs</w:t>
      </w:r>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pPr>
        <w:pStyle w:val="Heading2"/>
        <w:spacing w:before="280" w:after="120"/>
      </w:pPr>
      <w:r>
        <w:t>d. TDD factor / sensitivity toggles</w:t>
      </w:r>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pPr>
        <w:pStyle w:val="Heading2"/>
        <w:spacing w:before="280" w:after="120"/>
      </w:pPr>
      <w:r>
        <w:t>e. The overnight safety-guard architecture</w:t>
      </w:r>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pPr>
        <w:pStyle w:val="Heading1"/>
        <w:spacing w:before="400" w:after="200"/>
      </w:pPr>
      <w:r>
        <w:t>4. Setting: If Steroids Are Needed</w:t>
      </w:r>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pPr>
        <w:pStyle w:val="Heading2"/>
        <w:spacing w:before="280" w:after="120"/>
      </w:pPr>
      <w:r>
        <w:t>a. Turning it on</w:t>
      </w:r>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pPr>
        <w:pStyle w:val="Heading2"/>
        <w:spacing w:before="280" w:after="120"/>
      </w:pPr>
      <w:r>
        <w:t>b. The escalation ladder</w:t>
      </w:r>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pPr>
        <w:pStyle w:val="Heading1"/>
      </w:pPr>
      <w:r>
        <w:t>5. Mounjaro (MJ): three-day reduced-insulin cycle</w:t>
      </w:r>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pPr>
        <w:pStyle w:val="Heading2"/>
      </w:pPr>
      <w:r>
        <w:t>a. Starting the cycle</w:t>
      </w:r>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pPr>
        <w:pStyle w:val="Heading2"/>
      </w:pPr>
      <w:r>
        <w:t>b. Day-by-day state progression</w:t>
      </w:r>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pPr>
        <w:pStyle w:val="Heading2"/>
      </w:pPr>
      <w:r>
        <w:t>c. What changes while MJ remains active</w:t>
      </w:r>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pPr>
        <w:pStyle w:val="Heading2"/>
      </w:pPr>
      <w:r>
        <w:t>d. Hypoglycaemia warnings and protective overrides</w:t>
      </w:r>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pPr>
        <w:pStyle w:val="Heading2"/>
      </w:pPr>
      <w:r>
        <w:t>e. Automatic exit and manual restoration</w:t>
      </w:r>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pPr>
        <w:pStyle w:val="Heading1"/>
        <w:spacing w:before="400" w:after="200"/>
      </w:pPr>
      <w:r>
        <w:t>6. Mechanism For Ignoring Or Invoking Native Automations</w:t>
      </w:r>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pPr>
        <w:pStyle w:val="Heading2"/>
        <w:spacing w:before="280" w:after="120"/>
      </w:pPr>
      <w:r>
        <w:t>a. The reconciliation mechanism</w:t>
      </w:r>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pPr>
        <w:pStyle w:val="Heading2"/>
        <w:spacing w:before="280" w:after="120"/>
      </w:pPr>
      <w:r>
        <w:t>b. The suppression only applies while AutoISF is actually the active algorithm</w:t>
      </w:r>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pPr>
        <w:pStyle w:val="Heading1"/>
        <w:spacing w:before="400" w:after="200"/>
      </w:pPr>
      <w:r>
        <w:t>7. Other Idiosyncrasies Worth Knowing</w:t>
      </w:r>
    </w:p>
    <w:p w14:paraId="7A57B480" w14:textId="77777777" w:rsidR="00F16DB1" w:rsidRDefault="001E64C6">
      <w:pPr>
        <w:pStyle w:val="Heading2"/>
        <w:spacing w:before="280" w:after="120"/>
      </w:pPr>
      <w:r>
        <w:t>a. CarePortal note codes as a compact diagnostic language</w:t>
      </w:r>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pPr>
        <w:pStyle w:val="Heading2"/>
        <w:spacing w:before="280" w:after="120"/>
      </w:pPr>
      <w:r>
        <w:t>b. MJ as the fork's other major state machine</w:t>
      </w:r>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pPr>
        <w:pStyle w:val="Heading2"/>
        <w:spacing w:before="280" w:after="120"/>
      </w:pPr>
      <w:r>
        <w:t>c. The AIV/UKFcheck export pipeline has more moving parts than it looks</w:t>
      </w:r>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pPr>
        <w:pStyle w:val="Heading2"/>
        <w:spacing w:before="280" w:after="120"/>
      </w:pPr>
      <w:r>
        <w:t>d. A concrete regression pattern worth remembering</w:t>
      </w:r>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pPr>
        <w:pStyle w:val="Heading1"/>
      </w:pPr>
      <w:r>
        <w:t>8. Manual controls and AIV history</w:t>
      </w:r>
    </w:p>
    <w:p>
      <w:pPr>
        <w:pStyle w:val="Heading2"/>
      </w:pPr>
      <w:r>
        <w:t>a. Bolus calculator: screen, calculation and follow-up dosing</w:t>
      </w:r>
    </w:p>
    <w:p>
      <w:pPr>
        <w:ind w:left="360" w:firstLine="0"/>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pPr>
        <w:ind w:left="360" w:firstLine="0"/>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pPr>
        <w:ind w:left="360" w:firstLine="0"/>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pPr>
        <w:ind w:left="360" w:firstLine="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pPr>
        <w:ind w:left="360" w:firstLine="0"/>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pPr>
        <w:ind w:left="360" w:firstLine="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pPr>
        <w:ind w:left="360" w:firstLine="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pPr>
        <w:ind w:left="360" w:firstLine="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pPr>
        <w:ind w:left="360" w:firstLine="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pPr>
        <w:pStyle w:val="Heading2"/>
      </w:pPr>
      <w:r>
        <w:t>b. Lists 1 and 2: mechanism, current status and confirmation</w:t>
      </w:r>
    </w:p>
    <w:p>
      <w:pPr>
        <w:ind w:left="360" w:firstLine="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pPr>
        <w:ind w:left="360" w:firstLine="0"/>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pPr>
        <w:ind w:left="360" w:firstLine="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pPr>
        <w:ind w:left="360" w:firstLine="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pPr>
        <w:ind w:left="360" w:firstLine="0"/>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pPr>
        <w:ind w:left="360" w:firstLine="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pPr>
        <w:pStyle w:val="Heading2"/>
      </w:pPr>
      <w:r>
        <w:t>c. AIV table: popup population and backup/export behavior</w:t>
      </w:r>
    </w:p>
    <w:p>
      <w:pPr>
        <w:ind w:left="360" w:firstLine="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pPr>
        <w:ind w:left="360" w:firstLine="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pPr>
        <w:ind w:left="360" w:firstLine="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pPr>
        <w:ind w:left="360" w:firstLine="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pPr>
        <w:ind w:left="360" w:firstLine="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0A926786" w14:textId="77777777" w:rsidR="00F16DB1" w:rsidRDefault="001E64C6">
      <w:pPr>
        <w:pStyle w:val="Heading1"/>
        <w:spacing w:before="400" w:after="200"/>
      </w:pPr>
      <w:r>
        <w:t>Appendix A — Installation and explanatory information</w:t>
      </w:r>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pPr>
        <w:pStyle w:val="Heading2"/>
        <w:spacing w:before="280" w:after="120"/>
      </w:pPr>
      <w:r>
        <w:t>a. Version tag &amp; build identification</w:t>
      </w:r>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pPr>
        <w:pStyle w:val="Heading2"/>
        <w:spacing w:before="280" w:after="120"/>
      </w:pPr>
      <w:r>
        <w:t>b. Per-device backup/export folder naming</w:t>
      </w:r>
    </w:p>
    <w:p w14:paraId="14A04C49" w14:textId="77777777" w:rsidR="00F16DB1" w:rsidRDefault="001E64C6">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abstractNum w:abstractNumId="1">
    <w:lvl w:ilvl="0">
      <w:start w:val="1"/>
      <w:numFmt w:val="decimal"/>
      <w:lvlText w:val="%1."/>
      <w:suff w:val="tab"/>
      <w:pPr>
        <w:tabs>
          <w:tab w:val="num" w:pos="720"/>
        </w:tabs>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