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40" w:name="TOC"/>
      <w:pPr>
        <w:pStyle w:val="Heading1"/>
      </w:pPr>
      <w:r>
        <w:t>Contents</w:t>
      </w:r>
      <w:bookmarkEnd w:id="40"/>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Appendix A — Installation and explanatory information</w:t>
        </w:r>
      </w:hyperlink>
    </w:p>
    <w:p>
      <w:r>
        <w:t xml:space="preserve">  </w:t>
      </w:r>
      <w:hyperlink w:anchor="sec038">
        <w:r>
          <w:rPr>
            <w:rStyle w:val="Hyperlink"/>
          </w:rPr>
          <w:t>a. Version tag &amp; build identification</w:t>
        </w:r>
      </w:hyperlink>
    </w:p>
    <w:p>
      <w:r>
        <w:t xml:space="preserve">  </w:t>
      </w:r>
      <w:hyperlink w:anchor="sec039">
        <w:r>
          <w:rPr>
            <w:rStyle w:val="Hyperlink"/>
          </w:rPr>
          <w:t>b. Per-device backup/export folder naming</w:t>
        </w:r>
      </w:hyperlink>
    </w:p>
    <w:p>
      <w:r>
        <w:t/>
      </w:r>
    </w:p>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pPr>
      <w:r>
        <w:t>Introduction: Most significant new features</w:t>
      </w:r>
      <w:bookmarkEnd w:id="1"/>
    </w:p>
    <w:p>
      <w:r>
        <w:t>This manual concentrates on the operational changes that most distinguish this AutoISF fork from stock AAPS and that are most likely to affect daily use:</w:t>
      </w:r>
    </w:p>
    <w:p>
      <w:pPr>
        <w:numPr>
          <w:ilvl w:val="0"/>
          <w:numId w:val="2"/>
        </w:numPr>
      </w:pPr>
      <w:r>
        <w:t>Self-healing coded Automation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bookmarkStart w:id="37" w:name="sec037"/>
      <w:pPr>
        <w:pStyle w:val="Heading1"/>
        <w:spacing w:before="400" w:after="200"/>
      </w:pPr>
      <w:r>
        <w:t>Appendix A — Installation and explanatory information</w:t>
      </w:r>
      <w:bookmarkEnd w:id="37"/>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8" w:name="sec038"/>
      <w:pPr>
        <w:pStyle w:val="Heading2"/>
        <w:spacing w:before="280" w:after="120"/>
      </w:pPr>
      <w:r>
        <w:t>a. Version tag &amp; build identification</w:t>
      </w:r>
      <w:bookmarkEnd w:id="38"/>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9" w:name="sec039"/>
      <w:pPr>
        <w:pStyle w:val="Heading2"/>
        <w:spacing w:before="280" w:after="120"/>
      </w:pPr>
      <w:r>
        <w:t>b. Per-device backup/export folder naming</w:t>
      </w:r>
      <w:bookmarkEnd w:id="39"/>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