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12"/>
        </w:rPr>
        <w:t xml:space="preserve">WT MGA Most Frequent Non-T Mismatch Alignments </w:t>
        <w:br/>
      </w:r>
    </w:p>
    <w:p>
      <w:r>
        <w:rPr>
          <w:rFonts w:ascii="Courier New" w:hAnsi="Courier New"/>
          <w:sz w:val="12"/>
        </w:rPr>
        <w:t xml:space="preserve">This document contains alignments between the expected non-T amplicon sequence and the top ten most frequent sequences that did not pass the T-strip filter. Percentages are relative to the total number of Non-T mismatches (17), not the total number of input sequences. Nucleotides are highlighted relative to the expected amplicon non-T sequence. </w:t>
        <w:br/>
      </w:r>
    </w:p>
    <w:p>
      <w:r>
        <w:rPr>
          <w:rFonts w:ascii="Courier New" w:hAnsi="Courier New"/>
          <w:sz w:val="12"/>
        </w:rPr>
        <w:t>Expected Amplicon non-T Sequence:</w:t>
      </w:r>
    </w:p>
    <w:p>
      <w:r>
        <w:rPr>
          <w:rFonts w:ascii="Courier New" w:hAnsi="Courier New"/>
          <w:sz w:val="12"/>
        </w:rPr>
        <w:t>AAGAAAGGAAAACAAAGAAAGGGGA-AAGAG-GCGAG-AGCGGGAGAG</w:t>
      </w:r>
    </w:p>
    <w:p>
      <w:r>
        <w:rPr>
          <w:rFonts w:ascii="Courier New" w:hAnsi="Courier New"/>
          <w:sz w:val="12"/>
        </w:rPr>
        <w:t xml:space="preserve">10 (58.82%)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2 (11.76%)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(5.88%)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N</w:t>
      </w:r>
      <w:r>
        <w:rPr>
          <w:rFonts w:ascii="Courier New" w:hAnsi="Courier New"/>
          <w:color w:val="FFC000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color w:val="FF0400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N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(5.88%)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N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(5.88%)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color w:val="FF0400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(5.88%)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color w:val="FF0400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(5.88%)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color w:val="FF0400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