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97F33" w14:textId="77777777" w:rsidR="006B42EB" w:rsidRDefault="00000000">
      <w:pPr>
        <w:pStyle w:val="Title"/>
        <w:jc w:val="center"/>
      </w:pPr>
      <w:r>
        <w:rPr>
          <w:rFonts w:ascii="Times New Roman" w:hAnsi="Times New Roman"/>
        </w:rPr>
        <w:t>PROJECT STEP ZERO</w:t>
      </w:r>
    </w:p>
    <w:p w14:paraId="7ABC03A9" w14:textId="3F8C3C43" w:rsidR="006B42EB" w:rsidRDefault="00000000" w:rsidP="0020238C">
      <w:pPr>
        <w:pStyle w:val="Subtitle"/>
        <w:jc w:val="center"/>
      </w:pPr>
      <w:r>
        <w:rPr>
          <w:rFonts w:ascii="Times New Roman" w:hAnsi="Times New Roman"/>
          <w:b/>
          <w:color w:val="000000"/>
          <w:sz w:val="28"/>
        </w:rPr>
        <w:t>Research Methodology</w:t>
      </w:r>
    </w:p>
    <w:p w14:paraId="21FE8949" w14:textId="5044E886" w:rsidR="006B42EB" w:rsidRDefault="0020238C" w:rsidP="0020238C">
      <w:pPr>
        <w:jc w:val="center"/>
      </w:pPr>
      <w:r>
        <w:t>2</w:t>
      </w:r>
      <w:r w:rsidR="00B64A87">
        <w:t>5</w:t>
      </w:r>
      <w:r w:rsidR="00B64A87" w:rsidRPr="00B64A87">
        <w:rPr>
          <w:vertAlign w:val="superscript"/>
        </w:rPr>
        <w:t>th</w:t>
      </w:r>
      <w:r w:rsidR="00B64A87">
        <w:t xml:space="preserve"> </w:t>
      </w:r>
      <w:r>
        <w:t>September 2026</w:t>
      </w:r>
    </w:p>
    <w:p w14:paraId="3CE580D3" w14:textId="77777777" w:rsidR="006B42EB" w:rsidRDefault="00000000">
      <w:pPr>
        <w:pStyle w:val="Heading1"/>
      </w:pPr>
      <w:r>
        <w:t>1. Purpose, Scope, and Methodological Standard</w:t>
      </w:r>
    </w:p>
    <w:p w14:paraId="4B8BE72F" w14:textId="77777777" w:rsidR="006B42EB" w:rsidRDefault="00000000">
      <w:r>
        <w:t>Project Step Zero investigates whether an explicit graph representation of STEM prerequisite structure can support learning-path recommendations that produce measurable differences in student learning outcomes relative to a standardized conventional sequence. The methodology is designed to produce interpretable evidence whether the empirical result is positive, null, heterogeneous, or contrary to expectation. The study comprises five independently recruited subject cohorts: mathematics, physics, chemistry, biology, and computer science. The computational foundation is the frozen Project Step Zero v1.0 system, while the empirical intervention is the explicitly frozen Balanced Step Zero recommendation policy defined in the repository intervention artifact. The protocol specifies the research questions, estimands, graph validation, structural analyses, randomized intervention, assessment, comparator construction, power analysis, statistical inference, missing-data handling, contamination monitoring, reproducibility procedures, and limits of causal interpretation.</w:t>
      </w:r>
    </w:p>
    <w:p w14:paraId="5130C952" w14:textId="77777777" w:rsidR="006B42EB" w:rsidRDefault="00000000">
      <w:pPr>
        <w:pStyle w:val="Heading1"/>
      </w:pPr>
      <w:r>
        <w:rPr>
          <w:rFonts w:ascii="Times New Roman" w:hAnsi="Times New Roman"/>
        </w:rPr>
        <w:t>2. Research questions and hypotheses</w:t>
      </w:r>
    </w:p>
    <w:p w14:paraId="57A8210F" w14:textId="77777777" w:rsidR="006B42EB" w:rsidRDefault="00000000">
      <w:r>
        <w:t>The project retains the locked research-question structure.</w:t>
      </w:r>
    </w:p>
    <w:tbl>
      <w:tblPr>
        <w:tblStyle w:val="TableGrid"/>
        <w:tblW w:w="0" w:type="auto"/>
        <w:jc w:val="center"/>
        <w:tblLook w:val="04A0" w:firstRow="1" w:lastRow="0" w:firstColumn="1" w:lastColumn="0" w:noHBand="0" w:noVBand="1"/>
      </w:tblPr>
      <w:tblGrid>
        <w:gridCol w:w="3156"/>
        <w:gridCol w:w="3198"/>
        <w:gridCol w:w="3222"/>
      </w:tblGrid>
      <w:tr w:rsidR="006B42EB" w14:paraId="382148DF" w14:textId="77777777">
        <w:trPr>
          <w:jc w:val="center"/>
        </w:trPr>
        <w:tc>
          <w:tcPr>
            <w:tcW w:w="3312" w:type="dxa"/>
            <w:vAlign w:val="center"/>
          </w:tcPr>
          <w:p w14:paraId="68092738" w14:textId="77777777" w:rsidR="006B42EB" w:rsidRDefault="00000000">
            <w:pPr>
              <w:spacing w:after="40"/>
            </w:pPr>
            <w:r>
              <w:rPr>
                <w:b/>
                <w:sz w:val="19"/>
              </w:rPr>
              <w:t>Question</w:t>
            </w:r>
          </w:p>
        </w:tc>
        <w:tc>
          <w:tcPr>
            <w:tcW w:w="3312" w:type="dxa"/>
            <w:vAlign w:val="center"/>
          </w:tcPr>
          <w:p w14:paraId="42328954" w14:textId="77777777" w:rsidR="006B42EB" w:rsidRDefault="00000000">
            <w:pPr>
              <w:spacing w:after="40"/>
            </w:pPr>
            <w:r>
              <w:rPr>
                <w:b/>
                <w:sz w:val="19"/>
              </w:rPr>
              <w:t>Research question</w:t>
            </w:r>
          </w:p>
        </w:tc>
        <w:tc>
          <w:tcPr>
            <w:tcW w:w="3312" w:type="dxa"/>
            <w:vAlign w:val="center"/>
          </w:tcPr>
          <w:p w14:paraId="27CB2A44" w14:textId="77777777" w:rsidR="006B42EB" w:rsidRDefault="00000000">
            <w:pPr>
              <w:spacing w:after="40"/>
            </w:pPr>
            <w:r>
              <w:rPr>
                <w:b/>
                <w:sz w:val="19"/>
              </w:rPr>
              <w:t>Role</w:t>
            </w:r>
          </w:p>
        </w:tc>
      </w:tr>
      <w:tr w:rsidR="006B42EB" w14:paraId="73668018" w14:textId="77777777">
        <w:trPr>
          <w:jc w:val="center"/>
        </w:trPr>
        <w:tc>
          <w:tcPr>
            <w:tcW w:w="3312" w:type="dxa"/>
            <w:vAlign w:val="center"/>
          </w:tcPr>
          <w:p w14:paraId="6FF56881" w14:textId="77777777" w:rsidR="006B42EB" w:rsidRDefault="00000000">
            <w:pPr>
              <w:spacing w:after="40"/>
            </w:pPr>
            <w:r>
              <w:rPr>
                <w:sz w:val="19"/>
              </w:rPr>
              <w:t>PRQ</w:t>
            </w:r>
          </w:p>
        </w:tc>
        <w:tc>
          <w:tcPr>
            <w:tcW w:w="3312" w:type="dxa"/>
            <w:vAlign w:val="center"/>
          </w:tcPr>
          <w:p w14:paraId="34B7005E" w14:textId="77777777" w:rsidR="006B42EB" w:rsidRDefault="00000000">
            <w:pPr>
              <w:spacing w:after="40"/>
            </w:pPr>
            <w:r>
              <w:rPr>
                <w:sz w:val="19"/>
              </w:rPr>
              <w:t>To what extent can representing a STEM curriculum as an explicit, structurally-analyzed prerequisite graph produce learning-path recommendations that measurably improve student learning outcomes, relative to conventional sequencing?</w:t>
            </w:r>
          </w:p>
        </w:tc>
        <w:tc>
          <w:tcPr>
            <w:tcW w:w="3312" w:type="dxa"/>
            <w:vAlign w:val="center"/>
          </w:tcPr>
          <w:p w14:paraId="6B95F861" w14:textId="77777777" w:rsidR="006B42EB" w:rsidRDefault="00000000">
            <w:pPr>
              <w:spacing w:after="40"/>
            </w:pPr>
            <w:r>
              <w:rPr>
                <w:sz w:val="19"/>
              </w:rPr>
              <w:t>Synthesis</w:t>
            </w:r>
          </w:p>
        </w:tc>
      </w:tr>
      <w:tr w:rsidR="006B42EB" w14:paraId="0FFB3E0C" w14:textId="77777777">
        <w:trPr>
          <w:jc w:val="center"/>
        </w:trPr>
        <w:tc>
          <w:tcPr>
            <w:tcW w:w="3312" w:type="dxa"/>
            <w:vAlign w:val="center"/>
          </w:tcPr>
          <w:p w14:paraId="3E4D176C" w14:textId="77777777" w:rsidR="006B42EB" w:rsidRDefault="00000000">
            <w:pPr>
              <w:spacing w:after="40"/>
            </w:pPr>
            <w:r>
              <w:rPr>
                <w:sz w:val="19"/>
              </w:rPr>
              <w:t>SQ1</w:t>
            </w:r>
          </w:p>
        </w:tc>
        <w:tc>
          <w:tcPr>
            <w:tcW w:w="3312" w:type="dxa"/>
            <w:vAlign w:val="center"/>
          </w:tcPr>
          <w:p w14:paraId="2E886A12" w14:textId="77777777" w:rsidR="006B42EB" w:rsidRDefault="00000000">
            <w:pPr>
              <w:spacing w:after="40"/>
            </w:pPr>
            <w:r>
              <w:rPr>
                <w:sz w:val="19"/>
              </w:rPr>
              <w:t>To what extent does a graph-based representation of prerequisite structure, concept importance, and cross-subject dependency align with domain experts' understanding of curricular structure?</w:t>
            </w:r>
          </w:p>
        </w:tc>
        <w:tc>
          <w:tcPr>
            <w:tcW w:w="3312" w:type="dxa"/>
            <w:vAlign w:val="center"/>
          </w:tcPr>
          <w:p w14:paraId="4259F43A" w14:textId="77777777" w:rsidR="006B42EB" w:rsidRDefault="00000000">
            <w:pPr>
              <w:spacing w:after="40"/>
            </w:pPr>
            <w:r>
              <w:rPr>
                <w:sz w:val="19"/>
              </w:rPr>
              <w:t>Expert validation</w:t>
            </w:r>
          </w:p>
        </w:tc>
      </w:tr>
      <w:tr w:rsidR="006B42EB" w14:paraId="20CF4A76" w14:textId="77777777">
        <w:trPr>
          <w:jc w:val="center"/>
        </w:trPr>
        <w:tc>
          <w:tcPr>
            <w:tcW w:w="3312" w:type="dxa"/>
            <w:vAlign w:val="center"/>
          </w:tcPr>
          <w:p w14:paraId="34881832" w14:textId="77777777" w:rsidR="006B42EB" w:rsidRDefault="00000000">
            <w:pPr>
              <w:spacing w:after="40"/>
            </w:pPr>
            <w:r>
              <w:rPr>
                <w:sz w:val="19"/>
              </w:rPr>
              <w:t>SQ2a</w:t>
            </w:r>
          </w:p>
        </w:tc>
        <w:tc>
          <w:tcPr>
            <w:tcW w:w="3312" w:type="dxa"/>
            <w:vAlign w:val="center"/>
          </w:tcPr>
          <w:p w14:paraId="6414F4BA" w14:textId="77777777" w:rsidR="006B42EB" w:rsidRDefault="00000000">
            <w:pPr>
              <w:spacing w:after="40"/>
            </w:pPr>
            <w:r>
              <w:rPr>
                <w:sz w:val="19"/>
              </w:rPr>
              <w:t>What structural properties (bottleneck concepts, ordering flexibility, cross-subject dependency depth) characterize STEM curricula when represented as prerequisite graphs?</w:t>
            </w:r>
          </w:p>
        </w:tc>
        <w:tc>
          <w:tcPr>
            <w:tcW w:w="3312" w:type="dxa"/>
            <w:vAlign w:val="center"/>
          </w:tcPr>
          <w:p w14:paraId="12FD771D" w14:textId="77777777" w:rsidR="006B42EB" w:rsidRDefault="00000000">
            <w:pPr>
              <w:spacing w:after="40"/>
            </w:pPr>
            <w:r>
              <w:rPr>
                <w:sz w:val="19"/>
              </w:rPr>
              <w:t>Structural description</w:t>
            </w:r>
          </w:p>
        </w:tc>
      </w:tr>
      <w:tr w:rsidR="006B42EB" w14:paraId="29E63046" w14:textId="77777777">
        <w:trPr>
          <w:jc w:val="center"/>
        </w:trPr>
        <w:tc>
          <w:tcPr>
            <w:tcW w:w="3312" w:type="dxa"/>
            <w:vAlign w:val="center"/>
          </w:tcPr>
          <w:p w14:paraId="4B6849D0" w14:textId="77777777" w:rsidR="006B42EB" w:rsidRDefault="00000000">
            <w:pPr>
              <w:spacing w:after="40"/>
            </w:pPr>
            <w:r>
              <w:rPr>
                <w:sz w:val="19"/>
              </w:rPr>
              <w:t>SQ2b</w:t>
            </w:r>
          </w:p>
        </w:tc>
        <w:tc>
          <w:tcPr>
            <w:tcW w:w="3312" w:type="dxa"/>
            <w:vAlign w:val="center"/>
          </w:tcPr>
          <w:p w14:paraId="7AE48C32" w14:textId="77777777" w:rsidR="006B42EB" w:rsidRDefault="00000000">
            <w:pPr>
              <w:spacing w:after="40"/>
            </w:pPr>
            <w:r>
              <w:rPr>
                <w:sz w:val="19"/>
              </w:rPr>
              <w:t>To what extent are these structural properties consistent across subjects, as opposed to concentrated in particular domains?</w:t>
            </w:r>
          </w:p>
        </w:tc>
        <w:tc>
          <w:tcPr>
            <w:tcW w:w="3312" w:type="dxa"/>
            <w:vAlign w:val="center"/>
          </w:tcPr>
          <w:p w14:paraId="2CE35FFD" w14:textId="77777777" w:rsidR="006B42EB" w:rsidRDefault="00000000">
            <w:pPr>
              <w:spacing w:after="40"/>
            </w:pPr>
            <w:r>
              <w:rPr>
                <w:sz w:val="19"/>
              </w:rPr>
              <w:t>Cross-subject case comparison</w:t>
            </w:r>
          </w:p>
        </w:tc>
      </w:tr>
      <w:tr w:rsidR="006B42EB" w14:paraId="6F51CE9E" w14:textId="77777777">
        <w:trPr>
          <w:jc w:val="center"/>
        </w:trPr>
        <w:tc>
          <w:tcPr>
            <w:tcW w:w="3312" w:type="dxa"/>
            <w:vAlign w:val="center"/>
          </w:tcPr>
          <w:p w14:paraId="7ED6AC37" w14:textId="77777777" w:rsidR="006B42EB" w:rsidRDefault="00000000">
            <w:pPr>
              <w:spacing w:after="40"/>
            </w:pPr>
            <w:r>
              <w:rPr>
                <w:sz w:val="19"/>
              </w:rPr>
              <w:t>SQ3</w:t>
            </w:r>
          </w:p>
        </w:tc>
        <w:tc>
          <w:tcPr>
            <w:tcW w:w="3312" w:type="dxa"/>
            <w:vAlign w:val="center"/>
          </w:tcPr>
          <w:p w14:paraId="0C99C26E" w14:textId="77777777" w:rsidR="006B42EB" w:rsidRDefault="00000000">
            <w:pPr>
              <w:spacing w:after="40"/>
            </w:pPr>
            <w:r>
              <w:rPr>
                <w:sz w:val="19"/>
              </w:rPr>
              <w:t xml:space="preserve">To what extent do graph-informed learning-path recommendations produce superior learning outcomes (mastery level, time to mastery, forced-completion rate) compared to a baseline sequencing strategy, when </w:t>
            </w:r>
            <w:r>
              <w:rPr>
                <w:sz w:val="19"/>
              </w:rPr>
              <w:lastRenderedPageBreak/>
              <w:t>evaluated against empirical student data?</w:t>
            </w:r>
          </w:p>
        </w:tc>
        <w:tc>
          <w:tcPr>
            <w:tcW w:w="3312" w:type="dxa"/>
            <w:vAlign w:val="center"/>
          </w:tcPr>
          <w:p w14:paraId="01C4A099" w14:textId="77777777" w:rsidR="006B42EB" w:rsidRDefault="00000000">
            <w:pPr>
              <w:spacing w:after="40"/>
            </w:pPr>
            <w:r>
              <w:rPr>
                <w:sz w:val="19"/>
              </w:rPr>
              <w:lastRenderedPageBreak/>
              <w:t>Primary empirical intervention</w:t>
            </w:r>
          </w:p>
        </w:tc>
      </w:tr>
      <w:tr w:rsidR="006B42EB" w14:paraId="6649372A" w14:textId="77777777">
        <w:trPr>
          <w:jc w:val="center"/>
        </w:trPr>
        <w:tc>
          <w:tcPr>
            <w:tcW w:w="3312" w:type="dxa"/>
            <w:vAlign w:val="center"/>
          </w:tcPr>
          <w:p w14:paraId="307076B7" w14:textId="77777777" w:rsidR="006B42EB" w:rsidRDefault="00000000">
            <w:pPr>
              <w:spacing w:after="40"/>
            </w:pPr>
            <w:r>
              <w:rPr>
                <w:sz w:val="19"/>
              </w:rPr>
              <w:t>SQ4</w:t>
            </w:r>
          </w:p>
        </w:tc>
        <w:tc>
          <w:tcPr>
            <w:tcW w:w="3312" w:type="dxa"/>
            <w:vAlign w:val="center"/>
          </w:tcPr>
          <w:p w14:paraId="658729DD" w14:textId="77777777" w:rsidR="006B42EB" w:rsidRDefault="00000000">
            <w:pPr>
              <w:spacing w:after="40"/>
            </w:pPr>
            <w:r>
              <w:rPr>
                <w:sz w:val="19"/>
              </w:rPr>
              <w:t>How sensitive is the magnitude and direction of any observed effect to the choice of weighting strategy and to learner variability?</w:t>
            </w:r>
          </w:p>
        </w:tc>
        <w:tc>
          <w:tcPr>
            <w:tcW w:w="3312" w:type="dxa"/>
            <w:vAlign w:val="center"/>
          </w:tcPr>
          <w:p w14:paraId="0D5DE5E5" w14:textId="77777777" w:rsidR="006B42EB" w:rsidRDefault="00000000">
            <w:pPr>
              <w:spacing w:after="40"/>
            </w:pPr>
            <w:r>
              <w:rPr>
                <w:sz w:val="19"/>
              </w:rPr>
              <w:t>Exploratory robustness/moderation</w:t>
            </w:r>
          </w:p>
        </w:tc>
      </w:tr>
    </w:tbl>
    <w:p w14:paraId="21D63035" w14:textId="77777777" w:rsidR="006B42EB" w:rsidRDefault="006B42EB"/>
    <w:p w14:paraId="310434F3" w14:textId="77777777" w:rsidR="006B42EB" w:rsidRDefault="00000000">
      <w:pPr>
        <w:pStyle w:val="Heading2"/>
      </w:pPr>
      <w:r>
        <w:rPr>
          <w:rFonts w:ascii="Times New Roman" w:hAnsi="Times New Roman"/>
        </w:rPr>
        <w:t>2.1 Hypotheses</w:t>
      </w:r>
    </w:p>
    <w:p w14:paraId="09702400" w14:textId="77777777" w:rsidR="006B42EB" w:rsidRDefault="00000000">
      <w:r>
        <w:t>Only one hypothesis is confirmatory. This prevents subject-specific effects, alternative weighting profiles, and structural patterns from silently becoming additional primary tests.</w:t>
      </w:r>
    </w:p>
    <w:p w14:paraId="2E21BFAF" w14:textId="77777777" w:rsidR="006B42EB" w:rsidRDefault="00000000">
      <w:pPr>
        <w:pStyle w:val="ListBullet"/>
      </w:pPr>
      <w:r>
        <w:t>Primary confirmatory H0: the student-weighted average treatment effect on the control-referenced standardized posttest score is zero.</w:t>
      </w:r>
    </w:p>
    <w:p w14:paraId="5FC37271" w14:textId="77777777" w:rsidR="006B42EB" w:rsidRDefault="00000000">
      <w:pPr>
        <w:pStyle w:val="ListBullet"/>
      </w:pPr>
      <w:r>
        <w:t>Primary confirmatory H1: the student-weighted average treatment effect on the control-referenced standardized posttest score is greater than zero.</w:t>
      </w:r>
    </w:p>
    <w:p w14:paraId="680A3908" w14:textId="77777777" w:rsidR="006B42EB" w:rsidRDefault="00000000">
      <w:pPr>
        <w:pStyle w:val="ListBullet"/>
      </w:pPr>
      <w:r>
        <w:t>Subject-specific effects and</w:t>
      </w:r>
      <m:oMath>
        <m:r>
          <w:rPr>
            <w:rFonts w:ascii="Cambria Math" w:hAnsi="Cambria Math"/>
          </w:rPr>
          <m:t>Treatment × Subject</m:t>
        </m:r>
      </m:oMath>
      <w:r>
        <w:t>heterogeneity are secondary and are reported with confidence intervals rather than treated as additional confirmatory hypothesis tests.</w:t>
      </w:r>
    </w:p>
    <w:p w14:paraId="6B3ADBE5" w14:textId="77777777" w:rsidR="006B42EB" w:rsidRDefault="00000000">
      <w:pPr>
        <w:pStyle w:val="ListBullet"/>
      </w:pPr>
      <w:r>
        <w:t>Prior-mastery moderation is exploratory. The pre-specified directional expectation is that the graph-informed policy effect may be larger among students with lower prior mastery, because those students may have more to gain from prerequisite-aware sequencing.</w:t>
      </w:r>
    </w:p>
    <w:p w14:paraId="4C12C0EC" w14:textId="77777777" w:rsidR="006B42EB" w:rsidRDefault="00000000">
      <w:pPr>
        <w:pStyle w:val="ListBullet"/>
      </w:pPr>
      <w:r>
        <w:t>Weighting-profile robustness is non-causal and exploratory: alternative weighting profiles are evaluated for sensitivity of recommendations and simulated/algorithmic outcomes, not interpreted as randomized educational effects.</w:t>
      </w:r>
    </w:p>
    <w:p w14:paraId="06800AC2" w14:textId="77777777" w:rsidR="006B42EB" w:rsidRDefault="00000000">
      <w:pPr>
        <w:pStyle w:val="Heading1"/>
      </w:pPr>
      <w:r>
        <w:rPr>
          <w:rFonts w:ascii="Times New Roman" w:hAnsi="Times New Roman"/>
        </w:rPr>
        <w:t>3. Primary estimand</w:t>
      </w:r>
    </w:p>
    <w:p w14:paraId="792972F7" w14:textId="77777777" w:rsidR="006B42EB" w:rsidRDefault="00000000">
      <w:r>
        <w:t>The primary estimand is the intention-to-treat average difference in post-intervention learning between students assigned to the balanced Step Zero recommendation policy and students assigned to the standardized conventional sequencing policy, expressed in control-arm standard deviation units and averaged over the actually randomized student population.</w:t>
      </w:r>
    </w:p>
    <w:tbl>
      <w:tblPr>
        <w:tblStyle w:val="TableGrid"/>
        <w:tblW w:w="0" w:type="auto"/>
        <w:jc w:val="center"/>
        <w:tblLook w:val="04A0" w:firstRow="1" w:lastRow="0" w:firstColumn="1" w:lastColumn="0" w:noHBand="0" w:noVBand="1"/>
      </w:tblPr>
      <w:tblGrid>
        <w:gridCol w:w="4779"/>
        <w:gridCol w:w="4797"/>
      </w:tblGrid>
      <w:tr w:rsidR="006B42EB" w14:paraId="1023D10C" w14:textId="77777777">
        <w:trPr>
          <w:jc w:val="center"/>
        </w:trPr>
        <w:tc>
          <w:tcPr>
            <w:tcW w:w="4968" w:type="dxa"/>
            <w:vAlign w:val="center"/>
          </w:tcPr>
          <w:p w14:paraId="462C5A4D" w14:textId="77777777" w:rsidR="006B42EB" w:rsidRDefault="00000000">
            <w:pPr>
              <w:spacing w:after="40"/>
            </w:pPr>
            <w:r>
              <w:rPr>
                <w:b/>
                <w:sz w:val="19"/>
              </w:rPr>
              <w:t>Estimand attribute</w:t>
            </w:r>
          </w:p>
        </w:tc>
        <w:tc>
          <w:tcPr>
            <w:tcW w:w="4968" w:type="dxa"/>
            <w:vAlign w:val="center"/>
          </w:tcPr>
          <w:p w14:paraId="2E911D75" w14:textId="77777777" w:rsidR="006B42EB" w:rsidRDefault="00000000">
            <w:pPr>
              <w:spacing w:after="40"/>
            </w:pPr>
            <w:r>
              <w:rPr>
                <w:b/>
                <w:sz w:val="19"/>
              </w:rPr>
              <w:t>Locked definition</w:t>
            </w:r>
          </w:p>
        </w:tc>
      </w:tr>
      <w:tr w:rsidR="006B42EB" w14:paraId="4AA39D26" w14:textId="77777777">
        <w:trPr>
          <w:jc w:val="center"/>
        </w:trPr>
        <w:tc>
          <w:tcPr>
            <w:tcW w:w="4968" w:type="dxa"/>
            <w:vAlign w:val="center"/>
          </w:tcPr>
          <w:p w14:paraId="49176E09" w14:textId="77777777" w:rsidR="006B42EB" w:rsidRDefault="00000000">
            <w:pPr>
              <w:spacing w:after="40"/>
            </w:pPr>
            <w:r>
              <w:rPr>
                <w:sz w:val="19"/>
              </w:rPr>
              <w:t>Population</w:t>
            </w:r>
          </w:p>
        </w:tc>
        <w:tc>
          <w:tcPr>
            <w:tcW w:w="4968" w:type="dxa"/>
            <w:vAlign w:val="center"/>
          </w:tcPr>
          <w:p w14:paraId="22E51D59" w14:textId="77777777" w:rsidR="006B42EB" w:rsidRDefault="00000000">
            <w:pPr>
              <w:spacing w:after="40"/>
            </w:pPr>
            <w:r>
              <w:rPr>
                <w:sz w:val="19"/>
              </w:rPr>
              <w:t>Students randomized within participating tutor groups across Mathematics, Physics, Chemistry, Biology, and Computer Science at the recruited sites and tested curriculum levels.</w:t>
            </w:r>
          </w:p>
        </w:tc>
      </w:tr>
      <w:tr w:rsidR="006B42EB" w14:paraId="11D10DA1" w14:textId="77777777">
        <w:trPr>
          <w:jc w:val="center"/>
        </w:trPr>
        <w:tc>
          <w:tcPr>
            <w:tcW w:w="4968" w:type="dxa"/>
            <w:vAlign w:val="center"/>
          </w:tcPr>
          <w:p w14:paraId="01D08F07" w14:textId="77777777" w:rsidR="006B42EB" w:rsidRDefault="00000000">
            <w:pPr>
              <w:spacing w:after="40"/>
            </w:pPr>
            <w:r>
              <w:rPr>
                <w:sz w:val="19"/>
              </w:rPr>
              <w:t>Treatment</w:t>
            </w:r>
          </w:p>
        </w:tc>
        <w:tc>
          <w:tcPr>
            <w:tcW w:w="4968" w:type="dxa"/>
            <w:vAlign w:val="center"/>
          </w:tcPr>
          <w:p w14:paraId="390BB950" w14:textId="77777777" w:rsidR="006B42EB" w:rsidRDefault="00000000">
            <w:pPr>
              <w:spacing w:after="40"/>
            </w:pPr>
            <w:r>
              <w:rPr>
                <w:sz w:val="19"/>
              </w:rPr>
              <w:t>Assignment to the frozen balanced Step Zero recommendation policy.</w:t>
            </w:r>
          </w:p>
        </w:tc>
      </w:tr>
      <w:tr w:rsidR="006B42EB" w14:paraId="2E402036" w14:textId="77777777">
        <w:trPr>
          <w:jc w:val="center"/>
        </w:trPr>
        <w:tc>
          <w:tcPr>
            <w:tcW w:w="4968" w:type="dxa"/>
            <w:vAlign w:val="center"/>
          </w:tcPr>
          <w:p w14:paraId="1C04A29F" w14:textId="77777777" w:rsidR="006B42EB" w:rsidRDefault="00000000">
            <w:pPr>
              <w:spacing w:after="40"/>
            </w:pPr>
            <w:r>
              <w:rPr>
                <w:sz w:val="19"/>
              </w:rPr>
              <w:t>Comparator</w:t>
            </w:r>
          </w:p>
        </w:tc>
        <w:tc>
          <w:tcPr>
            <w:tcW w:w="4968" w:type="dxa"/>
            <w:vAlign w:val="center"/>
          </w:tcPr>
          <w:p w14:paraId="78DF6C06" w14:textId="77777777" w:rsidR="006B42EB" w:rsidRDefault="00000000">
            <w:pPr>
              <w:spacing w:after="40"/>
            </w:pPr>
            <w:r>
              <w:rPr>
                <w:sz w:val="19"/>
              </w:rPr>
              <w:t>Assignment to the frozen standardized conventional sequence for that subject.</w:t>
            </w:r>
          </w:p>
        </w:tc>
      </w:tr>
      <w:tr w:rsidR="006B42EB" w14:paraId="43F83591" w14:textId="77777777">
        <w:trPr>
          <w:jc w:val="center"/>
        </w:trPr>
        <w:tc>
          <w:tcPr>
            <w:tcW w:w="4968" w:type="dxa"/>
            <w:vAlign w:val="center"/>
          </w:tcPr>
          <w:p w14:paraId="6D207F2C" w14:textId="77777777" w:rsidR="006B42EB" w:rsidRDefault="00000000">
            <w:pPr>
              <w:spacing w:after="40"/>
            </w:pPr>
            <w:r>
              <w:rPr>
                <w:sz w:val="19"/>
              </w:rPr>
              <w:t>Assignment</w:t>
            </w:r>
          </w:p>
        </w:tc>
        <w:tc>
          <w:tcPr>
            <w:tcW w:w="4968" w:type="dxa"/>
            <w:vAlign w:val="center"/>
          </w:tcPr>
          <w:p w14:paraId="12BBA6BC" w14:textId="77777777" w:rsidR="006B42EB" w:rsidRDefault="00000000">
            <w:pPr>
              <w:spacing w:after="40"/>
            </w:pPr>
            <w:r>
              <w:rPr>
                <w:sz w:val="19"/>
              </w:rPr>
              <w:t>Individual 1:1 randomization within tutor group and subject.</w:t>
            </w:r>
          </w:p>
        </w:tc>
      </w:tr>
      <w:tr w:rsidR="006B42EB" w14:paraId="66FB658E" w14:textId="77777777">
        <w:trPr>
          <w:jc w:val="center"/>
        </w:trPr>
        <w:tc>
          <w:tcPr>
            <w:tcW w:w="4968" w:type="dxa"/>
            <w:vAlign w:val="center"/>
          </w:tcPr>
          <w:p w14:paraId="242BC927" w14:textId="77777777" w:rsidR="006B42EB" w:rsidRDefault="00000000">
            <w:pPr>
              <w:spacing w:after="40"/>
            </w:pPr>
            <w:r>
              <w:rPr>
                <w:sz w:val="19"/>
              </w:rPr>
              <w:t>Outcome</w:t>
            </w:r>
          </w:p>
        </w:tc>
        <w:tc>
          <w:tcPr>
            <w:tcW w:w="4968" w:type="dxa"/>
            <w:vAlign w:val="center"/>
          </w:tcPr>
          <w:p w14:paraId="3ED0AFF7" w14:textId="77777777" w:rsidR="006B42EB" w:rsidRDefault="00000000">
            <w:pPr>
              <w:spacing w:after="40"/>
            </w:pPr>
            <w:r>
              <w:rPr>
                <w:sz w:val="19"/>
              </w:rPr>
              <w:t>Control-arm-referenced standardized posttest score.</w:t>
            </w:r>
          </w:p>
        </w:tc>
      </w:tr>
      <w:tr w:rsidR="006B42EB" w14:paraId="048C70A6" w14:textId="77777777">
        <w:trPr>
          <w:jc w:val="center"/>
        </w:trPr>
        <w:tc>
          <w:tcPr>
            <w:tcW w:w="4968" w:type="dxa"/>
            <w:vAlign w:val="center"/>
          </w:tcPr>
          <w:p w14:paraId="5573D5B9" w14:textId="77777777" w:rsidR="006B42EB" w:rsidRDefault="00000000">
            <w:pPr>
              <w:spacing w:after="40"/>
            </w:pPr>
            <w:r>
              <w:rPr>
                <w:sz w:val="19"/>
              </w:rPr>
              <w:t>Time</w:t>
            </w:r>
          </w:p>
        </w:tc>
        <w:tc>
          <w:tcPr>
            <w:tcW w:w="4968" w:type="dxa"/>
            <w:vAlign w:val="center"/>
          </w:tcPr>
          <w:p w14:paraId="57DAEB94" w14:textId="77777777" w:rsidR="006B42EB" w:rsidRDefault="00000000">
            <w:pPr>
              <w:spacing w:after="40"/>
            </w:pPr>
            <w:r>
              <w:rPr>
                <w:sz w:val="19"/>
              </w:rPr>
              <w:t>Immediately after the subject-specific, pre-specified intervention window.</w:t>
            </w:r>
          </w:p>
        </w:tc>
      </w:tr>
      <w:tr w:rsidR="006B42EB" w14:paraId="2CC74FCD" w14:textId="77777777">
        <w:trPr>
          <w:jc w:val="center"/>
        </w:trPr>
        <w:tc>
          <w:tcPr>
            <w:tcW w:w="4968" w:type="dxa"/>
            <w:vAlign w:val="center"/>
          </w:tcPr>
          <w:p w14:paraId="1ACA48A7" w14:textId="77777777" w:rsidR="006B42EB" w:rsidRDefault="00000000">
            <w:pPr>
              <w:spacing w:after="40"/>
            </w:pPr>
            <w:r>
              <w:rPr>
                <w:sz w:val="19"/>
              </w:rPr>
              <w:t>Intercurrent events</w:t>
            </w:r>
          </w:p>
        </w:tc>
        <w:tc>
          <w:tcPr>
            <w:tcW w:w="4968" w:type="dxa"/>
            <w:vAlign w:val="center"/>
          </w:tcPr>
          <w:p w14:paraId="5D51F8EC" w14:textId="77777777" w:rsidR="006B42EB" w:rsidRDefault="00000000">
            <w:pPr>
              <w:spacing w:after="40"/>
            </w:pPr>
            <w:r>
              <w:rPr>
                <w:sz w:val="19"/>
              </w:rPr>
              <w:t>Non-adherence, navigation deviation, exposure, and contamination do not alter primary assignment; ITT remains primary.</w:t>
            </w:r>
          </w:p>
        </w:tc>
      </w:tr>
      <w:tr w:rsidR="006B42EB" w14:paraId="704A9214" w14:textId="77777777">
        <w:trPr>
          <w:jc w:val="center"/>
        </w:trPr>
        <w:tc>
          <w:tcPr>
            <w:tcW w:w="4968" w:type="dxa"/>
            <w:vAlign w:val="center"/>
          </w:tcPr>
          <w:p w14:paraId="754D2BAF" w14:textId="77777777" w:rsidR="006B42EB" w:rsidRDefault="00000000">
            <w:pPr>
              <w:spacing w:after="40"/>
            </w:pPr>
            <w:r>
              <w:rPr>
                <w:sz w:val="19"/>
              </w:rPr>
              <w:t>Summary measure</w:t>
            </w:r>
          </w:p>
        </w:tc>
        <w:tc>
          <w:tcPr>
            <w:tcW w:w="4968" w:type="dxa"/>
            <w:vAlign w:val="center"/>
          </w:tcPr>
          <w:p w14:paraId="2C91CBF7" w14:textId="77777777" w:rsidR="006B42EB" w:rsidRDefault="00000000">
            <w:pPr>
              <w:spacing w:after="40"/>
            </w:pPr>
            <w:r>
              <w:rPr>
                <w:sz w:val="19"/>
              </w:rPr>
              <w:t>Student-weighted average of the five subject-specific treatment effects.</w:t>
            </w:r>
          </w:p>
        </w:tc>
      </w:tr>
      <w:tr w:rsidR="006B42EB" w14:paraId="68943DE1" w14:textId="77777777">
        <w:trPr>
          <w:jc w:val="center"/>
        </w:trPr>
        <w:tc>
          <w:tcPr>
            <w:tcW w:w="4968" w:type="dxa"/>
            <w:vAlign w:val="center"/>
          </w:tcPr>
          <w:p w14:paraId="77D2F0D0" w14:textId="77777777" w:rsidR="006B42EB" w:rsidRDefault="00000000">
            <w:pPr>
              <w:spacing w:after="40"/>
            </w:pPr>
            <w:r>
              <w:rPr>
                <w:sz w:val="19"/>
              </w:rPr>
              <w:lastRenderedPageBreak/>
              <w:t>Weight definition</w:t>
            </w:r>
          </w:p>
        </w:tc>
        <w:tc>
          <w:tcPr>
            <w:tcW w:w="4968" w:type="dxa"/>
            <w:vAlign w:val="center"/>
          </w:tcPr>
          <w:p w14:paraId="726D5CF6" w14:textId="77777777" w:rsidR="006B42EB" w:rsidRDefault="00000000">
            <w:pPr>
              <w:spacing w:after="40"/>
            </w:pPr>
            <m:oMath>
              <m:sSub>
                <m:sSubPr>
                  <m:ctrlPr>
                    <w:rPr>
                      <w:rFonts w:ascii="Cambria Math" w:hAnsi="Cambria Math"/>
                    </w:rPr>
                  </m:ctrlPr>
                </m:sSubPr>
                <m:e>
                  <m:r>
                    <w:rPr>
                      <w:rFonts w:ascii="Cambria Math" w:hAnsi="Cambria Math"/>
                    </w:rPr>
                    <m:t>w</m:t>
                  </m:r>
                </m:e>
                <m:sub>
                  <m:r>
                    <w:rPr>
                      <w:rFonts w:ascii="Cambria Math" w:hAnsi="Cambria Math"/>
                    </w:rPr>
                    <m:t>s</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s</m:t>
                      </m:r>
                    </m:sub>
                  </m:sSub>
                </m:num>
                <m:den>
                  <m:r>
                    <w:rPr>
                      <w:rFonts w:ascii="Cambria Math" w:hAnsi="Cambria Math"/>
                    </w:rPr>
                    <m:t>N</m:t>
                  </m:r>
                </m:den>
              </m:f>
            </m:oMath>
            <w:r>
              <w:rPr>
                <w:sz w:val="19"/>
              </w:rPr>
              <w:t>, where N_s is the number randomized in subject s before outcome realization and N is the total randomized.</w:t>
            </w:r>
          </w:p>
        </w:tc>
      </w:tr>
    </w:tbl>
    <w:p w14:paraId="1A16CBF7" w14:textId="77777777" w:rsidR="006B42EB" w:rsidRDefault="006B42EB"/>
    <w:p w14:paraId="779B736E" w14:textId="77777777" w:rsidR="006B42EB" w:rsidRDefault="00000000">
      <w:r>
        <w:t>Primary estimand:</w:t>
      </w:r>
    </w:p>
    <w:p w14:paraId="21A845B7" w14:textId="77777777" w:rsidR="006B42EB" w:rsidRDefault="00000000">
      <w:pPr>
        <w:jc w:val="center"/>
      </w:pPr>
      <w:r>
        <w:t>The primary confirmatory estimand is the student-weighted average treatment effect across the five subject cohorts:</w:t>
      </w:r>
    </w:p>
    <w:p w14:paraId="4F872F9B" w14:textId="77777777" w:rsidR="006B42EB" w:rsidRDefault="00000000">
      <w:pPr>
        <w:jc w:val="center"/>
      </w:pPr>
      <m:oMathPara>
        <m:oMath>
          <m:sSub>
            <m:sSubPr>
              <m:ctrlPr>
                <w:rPr>
                  <w:rFonts w:ascii="Cambria Math" w:hAnsi="Cambria Math"/>
                </w:rPr>
              </m:ctrlPr>
            </m:sSubPr>
            <m:e>
              <m:r>
                <w:rPr>
                  <w:rFonts w:ascii="Cambria Math" w:hAnsi="Cambria Math"/>
                </w:rPr>
                <m:t>τ</m:t>
              </m:r>
            </m:e>
            <m:sub>
              <m:r>
                <w:rPr>
                  <w:rFonts w:ascii="Cambria Math" w:hAnsi="Cambria Math"/>
                </w:rPr>
                <m:t>student</m:t>
              </m:r>
            </m:sub>
          </m:sSub>
          <m:r>
            <w:rPr>
              <w:rFonts w:ascii="Cambria Math" w:hAnsi="Cambria Math"/>
            </w:rPr>
            <m:t xml:space="preserve"> = </m:t>
          </m:r>
          <m:nary>
            <m:naryPr>
              <m:chr m:val="∑"/>
              <m:ctrlPr>
                <w:rPr>
                  <w:rFonts w:ascii="Cambria Math" w:hAnsi="Cambria Math"/>
                </w:rPr>
              </m:ctrlPr>
            </m:naryPr>
            <m:sub>
              <m:r>
                <w:rPr>
                  <w:rFonts w:ascii="Cambria Math" w:hAnsi="Cambria Math"/>
                </w:rPr>
                <m:t>s=1</m:t>
              </m:r>
            </m:sub>
            <m:sup>
              <m:r>
                <w:rPr>
                  <w:rFonts w:ascii="Cambria Math" w:hAnsi="Cambria Math"/>
                </w:rPr>
                <m:t>5</m:t>
              </m:r>
            </m:sup>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s</m:t>
                      </m:r>
                    </m:sub>
                  </m:sSub>
                </m:num>
                <m:den>
                  <m:r>
                    <w:rPr>
                      <w:rFonts w:ascii="Cambria Math" w:hAnsi="Cambria Math"/>
                    </w:rPr>
                    <m:t>N</m:t>
                  </m:r>
                </m:den>
              </m:f>
              <m:sSub>
                <m:sSubPr>
                  <m:ctrlPr>
                    <w:rPr>
                      <w:rFonts w:ascii="Cambria Math" w:hAnsi="Cambria Math"/>
                    </w:rPr>
                  </m:ctrlPr>
                </m:sSubPr>
                <m:e>
                  <m:r>
                    <w:rPr>
                      <w:rFonts w:ascii="Cambria Math" w:hAnsi="Cambria Math"/>
                    </w:rPr>
                    <m:t>τ</m:t>
                  </m:r>
                </m:e>
                <m:sub>
                  <m:r>
                    <w:rPr>
                      <w:rFonts w:ascii="Cambria Math" w:hAnsi="Cambria Math"/>
                    </w:rPr>
                    <m:t>s</m:t>
                  </m:r>
                </m:sub>
              </m:sSub>
            </m:e>
          </m:nary>
        </m:oMath>
      </m:oMathPara>
    </w:p>
    <w:p w14:paraId="103A3B02" w14:textId="77777777" w:rsidR="006B42EB" w:rsidRDefault="00000000">
      <w:r>
        <w:t>The subject-specific effects</w:t>
      </w:r>
      <m:oMath>
        <m:sSub>
          <m:sSubPr>
            <m:ctrlPr>
              <w:rPr>
                <w:rFonts w:ascii="Cambria Math" w:hAnsi="Cambria Math"/>
              </w:rPr>
            </m:ctrlPr>
          </m:sSubPr>
          <m:e>
            <m:r>
              <w:rPr>
                <w:rFonts w:ascii="Cambria Math" w:hAnsi="Cambria Math"/>
              </w:rPr>
              <m:t>τ</m:t>
            </m:r>
          </m:e>
          <m:sub>
            <m:r>
              <w:rPr>
                <w:rFonts w:ascii="Cambria Math" w:hAnsi="Cambria Math"/>
              </w:rPr>
              <m:t>s</m:t>
            </m:r>
          </m:sub>
        </m:sSub>
      </m:oMath>
      <w:r>
        <w:t>are estimated from one working model containing</w:t>
      </w:r>
      <m:oMath>
        <m:r>
          <w:rPr>
            <w:rFonts w:ascii="Cambria Math" w:hAnsi="Cambria Math"/>
          </w:rPr>
          <m:t>Treatment × Subject</m:t>
        </m:r>
      </m:oMath>
      <w:r>
        <w:t>. The primary pooled effect is an explicit linear contrast of those five coefficients. It is not identified by reading the raw treatment coefficient from an additive model.</w:t>
      </w:r>
    </w:p>
    <w:p w14:paraId="24F66C35" w14:textId="77777777" w:rsidR="006B42EB" w:rsidRDefault="00000000">
      <w:pPr>
        <w:pStyle w:val="ProtocolBox"/>
      </w:pPr>
      <w:r>
        <w:rPr>
          <w:rFonts w:ascii="Times New Roman" w:hAnsi="Times New Roman"/>
          <w:color w:val="000000"/>
        </w:rPr>
        <w:t>With treatment-effect heterogeneity across subjects, the raw coefficient of an additive model has design-dependent implicit weighting. It is not guaranteed to equal</w:t>
      </w:r>
      <m:oMath>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s</m:t>
                </m:r>
              </m:sub>
            </m:sSub>
          </m:num>
          <m:den>
            <m:r>
              <w:rPr>
                <w:rFonts w:ascii="Cambria Math" w:hAnsi="Cambria Math"/>
              </w:rPr>
              <m:t>N</m:t>
            </m:r>
          </m:den>
        </m:f>
      </m:oMath>
      <w:r>
        <w:rPr>
          <w:rFonts w:ascii="Times New Roman" w:hAnsi="Times New Roman"/>
          <w:color w:val="000000"/>
        </w:rPr>
        <w:t>weighting. Retaining</w:t>
      </w:r>
      <m:oMath>
        <m:r>
          <w:rPr>
            <w:rFonts w:ascii="Cambria Math" w:hAnsi="Cambria Math"/>
          </w:rPr>
          <m:t>Treatment × Subject</m:t>
        </m:r>
      </m:oMath>
      <w:r>
        <w:rPr>
          <w:rFonts w:ascii="Times New Roman" w:hAnsi="Times New Roman"/>
          <w:color w:val="000000"/>
        </w:rPr>
        <w:t>and computing the pre-specified linear contrast makes the estimand equal to its mathematical definition by construction.</w:t>
      </w:r>
    </w:p>
    <w:p w14:paraId="1CA1F4BD" w14:textId="77777777" w:rsidR="006B42EB" w:rsidRDefault="00000000">
      <w:pPr>
        <w:pStyle w:val="Heading2"/>
      </w:pPr>
      <w:r>
        <w:rPr>
          <w:rFonts w:ascii="Times New Roman" w:hAnsi="Times New Roman"/>
        </w:rPr>
        <w:t>3.1 Secondary equal-subject contrast</w:t>
      </w:r>
    </w:p>
    <w:p w14:paraId="0C36B514" w14:textId="77777777" w:rsidR="006B42EB" w:rsidRDefault="00000000">
      <w:r>
        <w:t>The equal-subject-weighted contrast is retained as a secondary descriptive/estimative contrast:</w:t>
      </w:r>
    </w:p>
    <w:p w14:paraId="29CD7F82" w14:textId="77777777" w:rsidR="006B42EB" w:rsidRDefault="00000000">
      <w:pPr>
        <w:jc w:val="center"/>
      </w:pPr>
      <w:r>
        <w:t>As a secondary contrast, an equal-subject average treatment effect is reported as:</w:t>
      </w:r>
    </w:p>
    <w:p w14:paraId="4BA15D64" w14:textId="77777777" w:rsidR="006B42EB" w:rsidRDefault="00000000">
      <w:pPr>
        <w:jc w:val="center"/>
      </w:pPr>
      <m:oMathPara>
        <m:oMath>
          <m:sSub>
            <m:sSubPr>
              <m:ctrlPr>
                <w:rPr>
                  <w:rFonts w:ascii="Cambria Math" w:hAnsi="Cambria Math"/>
                </w:rPr>
              </m:ctrlPr>
            </m:sSubPr>
            <m:e>
              <m:r>
                <w:rPr>
                  <w:rFonts w:ascii="Cambria Math" w:hAnsi="Cambria Math"/>
                </w:rPr>
                <m:t>τ</m:t>
              </m:r>
            </m:e>
            <m:sub>
              <m:r>
                <w:rPr>
                  <w:rFonts w:ascii="Cambria Math" w:hAnsi="Cambria Math"/>
                </w:rPr>
                <m:t>equal</m:t>
              </m:r>
            </m:sub>
          </m:sSub>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5</m:t>
              </m:r>
            </m:den>
          </m:f>
          <m:r>
            <w:rPr>
              <w:rFonts w:ascii="Cambria Math" w:hAnsi="Cambria Math"/>
            </w:rPr>
            <m:t xml:space="preserve"> </m:t>
          </m:r>
          <m:nary>
            <m:naryPr>
              <m:chr m:val="∑"/>
              <m:ctrlPr>
                <w:rPr>
                  <w:rFonts w:ascii="Cambria Math" w:hAnsi="Cambria Math"/>
                </w:rPr>
              </m:ctrlPr>
            </m:naryPr>
            <m:sub>
              <m:r>
                <w:rPr>
                  <w:rFonts w:ascii="Cambria Math" w:hAnsi="Cambria Math"/>
                </w:rPr>
                <m:t>s=1</m:t>
              </m:r>
            </m:sub>
            <m:sup>
              <m:r>
                <w:rPr>
                  <w:rFonts w:ascii="Cambria Math" w:hAnsi="Cambria Math"/>
                </w:rPr>
                <m:t>5</m:t>
              </m:r>
            </m:sup>
            <m:e>
              <m:sSub>
                <m:sSubPr>
                  <m:ctrlPr>
                    <w:rPr>
                      <w:rFonts w:ascii="Cambria Math" w:hAnsi="Cambria Math"/>
                    </w:rPr>
                  </m:ctrlPr>
                </m:sSubPr>
                <m:e>
                  <m:r>
                    <w:rPr>
                      <w:rFonts w:ascii="Cambria Math" w:hAnsi="Cambria Math"/>
                    </w:rPr>
                    <m:t>τ</m:t>
                  </m:r>
                </m:e>
                <m:sub>
                  <m:r>
                    <w:rPr>
                      <w:rFonts w:ascii="Cambria Math" w:hAnsi="Cambria Math"/>
                    </w:rPr>
                    <m:t>s</m:t>
                  </m:r>
                </m:sub>
              </m:sSub>
            </m:e>
          </m:nary>
        </m:oMath>
      </m:oMathPara>
    </w:p>
    <w:p w14:paraId="0888A3E4" w14:textId="77777777" w:rsidR="006B42EB" w:rsidRDefault="00000000">
      <w:r>
        <w:t>This answers a different question: the average effect across the five selected subject domains when each domain receives equal weight, rather than the average effect over the actual randomized student population.</w:t>
      </w:r>
    </w:p>
    <w:p w14:paraId="7D041E24" w14:textId="77777777" w:rsidR="006B42EB" w:rsidRDefault="00000000">
      <w:pPr>
        <w:pStyle w:val="Heading1"/>
      </w:pPr>
      <w:r>
        <w:rPr>
          <w:rFonts w:ascii="Times New Roman" w:hAnsi="Times New Roman"/>
        </w:rPr>
        <w:t>4. Overall research design</w:t>
      </w:r>
    </w:p>
    <w:p w14:paraId="220553C0" w14:textId="77777777" w:rsidR="006B42EB" w:rsidRDefault="00000000">
      <w:r>
        <w:t>The study uses five independently recruited, parallel subject cohorts. Each cohort follows the same methodological architecture while using its own validated graph, tutor groups, assessment, conventional comparator, and subject-specific intervention window.</w:t>
      </w:r>
    </w:p>
    <w:tbl>
      <w:tblPr>
        <w:tblStyle w:val="TableGrid"/>
        <w:tblW w:w="0" w:type="auto"/>
        <w:jc w:val="center"/>
        <w:tblLook w:val="04A0" w:firstRow="1" w:lastRow="0" w:firstColumn="1" w:lastColumn="0" w:noHBand="0" w:noVBand="1"/>
      </w:tblPr>
      <w:tblGrid>
        <w:gridCol w:w="3155"/>
        <w:gridCol w:w="3203"/>
        <w:gridCol w:w="3218"/>
      </w:tblGrid>
      <w:tr w:rsidR="006B42EB" w14:paraId="41EFCD2D" w14:textId="77777777">
        <w:trPr>
          <w:jc w:val="center"/>
        </w:trPr>
        <w:tc>
          <w:tcPr>
            <w:tcW w:w="3312" w:type="dxa"/>
            <w:vAlign w:val="center"/>
          </w:tcPr>
          <w:p w14:paraId="416AAC37" w14:textId="77777777" w:rsidR="006B42EB" w:rsidRDefault="00000000">
            <w:pPr>
              <w:spacing w:after="40"/>
            </w:pPr>
            <w:r>
              <w:rPr>
                <w:b/>
                <w:sz w:val="19"/>
              </w:rPr>
              <w:t>Level</w:t>
            </w:r>
          </w:p>
        </w:tc>
        <w:tc>
          <w:tcPr>
            <w:tcW w:w="3312" w:type="dxa"/>
            <w:vAlign w:val="center"/>
          </w:tcPr>
          <w:p w14:paraId="345D8E0D" w14:textId="77777777" w:rsidR="006B42EB" w:rsidRDefault="00000000">
            <w:pPr>
              <w:spacing w:after="40"/>
            </w:pPr>
            <w:r>
              <w:rPr>
                <w:b/>
                <w:sz w:val="19"/>
              </w:rPr>
              <w:t>Unit</w:t>
            </w:r>
          </w:p>
        </w:tc>
        <w:tc>
          <w:tcPr>
            <w:tcW w:w="3312" w:type="dxa"/>
            <w:vAlign w:val="center"/>
          </w:tcPr>
          <w:p w14:paraId="041F5AEC" w14:textId="77777777" w:rsidR="006B42EB" w:rsidRDefault="00000000">
            <w:pPr>
              <w:spacing w:after="40"/>
            </w:pPr>
            <w:r>
              <w:rPr>
                <w:b/>
                <w:sz w:val="19"/>
              </w:rPr>
              <w:t>Role</w:t>
            </w:r>
          </w:p>
        </w:tc>
      </w:tr>
      <w:tr w:rsidR="006B42EB" w14:paraId="6FED4BDC" w14:textId="77777777">
        <w:trPr>
          <w:jc w:val="center"/>
        </w:trPr>
        <w:tc>
          <w:tcPr>
            <w:tcW w:w="3312" w:type="dxa"/>
            <w:vAlign w:val="center"/>
          </w:tcPr>
          <w:p w14:paraId="279F0F17" w14:textId="77777777" w:rsidR="006B42EB" w:rsidRDefault="00000000">
            <w:pPr>
              <w:spacing w:after="40"/>
            </w:pPr>
            <w:r>
              <w:rPr>
                <w:sz w:val="19"/>
              </w:rPr>
              <w:t>Level 1</w:t>
            </w:r>
          </w:p>
        </w:tc>
        <w:tc>
          <w:tcPr>
            <w:tcW w:w="3312" w:type="dxa"/>
            <w:vAlign w:val="center"/>
          </w:tcPr>
          <w:p w14:paraId="1C12B3BC" w14:textId="77777777" w:rsidR="006B42EB" w:rsidRDefault="00000000">
            <w:pPr>
              <w:spacing w:after="40"/>
            </w:pPr>
            <w:r>
              <w:rPr>
                <w:sz w:val="19"/>
              </w:rPr>
              <w:t>Subject</w:t>
            </w:r>
          </w:p>
        </w:tc>
        <w:tc>
          <w:tcPr>
            <w:tcW w:w="3312" w:type="dxa"/>
            <w:vAlign w:val="center"/>
          </w:tcPr>
          <w:p w14:paraId="1485E6A0" w14:textId="77777777" w:rsidR="006B42EB" w:rsidRDefault="00000000">
            <w:pPr>
              <w:spacing w:after="40"/>
            </w:pPr>
            <w:r>
              <w:rPr>
                <w:sz w:val="19"/>
              </w:rPr>
              <w:t>Five independently recruited cohorts: Mathematics, Physics, Chemistry, Biology, Computer Science.</w:t>
            </w:r>
          </w:p>
        </w:tc>
      </w:tr>
      <w:tr w:rsidR="006B42EB" w14:paraId="30DCC642" w14:textId="77777777">
        <w:trPr>
          <w:jc w:val="center"/>
        </w:trPr>
        <w:tc>
          <w:tcPr>
            <w:tcW w:w="3312" w:type="dxa"/>
            <w:vAlign w:val="center"/>
          </w:tcPr>
          <w:p w14:paraId="7D84188D" w14:textId="77777777" w:rsidR="006B42EB" w:rsidRDefault="00000000">
            <w:pPr>
              <w:spacing w:after="40"/>
            </w:pPr>
            <w:r>
              <w:rPr>
                <w:sz w:val="19"/>
              </w:rPr>
              <w:t>Level 2</w:t>
            </w:r>
          </w:p>
        </w:tc>
        <w:tc>
          <w:tcPr>
            <w:tcW w:w="3312" w:type="dxa"/>
            <w:vAlign w:val="center"/>
          </w:tcPr>
          <w:p w14:paraId="4FAECD23" w14:textId="77777777" w:rsidR="006B42EB" w:rsidRDefault="00000000">
            <w:pPr>
              <w:spacing w:after="40"/>
            </w:pPr>
            <w:r>
              <w:rPr>
                <w:sz w:val="19"/>
              </w:rPr>
              <w:t>Tutor group</w:t>
            </w:r>
          </w:p>
        </w:tc>
        <w:tc>
          <w:tcPr>
            <w:tcW w:w="3312" w:type="dxa"/>
            <w:vAlign w:val="center"/>
          </w:tcPr>
          <w:p w14:paraId="0000918F" w14:textId="77777777" w:rsidR="006B42EB" w:rsidRDefault="00000000">
            <w:pPr>
              <w:spacing w:after="40"/>
            </w:pPr>
            <w:r>
              <w:rPr>
                <w:sz w:val="19"/>
              </w:rPr>
              <w:t>Blocking/clustering factor; both treatment conditions occur within each group.</w:t>
            </w:r>
          </w:p>
        </w:tc>
      </w:tr>
      <w:tr w:rsidR="006B42EB" w14:paraId="07E7195A" w14:textId="77777777">
        <w:trPr>
          <w:jc w:val="center"/>
        </w:trPr>
        <w:tc>
          <w:tcPr>
            <w:tcW w:w="3312" w:type="dxa"/>
            <w:vAlign w:val="center"/>
          </w:tcPr>
          <w:p w14:paraId="20AEAB5F" w14:textId="77777777" w:rsidR="006B42EB" w:rsidRDefault="00000000">
            <w:pPr>
              <w:spacing w:after="40"/>
            </w:pPr>
            <w:r>
              <w:rPr>
                <w:sz w:val="19"/>
              </w:rPr>
              <w:t>Level 3</w:t>
            </w:r>
          </w:p>
        </w:tc>
        <w:tc>
          <w:tcPr>
            <w:tcW w:w="3312" w:type="dxa"/>
            <w:vAlign w:val="center"/>
          </w:tcPr>
          <w:p w14:paraId="67F11129" w14:textId="77777777" w:rsidR="006B42EB" w:rsidRDefault="00000000">
            <w:pPr>
              <w:spacing w:after="40"/>
            </w:pPr>
            <w:r>
              <w:rPr>
                <w:sz w:val="19"/>
              </w:rPr>
              <w:t>Student</w:t>
            </w:r>
          </w:p>
        </w:tc>
        <w:tc>
          <w:tcPr>
            <w:tcW w:w="3312" w:type="dxa"/>
            <w:vAlign w:val="center"/>
          </w:tcPr>
          <w:p w14:paraId="262C2DD5" w14:textId="77777777" w:rsidR="006B42EB" w:rsidRDefault="00000000">
            <w:pPr>
              <w:spacing w:after="40"/>
            </w:pPr>
            <w:r>
              <w:rPr>
                <w:sz w:val="19"/>
              </w:rPr>
              <w:t>Randomization unit, outcome unit, and primary inferential unit.</w:t>
            </w:r>
          </w:p>
        </w:tc>
      </w:tr>
      <w:tr w:rsidR="006B42EB" w14:paraId="0555D370" w14:textId="77777777">
        <w:trPr>
          <w:jc w:val="center"/>
        </w:trPr>
        <w:tc>
          <w:tcPr>
            <w:tcW w:w="3312" w:type="dxa"/>
            <w:vAlign w:val="center"/>
          </w:tcPr>
          <w:p w14:paraId="47C4446C" w14:textId="77777777" w:rsidR="006B42EB" w:rsidRDefault="00000000">
            <w:pPr>
              <w:spacing w:after="40"/>
            </w:pPr>
            <w:r>
              <w:rPr>
                <w:sz w:val="19"/>
              </w:rPr>
              <w:t>Level 4</w:t>
            </w:r>
          </w:p>
        </w:tc>
        <w:tc>
          <w:tcPr>
            <w:tcW w:w="3312" w:type="dxa"/>
            <w:vAlign w:val="center"/>
          </w:tcPr>
          <w:p w14:paraId="4F81BBF3" w14:textId="77777777" w:rsidR="006B42EB" w:rsidRDefault="00000000">
            <w:pPr>
              <w:spacing w:after="40"/>
            </w:pPr>
            <w:r>
              <w:rPr>
                <w:sz w:val="19"/>
              </w:rPr>
              <w:t>Concept/attempt</w:t>
            </w:r>
          </w:p>
        </w:tc>
        <w:tc>
          <w:tcPr>
            <w:tcW w:w="3312" w:type="dxa"/>
            <w:vAlign w:val="center"/>
          </w:tcPr>
          <w:p w14:paraId="3F143584" w14:textId="77777777" w:rsidR="006B42EB" w:rsidRDefault="00000000">
            <w:pPr>
              <w:spacing w:after="40"/>
            </w:pPr>
            <w:r>
              <w:rPr>
                <w:sz w:val="19"/>
              </w:rPr>
              <w:t>Repeated process data for secondary time-to-mastery and process analyses.</w:t>
            </w:r>
          </w:p>
        </w:tc>
      </w:tr>
    </w:tbl>
    <w:p w14:paraId="489D11EE" w14:textId="77777777" w:rsidR="006B42EB" w:rsidRDefault="006B42EB"/>
    <w:p w14:paraId="4CC5B1AD" w14:textId="77777777" w:rsidR="006B42EB" w:rsidRDefault="00000000">
      <w:r>
        <w:lastRenderedPageBreak/>
        <w:t>A student participates in one subject cohort only. Students are not required to receive different sequencing conditions across different subjects.</w:t>
      </w:r>
    </w:p>
    <w:p w14:paraId="573E07FF" w14:textId="77777777" w:rsidR="006B42EB" w:rsidRDefault="00000000">
      <w:pPr>
        <w:pStyle w:val="ListBullet"/>
      </w:pPr>
      <w:r>
        <w:t>This reduces participant burden.</w:t>
      </w:r>
    </w:p>
    <w:p w14:paraId="01C5ACCA" w14:textId="77777777" w:rsidR="006B42EB" w:rsidRDefault="00000000">
      <w:pPr>
        <w:pStyle w:val="ListBullet"/>
      </w:pPr>
      <w:r>
        <w:t>It avoids within-student carryover between graph-informed and conventional sequencing.</w:t>
      </w:r>
    </w:p>
    <w:p w14:paraId="17826B1F" w14:textId="77777777" w:rsidR="006B42EB" w:rsidRDefault="00000000">
      <w:pPr>
        <w:pStyle w:val="ListBullet"/>
      </w:pPr>
      <w:r>
        <w:t>It avoids a repeated-measures causal design that is not required by the research questions.</w:t>
      </w:r>
    </w:p>
    <w:p w14:paraId="01543E6A" w14:textId="77777777" w:rsidR="006B42EB" w:rsidRDefault="00000000">
      <w:pPr>
        <w:pStyle w:val="ListBullet"/>
      </w:pPr>
      <w:r>
        <w:t>It preserves the independence of the five subject cohorts for SQ2 case comparison and SQ3 subject-specific estimation.</w:t>
      </w:r>
    </w:p>
    <w:p w14:paraId="17EB0AD4" w14:textId="77777777" w:rsidR="006B42EB" w:rsidRDefault="00000000">
      <w:pPr>
        <w:pStyle w:val="Heading1"/>
      </w:pPr>
      <w:r>
        <w:rPr>
          <w:rFonts w:ascii="Times New Roman" w:hAnsi="Times New Roman"/>
        </w:rPr>
        <w:t>5. SQ1: Expert validation of the curriculum graphs</w:t>
      </w:r>
    </w:p>
    <w:p w14:paraId="2F0B21D6" w14:textId="77777777" w:rsidR="006B42EB" w:rsidRDefault="00000000">
      <w:r>
        <w:t>SQ1 evaluates whether the authored prerequisite graphs and concept-importance representation are defensible representations of curricular structure. It is independent of the randomized SQ3 intervention.</w:t>
      </w:r>
    </w:p>
    <w:p w14:paraId="591DE446" w14:textId="77777777" w:rsidR="006B42EB" w:rsidRDefault="00000000">
      <w:pPr>
        <w:pStyle w:val="Heading2"/>
      </w:pPr>
      <w:r>
        <w:rPr>
          <w:rFonts w:ascii="Times New Roman" w:hAnsi="Times New Roman"/>
        </w:rPr>
        <w:t>5.1 Expert eligibility</w:t>
      </w:r>
    </w:p>
    <w:p w14:paraId="6ACB253C" w14:textId="77777777" w:rsidR="006B42EB" w:rsidRDefault="00000000">
      <w:pPr>
        <w:pStyle w:val="ListBullet"/>
      </w:pPr>
      <w:r>
        <w:t>At least five years of relevant subject teaching or subject-matter research experience.</w:t>
      </w:r>
    </w:p>
    <w:p w14:paraId="0E606231" w14:textId="77777777" w:rsidR="006B42EB" w:rsidRDefault="00000000">
      <w:pPr>
        <w:pStyle w:val="ListBullet"/>
      </w:pPr>
      <w:r>
        <w:t>Current or recent experience, within the preceding three years, teaching or researching at the tested curriculum level.</w:t>
      </w:r>
    </w:p>
    <w:p w14:paraId="22A39ACA" w14:textId="77777777" w:rsidR="006B42EB" w:rsidRDefault="00000000">
      <w:pPr>
        <w:pStyle w:val="ListBullet"/>
      </w:pPr>
      <w:r>
        <w:t>No involvement in Step Zero graph authoring, engineering, or research-design decisions.</w:t>
      </w:r>
    </w:p>
    <w:p w14:paraId="7975F891" w14:textId="77777777" w:rsidR="006B42EB" w:rsidRDefault="00000000">
      <w:pPr>
        <w:pStyle w:val="ListBullet"/>
      </w:pPr>
      <w:r>
        <w:t>Experts must independently judge the sampled relationships and importance ratings without access to other experts' responses.</w:t>
      </w:r>
    </w:p>
    <w:p w14:paraId="3DCDD3ED" w14:textId="77777777" w:rsidR="006B42EB" w:rsidRDefault="00000000">
      <w:r>
        <w:t>The target panel is 5 to 8 experts per subject, with 5 as the minimum recruitment target. A subject that does not reach five reports the realized panel size and corresponding uncertainty explicitly rather than silently lowering the standard.</w:t>
      </w:r>
    </w:p>
    <w:p w14:paraId="1C4811AD" w14:textId="77777777" w:rsidR="006B42EB" w:rsidRDefault="00000000">
      <w:pPr>
        <w:pStyle w:val="Heading2"/>
      </w:pPr>
      <w:r>
        <w:rPr>
          <w:rFonts w:ascii="Times New Roman" w:hAnsi="Times New Roman"/>
        </w:rPr>
        <w:t>5.2 Validation sample</w:t>
      </w:r>
    </w:p>
    <w:p w14:paraId="13DAE6E1" w14:textId="77777777" w:rsidR="006B42EB" w:rsidRDefault="00000000">
      <w:r>
        <w:t>Experts review a stratified sample rather than every edge. The sample is designed to detect both false positives and false negatives while concentrating attention on structurally consequential relationships.</w:t>
      </w:r>
    </w:p>
    <w:tbl>
      <w:tblPr>
        <w:tblStyle w:val="TableGrid"/>
        <w:tblW w:w="0" w:type="auto"/>
        <w:jc w:val="center"/>
        <w:tblLook w:val="04A0" w:firstRow="1" w:lastRow="0" w:firstColumn="1" w:lastColumn="0" w:noHBand="0" w:noVBand="1"/>
      </w:tblPr>
      <w:tblGrid>
        <w:gridCol w:w="3175"/>
        <w:gridCol w:w="3187"/>
        <w:gridCol w:w="3214"/>
      </w:tblGrid>
      <w:tr w:rsidR="006B42EB" w14:paraId="4EB13549" w14:textId="77777777">
        <w:trPr>
          <w:jc w:val="center"/>
        </w:trPr>
        <w:tc>
          <w:tcPr>
            <w:tcW w:w="3312" w:type="dxa"/>
            <w:vAlign w:val="center"/>
          </w:tcPr>
          <w:p w14:paraId="4FD7EEB9" w14:textId="77777777" w:rsidR="006B42EB" w:rsidRDefault="00000000">
            <w:pPr>
              <w:spacing w:after="40"/>
            </w:pPr>
            <w:r>
              <w:rPr>
                <w:b/>
                <w:sz w:val="19"/>
              </w:rPr>
              <w:t>Priority</w:t>
            </w:r>
          </w:p>
        </w:tc>
        <w:tc>
          <w:tcPr>
            <w:tcW w:w="3312" w:type="dxa"/>
            <w:vAlign w:val="center"/>
          </w:tcPr>
          <w:p w14:paraId="29EE16C2" w14:textId="77777777" w:rsidR="006B42EB" w:rsidRDefault="00000000">
            <w:pPr>
              <w:spacing w:after="40"/>
            </w:pPr>
            <w:r>
              <w:rPr>
                <w:b/>
                <w:sz w:val="19"/>
              </w:rPr>
              <w:t>Content</w:t>
            </w:r>
          </w:p>
        </w:tc>
        <w:tc>
          <w:tcPr>
            <w:tcW w:w="3312" w:type="dxa"/>
            <w:vAlign w:val="center"/>
          </w:tcPr>
          <w:p w14:paraId="2DEBEB5E" w14:textId="77777777" w:rsidR="006B42EB" w:rsidRDefault="00000000">
            <w:pPr>
              <w:spacing w:after="40"/>
            </w:pPr>
            <w:r>
              <w:rPr>
                <w:b/>
                <w:sz w:val="19"/>
              </w:rPr>
              <w:t>Rule</w:t>
            </w:r>
          </w:p>
        </w:tc>
      </w:tr>
      <w:tr w:rsidR="006B42EB" w14:paraId="6A82C66C" w14:textId="77777777">
        <w:trPr>
          <w:jc w:val="center"/>
        </w:trPr>
        <w:tc>
          <w:tcPr>
            <w:tcW w:w="3312" w:type="dxa"/>
            <w:vAlign w:val="center"/>
          </w:tcPr>
          <w:p w14:paraId="7F561DF0" w14:textId="77777777" w:rsidR="006B42EB" w:rsidRDefault="00000000">
            <w:pPr>
              <w:spacing w:after="40"/>
            </w:pPr>
            <w:r>
              <w:rPr>
                <w:sz w:val="19"/>
              </w:rPr>
              <w:t>1</w:t>
            </w:r>
          </w:p>
        </w:tc>
        <w:tc>
          <w:tcPr>
            <w:tcW w:w="3312" w:type="dxa"/>
            <w:vAlign w:val="center"/>
          </w:tcPr>
          <w:p w14:paraId="25C77A06" w14:textId="77777777" w:rsidR="006B42EB" w:rsidRDefault="00000000">
            <w:pPr>
              <w:spacing w:after="40"/>
            </w:pPr>
            <w:r>
              <w:rPr>
                <w:sz w:val="19"/>
              </w:rPr>
              <w:t>Cross-subject edges touching the subject</w:t>
            </w:r>
          </w:p>
        </w:tc>
        <w:tc>
          <w:tcPr>
            <w:tcW w:w="3312" w:type="dxa"/>
            <w:vAlign w:val="center"/>
          </w:tcPr>
          <w:p w14:paraId="70A0F924" w14:textId="77777777" w:rsidR="006B42EB" w:rsidRDefault="00000000">
            <w:pPr>
              <w:spacing w:after="40"/>
            </w:pPr>
            <w:r>
              <w:rPr>
                <w:sz w:val="19"/>
              </w:rPr>
              <w:t>Include all up to 20; if more than 20, select deterministically by lowest concept ID.</w:t>
            </w:r>
          </w:p>
        </w:tc>
      </w:tr>
      <w:tr w:rsidR="006B42EB" w14:paraId="12152B1B" w14:textId="77777777">
        <w:trPr>
          <w:jc w:val="center"/>
        </w:trPr>
        <w:tc>
          <w:tcPr>
            <w:tcW w:w="3312" w:type="dxa"/>
            <w:vAlign w:val="center"/>
          </w:tcPr>
          <w:p w14:paraId="36031040" w14:textId="77777777" w:rsidR="006B42EB" w:rsidRDefault="00000000">
            <w:pPr>
              <w:spacing w:after="40"/>
            </w:pPr>
            <w:r>
              <w:rPr>
                <w:sz w:val="19"/>
              </w:rPr>
              <w:t>2</w:t>
            </w:r>
          </w:p>
        </w:tc>
        <w:tc>
          <w:tcPr>
            <w:tcW w:w="3312" w:type="dxa"/>
            <w:vAlign w:val="center"/>
          </w:tcPr>
          <w:p w14:paraId="2E933A1F" w14:textId="77777777" w:rsidR="006B42EB" w:rsidRDefault="00000000">
            <w:pPr>
              <w:spacing w:after="40"/>
            </w:pPr>
            <w:r>
              <w:rPr>
                <w:sz w:val="19"/>
              </w:rPr>
              <w:t>Edges touching bottleneck candidates</w:t>
            </w:r>
          </w:p>
        </w:tc>
        <w:tc>
          <w:tcPr>
            <w:tcW w:w="3312" w:type="dxa"/>
            <w:vAlign w:val="center"/>
          </w:tcPr>
          <w:p w14:paraId="61298D0E" w14:textId="77777777" w:rsidR="006B42EB" w:rsidRDefault="00000000">
            <w:pPr>
              <w:spacing w:after="40"/>
            </w:pPr>
            <w:r>
              <w:rPr>
                <w:sz w:val="19"/>
              </w:rPr>
              <w:t>Include remaining eligible edges up to 20; deterministic concept-ID tie-break.</w:t>
            </w:r>
          </w:p>
        </w:tc>
      </w:tr>
      <w:tr w:rsidR="006B42EB" w14:paraId="4B804520" w14:textId="77777777">
        <w:trPr>
          <w:jc w:val="center"/>
        </w:trPr>
        <w:tc>
          <w:tcPr>
            <w:tcW w:w="3312" w:type="dxa"/>
            <w:vAlign w:val="center"/>
          </w:tcPr>
          <w:p w14:paraId="51235631" w14:textId="77777777" w:rsidR="006B42EB" w:rsidRDefault="00000000">
            <w:pPr>
              <w:spacing w:after="40"/>
            </w:pPr>
            <w:r>
              <w:rPr>
                <w:sz w:val="19"/>
              </w:rPr>
              <w:t>3a</w:t>
            </w:r>
          </w:p>
        </w:tc>
        <w:tc>
          <w:tcPr>
            <w:tcW w:w="3312" w:type="dxa"/>
            <w:vAlign w:val="center"/>
          </w:tcPr>
          <w:p w14:paraId="53AE7628" w14:textId="77777777" w:rsidR="006B42EB" w:rsidRDefault="00000000">
            <w:pPr>
              <w:spacing w:after="40"/>
            </w:pPr>
            <w:r>
              <w:rPr>
                <w:sz w:val="19"/>
              </w:rPr>
              <w:t>Additional existing edges</w:t>
            </w:r>
          </w:p>
        </w:tc>
        <w:tc>
          <w:tcPr>
            <w:tcW w:w="3312" w:type="dxa"/>
            <w:vAlign w:val="center"/>
          </w:tcPr>
          <w:p w14:paraId="66F7CCFF" w14:textId="77777777" w:rsidR="006B42EB" w:rsidRDefault="00000000">
            <w:pPr>
              <w:spacing w:after="40"/>
            </w:pPr>
            <w:r>
              <w:rPr>
                <w:sz w:val="19"/>
              </w:rPr>
              <w:t>At least 10 if the session budget permits.</w:t>
            </w:r>
          </w:p>
        </w:tc>
      </w:tr>
      <w:tr w:rsidR="006B42EB" w14:paraId="16D27CB4" w14:textId="77777777">
        <w:trPr>
          <w:jc w:val="center"/>
        </w:trPr>
        <w:tc>
          <w:tcPr>
            <w:tcW w:w="3312" w:type="dxa"/>
            <w:vAlign w:val="center"/>
          </w:tcPr>
          <w:p w14:paraId="12E8CB72" w14:textId="77777777" w:rsidR="006B42EB" w:rsidRDefault="00000000">
            <w:pPr>
              <w:spacing w:after="40"/>
            </w:pPr>
            <w:r>
              <w:rPr>
                <w:sz w:val="19"/>
              </w:rPr>
              <w:t>3b</w:t>
            </w:r>
          </w:p>
        </w:tc>
        <w:tc>
          <w:tcPr>
            <w:tcW w:w="3312" w:type="dxa"/>
            <w:vAlign w:val="center"/>
          </w:tcPr>
          <w:p w14:paraId="07D1A0B2" w14:textId="77777777" w:rsidR="006B42EB" w:rsidRDefault="00000000">
            <w:pPr>
              <w:spacing w:after="40"/>
            </w:pPr>
            <w:r>
              <w:rPr>
                <w:sz w:val="19"/>
              </w:rPr>
              <w:t>Plausible non-edges</w:t>
            </w:r>
          </w:p>
        </w:tc>
        <w:tc>
          <w:tcPr>
            <w:tcW w:w="3312" w:type="dxa"/>
            <w:vAlign w:val="center"/>
          </w:tcPr>
          <w:p w14:paraId="100E7CB2" w14:textId="77777777" w:rsidR="006B42EB" w:rsidRDefault="00000000">
            <w:pPr>
              <w:spacing w:after="40"/>
            </w:pPr>
            <w:r>
              <w:rPr>
                <w:sz w:val="19"/>
              </w:rPr>
              <w:t>At least 5; concept pairs within one or two depth levels and not already connected.</w:t>
            </w:r>
          </w:p>
        </w:tc>
      </w:tr>
      <w:tr w:rsidR="006B42EB" w14:paraId="1AFB00A4" w14:textId="77777777">
        <w:trPr>
          <w:jc w:val="center"/>
        </w:trPr>
        <w:tc>
          <w:tcPr>
            <w:tcW w:w="3312" w:type="dxa"/>
            <w:vAlign w:val="center"/>
          </w:tcPr>
          <w:p w14:paraId="2406B62C" w14:textId="77777777" w:rsidR="006B42EB" w:rsidRDefault="00000000">
            <w:pPr>
              <w:spacing w:after="40"/>
            </w:pPr>
            <w:r>
              <w:rPr>
                <w:sz w:val="19"/>
              </w:rPr>
              <w:t>3c</w:t>
            </w:r>
          </w:p>
        </w:tc>
        <w:tc>
          <w:tcPr>
            <w:tcW w:w="3312" w:type="dxa"/>
            <w:vAlign w:val="center"/>
          </w:tcPr>
          <w:p w14:paraId="308772FA" w14:textId="77777777" w:rsidR="006B42EB" w:rsidRDefault="00000000">
            <w:pPr>
              <w:spacing w:after="40"/>
            </w:pPr>
            <w:r>
              <w:rPr>
                <w:sz w:val="19"/>
              </w:rPr>
              <w:t>Reverse-direction checks</w:t>
            </w:r>
          </w:p>
        </w:tc>
        <w:tc>
          <w:tcPr>
            <w:tcW w:w="3312" w:type="dxa"/>
            <w:vAlign w:val="center"/>
          </w:tcPr>
          <w:p w14:paraId="5752B51D" w14:textId="77777777" w:rsidR="006B42EB" w:rsidRDefault="00000000">
            <w:pPr>
              <w:spacing w:after="40"/>
            </w:pPr>
            <w:r>
              <w:rPr>
                <w:sz w:val="19"/>
              </w:rPr>
              <w:t>At least 3 existing edges, asking whether the reverse direction is preferable.</w:t>
            </w:r>
          </w:p>
        </w:tc>
      </w:tr>
      <w:tr w:rsidR="006B42EB" w14:paraId="50558876" w14:textId="77777777">
        <w:trPr>
          <w:jc w:val="center"/>
        </w:trPr>
        <w:tc>
          <w:tcPr>
            <w:tcW w:w="3312" w:type="dxa"/>
            <w:vAlign w:val="center"/>
          </w:tcPr>
          <w:p w14:paraId="2A5444A8" w14:textId="77777777" w:rsidR="006B42EB" w:rsidRDefault="00000000">
            <w:pPr>
              <w:spacing w:after="40"/>
            </w:pPr>
            <w:r>
              <w:rPr>
                <w:sz w:val="19"/>
              </w:rPr>
              <w:t>3d</w:t>
            </w:r>
          </w:p>
        </w:tc>
        <w:tc>
          <w:tcPr>
            <w:tcW w:w="3312" w:type="dxa"/>
            <w:vAlign w:val="center"/>
          </w:tcPr>
          <w:p w14:paraId="7DDAB9E5" w14:textId="77777777" w:rsidR="006B42EB" w:rsidRDefault="00000000">
            <w:pPr>
              <w:spacing w:after="40"/>
            </w:pPr>
            <w:r>
              <w:rPr>
                <w:sz w:val="19"/>
              </w:rPr>
              <w:t>Concept importance</w:t>
            </w:r>
          </w:p>
        </w:tc>
        <w:tc>
          <w:tcPr>
            <w:tcW w:w="3312" w:type="dxa"/>
            <w:vAlign w:val="center"/>
          </w:tcPr>
          <w:p w14:paraId="4B1A705D" w14:textId="77777777" w:rsidR="006B42EB" w:rsidRDefault="00000000">
            <w:pPr>
              <w:spacing w:after="40"/>
            </w:pPr>
            <w:r>
              <w:rPr>
                <w:sz w:val="19"/>
              </w:rPr>
              <w:t>At least 10 concepts, stratified across relevant importance/depth categories.</w:t>
            </w:r>
          </w:p>
        </w:tc>
      </w:tr>
    </w:tbl>
    <w:p w14:paraId="7C60E730" w14:textId="77777777" w:rsidR="006B42EB" w:rsidRDefault="006B42EB"/>
    <w:p w14:paraId="2C9211DA" w14:textId="77777777" w:rsidR="006B42EB" w:rsidRDefault="00000000">
      <w:r>
        <w:t xml:space="preserve">The workload ceiling is operational rather than a universal psychometric standard. A maximum of approximately 45 judgments per sitting is used to limit fatigue. If the priority categories cannot be </w:t>
      </w:r>
      <w:r>
        <w:lastRenderedPageBreak/>
        <w:t>accommodated within one sitting, the review is split into additional sittings rather than silently reducing protected minimum categories.</w:t>
      </w:r>
    </w:p>
    <w:p w14:paraId="7AC3A3F2" w14:textId="77777777" w:rsidR="006B42EB" w:rsidRDefault="00000000">
      <w:pPr>
        <w:pStyle w:val="Heading2"/>
      </w:pPr>
      <w:r>
        <w:rPr>
          <w:rFonts w:ascii="Times New Roman" w:hAnsi="Times New Roman"/>
        </w:rPr>
        <w:t>5.3 Presentation and blinding</w:t>
      </w:r>
    </w:p>
    <w:p w14:paraId="3E756D41" w14:textId="77777777" w:rsidR="006B42EB" w:rsidRDefault="00000000">
      <w:pPr>
        <w:pStyle w:val="ListBullet"/>
      </w:pPr>
      <w:r>
        <w:t>Relationships are presented in randomized order.</w:t>
      </w:r>
    </w:p>
    <w:p w14:paraId="39ED37A5" w14:textId="77777777" w:rsidR="006B42EB" w:rsidRDefault="00000000">
      <w:pPr>
        <w:pStyle w:val="ListBullet"/>
      </w:pPr>
      <w:r>
        <w:t>Experts are not told whether a sampled relationship is an existing edge, plausible non-edge, or reverse-direction probe, except where the task itself necessarily reveals that a relationship exists.</w:t>
      </w:r>
    </w:p>
    <w:p w14:paraId="5C7C9765" w14:textId="77777777" w:rsidR="006B42EB" w:rsidRDefault="00000000">
      <w:pPr>
        <w:pStyle w:val="ListBullet"/>
      </w:pPr>
      <w:r>
        <w:t>Experts do not see authored importance values, other experts' responses, or the recommendation engine's internal scoring.</w:t>
      </w:r>
    </w:p>
    <w:p w14:paraId="32C8F175" w14:textId="77777777" w:rsidR="006B42EB" w:rsidRDefault="00000000">
      <w:pPr>
        <w:pStyle w:val="ListBullet"/>
      </w:pPr>
      <w:r>
        <w:t>Confidence ratings and free-text rationale are collected alongside categorical judgments.</w:t>
      </w:r>
    </w:p>
    <w:p w14:paraId="61E3E154" w14:textId="77777777" w:rsidR="006B42EB" w:rsidRDefault="00000000">
      <w:pPr>
        <w:pStyle w:val="Heading2"/>
      </w:pPr>
      <w:r>
        <w:rPr>
          <w:rFonts w:ascii="Times New Roman" w:hAnsi="Times New Roman"/>
        </w:rPr>
        <w:t>5.4 Agreement and readiness</w:t>
      </w:r>
    </w:p>
    <w:p w14:paraId="7E484CD2" w14:textId="77777777" w:rsidR="006B42EB" w:rsidRDefault="00000000">
      <w:pPr>
        <w:pStyle w:val="ListBullet"/>
      </w:pPr>
      <w:r>
        <w:t>Gwet's AC1 is the primary agreement statistic because prevalence-sensitive agreement statistics can behave counterintuitively under highly skewed category prevalence.</w:t>
      </w:r>
    </w:p>
    <w:p w14:paraId="36B8176A" w14:textId="77777777" w:rsidR="006B42EB" w:rsidRDefault="00000000">
      <w:pPr>
        <w:pStyle w:val="ListBullet"/>
      </w:pPr>
      <w:r>
        <w:t>Fleiss' kappa is reported as a secondary comparability statistic.</w:t>
      </w:r>
    </w:p>
    <w:p w14:paraId="4F67128D" w14:textId="77777777" w:rsidR="006B42EB" w:rsidRDefault="00000000">
      <w:pPr>
        <w:pStyle w:val="ListBullet"/>
      </w:pPr>
      <w:r>
        <w:t>Agreement is calculated separately for existing-edge judgments, non-edge judgments, and reverse-direction checks.</w:t>
      </w:r>
    </w:p>
    <w:p w14:paraId="403F8B48" w14:textId="77777777" w:rsidR="006B42EB" w:rsidRDefault="00000000">
      <w:pPr>
        <w:pStyle w:val="ListBullet"/>
      </w:pPr>
      <w:r>
        <w:t>Confidence intervals are obtained using a pre-specified bootstrap procedure appropriate to the rating structure.</w:t>
      </w:r>
    </w:p>
    <w:p w14:paraId="60CF1DC0" w14:textId="77777777" w:rsidR="006B42EB" w:rsidRDefault="00000000">
      <w:pPr>
        <w:pStyle w:val="ListBullet"/>
      </w:pPr>
      <w:r>
        <w:t>No rigid kappa threshold determines readiness.</w:t>
      </w:r>
    </w:p>
    <w:p w14:paraId="04B52B5E" w14:textId="77777777" w:rsidR="006B42EB" w:rsidRDefault="00000000">
      <w:pPr>
        <w:pStyle w:val="ListBullet"/>
      </w:pPr>
      <w:r>
        <w:t>Every sampled relationship with substantive disagreement and at least one medium-or-higher-confidence dissent receives structured adjudication.</w:t>
      </w:r>
    </w:p>
    <w:p w14:paraId="354D55BE" w14:textId="77777777" w:rsidR="006B42EB" w:rsidRDefault="00000000">
      <w:r>
        <w:t>A subject's graph is ready for SQ2 and SQ3 only when the sampled validation set has been reviewed and adjudicated and no unresolved high-confidence objection remains on a structurally consequential relationship. Weak aggregate agreement does not automatically invalidate a graph if the substantive unresolved-risk review is satisfactory; conversely, strong aggregate agreement does not override a serious unresolved objection on a bottleneck or cross-subject relationship.</w:t>
      </w:r>
    </w:p>
    <w:p w14:paraId="72DF3462" w14:textId="77777777" w:rsidR="006B42EB" w:rsidRDefault="00000000">
      <w:pPr>
        <w:pStyle w:val="Heading2"/>
      </w:pPr>
      <w:r>
        <w:rPr>
          <w:rFonts w:ascii="Times New Roman" w:hAnsi="Times New Roman"/>
        </w:rPr>
        <w:t>5.5 Graph revision rule</w:t>
      </w:r>
    </w:p>
    <w:p w14:paraId="77E9960C" w14:textId="77777777" w:rsidR="006B42EB" w:rsidRDefault="00000000">
      <w:r>
        <w:t>Any graph revision after validation triggers revalidation of the revised components before structural analysis or confirmatory recruitment for that subject. A revision in one subject does not force revalidation of the other four.</w:t>
      </w:r>
    </w:p>
    <w:p w14:paraId="572E53B4" w14:textId="77777777" w:rsidR="006B42EB" w:rsidRDefault="00000000">
      <w:pPr>
        <w:pStyle w:val="Heading1"/>
      </w:pPr>
      <w:r>
        <w:rPr>
          <w:rFonts w:ascii="Times New Roman" w:hAnsi="Times New Roman"/>
        </w:rPr>
        <w:t>6. SQ2a and SQ2b: Structural analysis</w:t>
      </w:r>
    </w:p>
    <w:p w14:paraId="274DF849" w14:textId="77777777" w:rsidR="006B42EB" w:rsidRDefault="00000000">
      <w:r>
        <w:t>Structural analysis is performed on all five validated graphs before confirmatory intervention results are interpreted. The five subject graphs are treated as a case set, not as a random sample of STEM curricula.</w:t>
      </w:r>
    </w:p>
    <w:p w14:paraId="753ABE77" w14:textId="77777777" w:rsidR="006B42EB" w:rsidRDefault="00000000">
      <w:pPr>
        <w:pStyle w:val="Heading2"/>
      </w:pPr>
      <w:r>
        <w:rPr>
          <w:rFonts w:ascii="Times New Roman" w:hAnsi="Times New Roman"/>
        </w:rPr>
        <w:t>6.1 Bottleneck analysis</w:t>
      </w:r>
    </w:p>
    <w:p w14:paraId="69A9D30A" w14:textId="77777777" w:rsidR="006B42EB" w:rsidRDefault="00000000">
      <w:r>
        <w:t>The protocol separates a graph-theoretic structural property from the educational interpretation of a bottleneck.</w:t>
      </w:r>
    </w:p>
    <w:tbl>
      <w:tblPr>
        <w:tblStyle w:val="TableGrid"/>
        <w:tblW w:w="0" w:type="auto"/>
        <w:jc w:val="center"/>
        <w:tblLook w:val="04A0" w:firstRow="1" w:lastRow="0" w:firstColumn="1" w:lastColumn="0" w:noHBand="0" w:noVBand="1"/>
      </w:tblPr>
      <w:tblGrid>
        <w:gridCol w:w="3184"/>
        <w:gridCol w:w="3195"/>
        <w:gridCol w:w="3197"/>
      </w:tblGrid>
      <w:tr w:rsidR="006B42EB" w14:paraId="65983431" w14:textId="77777777">
        <w:trPr>
          <w:jc w:val="center"/>
        </w:trPr>
        <w:tc>
          <w:tcPr>
            <w:tcW w:w="3312" w:type="dxa"/>
            <w:vAlign w:val="center"/>
          </w:tcPr>
          <w:p w14:paraId="3312118E" w14:textId="77777777" w:rsidR="006B42EB" w:rsidRDefault="00000000">
            <w:pPr>
              <w:spacing w:after="40"/>
            </w:pPr>
            <w:r>
              <w:rPr>
                <w:b/>
                <w:sz w:val="19"/>
              </w:rPr>
              <w:t>Construct</w:t>
            </w:r>
          </w:p>
        </w:tc>
        <w:tc>
          <w:tcPr>
            <w:tcW w:w="3312" w:type="dxa"/>
            <w:vAlign w:val="center"/>
          </w:tcPr>
          <w:p w14:paraId="57385624" w14:textId="77777777" w:rsidR="006B42EB" w:rsidRDefault="00000000">
            <w:pPr>
              <w:spacing w:after="40"/>
            </w:pPr>
            <w:r>
              <w:rPr>
                <w:b/>
                <w:sz w:val="19"/>
              </w:rPr>
              <w:t>Definition</w:t>
            </w:r>
          </w:p>
        </w:tc>
        <w:tc>
          <w:tcPr>
            <w:tcW w:w="3312" w:type="dxa"/>
            <w:vAlign w:val="center"/>
          </w:tcPr>
          <w:p w14:paraId="274D8FF3" w14:textId="77777777" w:rsidR="006B42EB" w:rsidRDefault="00000000">
            <w:pPr>
              <w:spacing w:after="40"/>
            </w:pPr>
            <w:r>
              <w:rPr>
                <w:b/>
                <w:sz w:val="19"/>
              </w:rPr>
              <w:t>Interpretation</w:t>
            </w:r>
          </w:p>
        </w:tc>
      </w:tr>
      <w:tr w:rsidR="006B42EB" w14:paraId="100590CD" w14:textId="77777777">
        <w:trPr>
          <w:jc w:val="center"/>
        </w:trPr>
        <w:tc>
          <w:tcPr>
            <w:tcW w:w="3312" w:type="dxa"/>
            <w:vAlign w:val="center"/>
          </w:tcPr>
          <w:p w14:paraId="1B17309E" w14:textId="77777777" w:rsidR="006B42EB" w:rsidRDefault="00000000">
            <w:pPr>
              <w:spacing w:after="40"/>
            </w:pPr>
            <w:r>
              <w:rPr>
                <w:sz w:val="19"/>
              </w:rPr>
              <w:t>Removal-impact</w:t>
            </w:r>
          </w:p>
        </w:tc>
        <w:tc>
          <w:tcPr>
            <w:tcW w:w="3312" w:type="dxa"/>
            <w:vAlign w:val="center"/>
          </w:tcPr>
          <w:p w14:paraId="63B0D7B1" w14:textId="77777777" w:rsidR="006B42EB" w:rsidRDefault="00000000">
            <w:pPr>
              <w:spacing w:after="40"/>
            </w:pPr>
            <w:r>
              <w:rPr>
                <w:sz w:val="19"/>
              </w:rPr>
              <w:t>Change in the graph's ordering-flexibility measure after removing a concept.</w:t>
            </w:r>
          </w:p>
        </w:tc>
        <w:tc>
          <w:tcPr>
            <w:tcW w:w="3312" w:type="dxa"/>
            <w:vAlign w:val="center"/>
          </w:tcPr>
          <w:p w14:paraId="124F8748" w14:textId="77777777" w:rsidR="006B42EB" w:rsidRDefault="00000000">
            <w:pPr>
              <w:spacing w:after="40"/>
            </w:pPr>
            <w:r>
              <w:rPr>
                <w:sz w:val="19"/>
              </w:rPr>
              <w:t>Continuous structural consequence of removal.</w:t>
            </w:r>
          </w:p>
        </w:tc>
      </w:tr>
      <w:tr w:rsidR="006B42EB" w14:paraId="568DBC2D" w14:textId="77777777">
        <w:trPr>
          <w:jc w:val="center"/>
        </w:trPr>
        <w:tc>
          <w:tcPr>
            <w:tcW w:w="3312" w:type="dxa"/>
            <w:vAlign w:val="center"/>
          </w:tcPr>
          <w:p w14:paraId="4090D26D" w14:textId="77777777" w:rsidR="006B42EB" w:rsidRDefault="00000000">
            <w:pPr>
              <w:spacing w:after="40"/>
            </w:pPr>
            <w:r>
              <w:rPr>
                <w:sz w:val="19"/>
              </w:rPr>
              <w:lastRenderedPageBreak/>
              <w:t>Prerequisite centrality</w:t>
            </w:r>
          </w:p>
        </w:tc>
        <w:tc>
          <w:tcPr>
            <w:tcW w:w="3312" w:type="dxa"/>
            <w:vAlign w:val="center"/>
          </w:tcPr>
          <w:p w14:paraId="0EE58428" w14:textId="77777777" w:rsidR="006B42EB" w:rsidRDefault="00000000">
            <w:pPr>
              <w:spacing w:after="40"/>
            </w:pPr>
            <w:r>
              <w:rPr>
                <w:sz w:val="19"/>
              </w:rPr>
              <w:t>Descendant coverage weighted by the centrality of downstream concepts.</w:t>
            </w:r>
          </w:p>
        </w:tc>
        <w:tc>
          <w:tcPr>
            <w:tcW w:w="3312" w:type="dxa"/>
            <w:vAlign w:val="center"/>
          </w:tcPr>
          <w:p w14:paraId="160B9CDE" w14:textId="77777777" w:rsidR="006B42EB" w:rsidRDefault="00000000">
            <w:pPr>
              <w:spacing w:after="40"/>
            </w:pPr>
            <w:r>
              <w:rPr>
                <w:sz w:val="19"/>
              </w:rPr>
              <w:t>Continuous measure of structural reach.</w:t>
            </w:r>
          </w:p>
        </w:tc>
      </w:tr>
      <w:tr w:rsidR="006B42EB" w14:paraId="2AAE3A46" w14:textId="77777777">
        <w:trPr>
          <w:jc w:val="center"/>
        </w:trPr>
        <w:tc>
          <w:tcPr>
            <w:tcW w:w="3312" w:type="dxa"/>
            <w:vAlign w:val="center"/>
          </w:tcPr>
          <w:p w14:paraId="1678E7C9" w14:textId="77777777" w:rsidR="006B42EB" w:rsidRDefault="00000000">
            <w:pPr>
              <w:spacing w:after="40"/>
            </w:pPr>
            <w:r>
              <w:rPr>
                <w:sz w:val="19"/>
              </w:rPr>
              <w:t>Bottleneck convergence</w:t>
            </w:r>
          </w:p>
        </w:tc>
        <w:tc>
          <w:tcPr>
            <w:tcW w:w="3312" w:type="dxa"/>
            <w:vAlign w:val="center"/>
          </w:tcPr>
          <w:p w14:paraId="3760D0E7" w14:textId="77777777" w:rsidR="006B42EB" w:rsidRDefault="00000000">
            <w:pPr>
              <w:spacing w:after="40"/>
            </w:pPr>
            <w:r>
              <w:rPr>
                <w:sz w:val="19"/>
              </w:rPr>
              <w:t>Mean percentile rank across the two continuous measures above.</w:t>
            </w:r>
          </w:p>
        </w:tc>
        <w:tc>
          <w:tcPr>
            <w:tcW w:w="3312" w:type="dxa"/>
            <w:vAlign w:val="center"/>
          </w:tcPr>
          <w:p w14:paraId="183B0151" w14:textId="77777777" w:rsidR="006B42EB" w:rsidRDefault="00000000">
            <w:pPr>
              <w:spacing w:after="40"/>
            </w:pPr>
            <w:r>
              <w:rPr>
                <w:sz w:val="19"/>
              </w:rPr>
              <w:t>Continuous convergence score.</w:t>
            </w:r>
          </w:p>
        </w:tc>
      </w:tr>
      <w:tr w:rsidR="006B42EB" w14:paraId="5B3BE164" w14:textId="77777777">
        <w:trPr>
          <w:jc w:val="center"/>
        </w:trPr>
        <w:tc>
          <w:tcPr>
            <w:tcW w:w="3312" w:type="dxa"/>
            <w:vAlign w:val="center"/>
          </w:tcPr>
          <w:p w14:paraId="78FE4B98" w14:textId="77777777" w:rsidR="006B42EB" w:rsidRDefault="00000000">
            <w:pPr>
              <w:spacing w:after="40"/>
            </w:pPr>
            <w:r>
              <w:rPr>
                <w:sz w:val="19"/>
              </w:rPr>
              <w:t>Structural cut vertex</w:t>
            </w:r>
          </w:p>
        </w:tc>
        <w:tc>
          <w:tcPr>
            <w:tcW w:w="3312" w:type="dxa"/>
            <w:vAlign w:val="center"/>
          </w:tcPr>
          <w:p w14:paraId="4EA700F3" w14:textId="77777777" w:rsidR="006B42EB" w:rsidRDefault="00000000">
            <w:pPr>
              <w:spacing w:after="40"/>
            </w:pPr>
            <w:r>
              <w:rPr>
                <w:sz w:val="19"/>
              </w:rPr>
              <w:t>Articulation-point status in the relevant graph representation.</w:t>
            </w:r>
          </w:p>
        </w:tc>
        <w:tc>
          <w:tcPr>
            <w:tcW w:w="3312" w:type="dxa"/>
            <w:vAlign w:val="center"/>
          </w:tcPr>
          <w:p w14:paraId="77DC587E" w14:textId="77777777" w:rsidR="006B42EB" w:rsidRDefault="00000000">
            <w:pPr>
              <w:spacing w:after="40"/>
            </w:pPr>
            <w:r>
              <w:rPr>
                <w:sz w:val="19"/>
              </w:rPr>
              <w:t>Binary structural property, reported separately.</w:t>
            </w:r>
          </w:p>
        </w:tc>
      </w:tr>
      <w:tr w:rsidR="006B42EB" w14:paraId="73F0C3BC" w14:textId="77777777">
        <w:trPr>
          <w:jc w:val="center"/>
        </w:trPr>
        <w:tc>
          <w:tcPr>
            <w:tcW w:w="3312" w:type="dxa"/>
            <w:vAlign w:val="center"/>
          </w:tcPr>
          <w:p w14:paraId="2342B0D7" w14:textId="77777777" w:rsidR="006B42EB" w:rsidRDefault="00000000">
            <w:pPr>
              <w:spacing w:after="40"/>
            </w:pPr>
            <w:r>
              <w:rPr>
                <w:sz w:val="19"/>
              </w:rPr>
              <w:t>Educational bottleneck</w:t>
            </w:r>
          </w:p>
        </w:tc>
        <w:tc>
          <w:tcPr>
            <w:tcW w:w="3312" w:type="dxa"/>
            <w:vAlign w:val="center"/>
          </w:tcPr>
          <w:p w14:paraId="5086F714" w14:textId="77777777" w:rsidR="006B42EB" w:rsidRDefault="00000000">
            <w:pPr>
              <w:spacing w:after="40"/>
            </w:pPr>
            <w:r>
              <w:rPr>
                <w:sz w:val="19"/>
              </w:rPr>
              <w:t>Interpretive label informed by the structural measures and expert context.</w:t>
            </w:r>
          </w:p>
        </w:tc>
        <w:tc>
          <w:tcPr>
            <w:tcW w:w="3312" w:type="dxa"/>
            <w:vAlign w:val="center"/>
          </w:tcPr>
          <w:p w14:paraId="64C1A556" w14:textId="77777777" w:rsidR="006B42EB" w:rsidRDefault="00000000">
            <w:pPr>
              <w:spacing w:after="40"/>
            </w:pPr>
            <w:r>
              <w:rPr>
                <w:sz w:val="19"/>
              </w:rPr>
              <w:t>Not automatically implied by articulation status.</w:t>
            </w:r>
          </w:p>
        </w:tc>
      </w:tr>
    </w:tbl>
    <w:p w14:paraId="7691E7EC" w14:textId="77777777" w:rsidR="006B42EB" w:rsidRDefault="006B42EB"/>
    <w:p w14:paraId="567B46D6" w14:textId="77777777" w:rsidR="006B42EB" w:rsidRDefault="00000000">
      <w:r>
        <w:t>The two continuous measures are conceptually distinct but not assumed statistically independent. They both arise from the same graph topology and may correlate.</w:t>
      </w:r>
    </w:p>
    <w:p w14:paraId="5259748E" w14:textId="77777777" w:rsidR="006B42EB" w:rsidRDefault="00000000">
      <w:r>
        <w:t>For visualization only, the top quartile of the continuous convergence score may be highlighted. This label has no role in treatment assignment, SQ3 modeling, or inferential SQ2-to-SQ3 analysis.</w:t>
      </w:r>
    </w:p>
    <w:p w14:paraId="4CD94C3E" w14:textId="77777777" w:rsidR="006B42EB" w:rsidRDefault="00000000">
      <w:pPr>
        <w:pStyle w:val="Heading2"/>
      </w:pPr>
      <w:r>
        <w:rPr>
          <w:rFonts w:ascii="Times New Roman" w:hAnsi="Times New Roman"/>
        </w:rPr>
        <w:t>6.2 Ordering flexibility</w:t>
      </w:r>
    </w:p>
    <w:p w14:paraId="474ECC80" w14:textId="77777777" w:rsidR="006B42EB" w:rsidRDefault="00000000">
      <w:r>
        <w:t>The primary ordering-flexibility measure is the normalized count of valid linear extensions of the prerequisite DAG.</w:t>
      </w:r>
    </w:p>
    <w:p w14:paraId="35082C82" w14:textId="77777777" w:rsidR="006B42EB" w:rsidRDefault="00000000">
      <w:pPr>
        <w:pStyle w:val="ListBullet"/>
      </w:pPr>
      <w:r>
        <w:t>If enumeration completes below the computational cap, the exact count is reported.</w:t>
      </w:r>
    </w:p>
    <w:p w14:paraId="15A0412F" w14:textId="77777777" w:rsidR="006B42EB" w:rsidRDefault="00000000">
      <w:pPr>
        <w:pStyle w:val="ListBullet"/>
      </w:pPr>
      <w:r>
        <w:t>If the cap is reached, the result is reported as a lower bound, not an exact count.</w:t>
      </w:r>
    </w:p>
    <w:p w14:paraId="3FF16644" w14:textId="77777777" w:rsidR="006B42EB" w:rsidRDefault="00000000">
      <w:pPr>
        <w:pStyle w:val="ListBullet"/>
      </w:pPr>
      <w:r>
        <w:t>A capped lower-bound result is not ranked directly against an exact count when the ranking would require exact comparability.</w:t>
      </w:r>
    </w:p>
    <w:p w14:paraId="2AED0F67" w14:textId="77777777" w:rsidR="006B42EB" w:rsidRDefault="00000000">
      <w:pPr>
        <w:pStyle w:val="ListBullet"/>
      </w:pPr>
      <w:r>
        <w:t>Implementation-dependent Kahn choice-point diagnostics are retained only as secondary diagnostics, not as the primary flexibility invariant.</w:t>
      </w:r>
    </w:p>
    <w:p w14:paraId="6374ADF2" w14:textId="77777777" w:rsidR="006B42EB" w:rsidRDefault="00000000">
      <w:pPr>
        <w:pStyle w:val="Heading2"/>
      </w:pPr>
      <w:r>
        <w:rPr>
          <w:rFonts w:ascii="Times New Roman" w:hAnsi="Times New Roman"/>
        </w:rPr>
        <w:t>6.3 Cross-subject comparison</w:t>
      </w:r>
    </w:p>
    <w:p w14:paraId="0E41FA5A" w14:textId="77777777" w:rsidR="006B42EB" w:rsidRDefault="00000000">
      <w:pPr>
        <w:pStyle w:val="ListBullet"/>
      </w:pPr>
      <w:r>
        <w:t>Report graph size, edge count, and density for each subject.</w:t>
      </w:r>
    </w:p>
    <w:p w14:paraId="142E1595" w14:textId="77777777" w:rsidR="006B42EB" w:rsidRDefault="00000000">
      <w:pPr>
        <w:pStyle w:val="ListBullet"/>
      </w:pPr>
      <w:r>
        <w:t>Report bottleneck-convergence distributions and structurally important concepts.</w:t>
      </w:r>
    </w:p>
    <w:p w14:paraId="46FEA229" w14:textId="77777777" w:rsidR="006B42EB" w:rsidRDefault="00000000">
      <w:pPr>
        <w:pStyle w:val="ListBullet"/>
      </w:pPr>
      <w:r>
        <w:t>Report ordering flexibility with exact/capped status explicitly.</w:t>
      </w:r>
    </w:p>
    <w:p w14:paraId="319FDF1B" w14:textId="77777777" w:rsidR="006B42EB" w:rsidRDefault="00000000">
      <w:pPr>
        <w:pStyle w:val="ListBullet"/>
      </w:pPr>
      <w:r>
        <w:t>Normalize cross-subject dependency depth relative to each subject's longest same-subject chain.</w:t>
      </w:r>
    </w:p>
    <w:p w14:paraId="5D3ECAF9" w14:textId="77777777" w:rsidR="006B42EB" w:rsidRDefault="00000000">
      <w:pPr>
        <w:pStyle w:val="ListBullet"/>
      </w:pPr>
      <w:r>
        <w:t>Do not run significance tests with n=5 subject graphs.</w:t>
      </w:r>
    </w:p>
    <w:p w14:paraId="4CFDAD30" w14:textId="77777777" w:rsidR="006B42EB" w:rsidRDefault="00000000">
      <w:pPr>
        <w:pStyle w:val="ListBullet"/>
      </w:pPr>
      <w:r>
        <w:t>Use the comparison to generate curriculum-level hypotheses for future studies rather than claiming universal STEM structure.</w:t>
      </w:r>
    </w:p>
    <w:p w14:paraId="3AE9F882" w14:textId="77777777" w:rsidR="006B42EB" w:rsidRDefault="00000000">
      <w:pPr>
        <w:pStyle w:val="Heading1"/>
      </w:pPr>
      <w:r>
        <w:rPr>
          <w:rFonts w:ascii="Times New Roman" w:hAnsi="Times New Roman"/>
        </w:rPr>
        <w:t>7. SQ3: Randomized empirical intervention</w:t>
      </w:r>
    </w:p>
    <w:p w14:paraId="3CEF668C" w14:textId="77777777" w:rsidR="006B42EB" w:rsidRDefault="00000000">
      <w:r>
        <w:t>SQ3 is the causal component of the study. The causal intervention is assignment to the frozen Balanced Step Zero recommendation policy, not the abstract existence of a graph.</w:t>
      </w:r>
    </w:p>
    <w:p w14:paraId="473DE219" w14:textId="77777777" w:rsidR="006B42EB" w:rsidRDefault="00000000">
      <w:pPr>
        <w:pStyle w:val="Heading2"/>
      </w:pPr>
      <w:r>
        <w:rPr>
          <w:rFonts w:ascii="Times New Roman" w:hAnsi="Times New Roman"/>
        </w:rPr>
        <w:t>7.1 Primary arms</w:t>
      </w:r>
    </w:p>
    <w:tbl>
      <w:tblPr>
        <w:tblStyle w:val="TableGrid"/>
        <w:tblW w:w="0" w:type="auto"/>
        <w:jc w:val="center"/>
        <w:tblLook w:val="04A0" w:firstRow="1" w:lastRow="0" w:firstColumn="1" w:lastColumn="0" w:noHBand="0" w:noVBand="1"/>
      </w:tblPr>
      <w:tblGrid>
        <w:gridCol w:w="3189"/>
        <w:gridCol w:w="3204"/>
        <w:gridCol w:w="3183"/>
      </w:tblGrid>
      <w:tr w:rsidR="006B42EB" w14:paraId="72E9ACE1" w14:textId="77777777">
        <w:trPr>
          <w:jc w:val="center"/>
        </w:trPr>
        <w:tc>
          <w:tcPr>
            <w:tcW w:w="3312" w:type="dxa"/>
            <w:vAlign w:val="center"/>
          </w:tcPr>
          <w:p w14:paraId="2C17BFBC" w14:textId="77777777" w:rsidR="006B42EB" w:rsidRDefault="00000000">
            <w:pPr>
              <w:spacing w:after="40"/>
            </w:pPr>
            <w:r>
              <w:rPr>
                <w:b/>
                <w:sz w:val="19"/>
              </w:rPr>
              <w:t>Arm</w:t>
            </w:r>
          </w:p>
        </w:tc>
        <w:tc>
          <w:tcPr>
            <w:tcW w:w="3312" w:type="dxa"/>
            <w:vAlign w:val="center"/>
          </w:tcPr>
          <w:p w14:paraId="2623634B" w14:textId="77777777" w:rsidR="006B42EB" w:rsidRDefault="00000000">
            <w:pPr>
              <w:spacing w:after="40"/>
            </w:pPr>
            <w:r>
              <w:rPr>
                <w:b/>
                <w:sz w:val="19"/>
              </w:rPr>
              <w:t>Definition</w:t>
            </w:r>
          </w:p>
        </w:tc>
        <w:tc>
          <w:tcPr>
            <w:tcW w:w="3312" w:type="dxa"/>
            <w:vAlign w:val="center"/>
          </w:tcPr>
          <w:p w14:paraId="36A4FF7A" w14:textId="77777777" w:rsidR="006B42EB" w:rsidRDefault="00000000">
            <w:pPr>
              <w:spacing w:after="40"/>
            </w:pPr>
            <w:r>
              <w:rPr>
                <w:b/>
                <w:sz w:val="19"/>
              </w:rPr>
              <w:t>Primary role</w:t>
            </w:r>
          </w:p>
        </w:tc>
      </w:tr>
      <w:tr w:rsidR="006B42EB" w14:paraId="0A1E048D" w14:textId="77777777">
        <w:trPr>
          <w:jc w:val="center"/>
        </w:trPr>
        <w:tc>
          <w:tcPr>
            <w:tcW w:w="3312" w:type="dxa"/>
            <w:vAlign w:val="center"/>
          </w:tcPr>
          <w:p w14:paraId="099A3179" w14:textId="77777777" w:rsidR="006B42EB" w:rsidRDefault="00000000">
            <w:pPr>
              <w:spacing w:after="40"/>
            </w:pPr>
            <w:r>
              <w:rPr>
                <w:sz w:val="19"/>
              </w:rPr>
              <w:t>Balanced Step Zero</w:t>
            </w:r>
          </w:p>
        </w:tc>
        <w:tc>
          <w:tcPr>
            <w:tcW w:w="3312" w:type="dxa"/>
            <w:vAlign w:val="center"/>
          </w:tcPr>
          <w:p w14:paraId="7B689AA3" w14:textId="77777777" w:rsidR="006B42EB" w:rsidRDefault="00000000">
            <w:pPr>
              <w:spacing w:after="40"/>
            </w:pPr>
            <w:r>
              <w:rPr>
                <w:sz w:val="19"/>
              </w:rPr>
              <w:t>Frozen graph-informed recommendation policy using the balanced weighting configuration.</w:t>
            </w:r>
          </w:p>
        </w:tc>
        <w:tc>
          <w:tcPr>
            <w:tcW w:w="3312" w:type="dxa"/>
            <w:vAlign w:val="center"/>
          </w:tcPr>
          <w:p w14:paraId="77015B71" w14:textId="77777777" w:rsidR="006B42EB" w:rsidRDefault="00000000">
            <w:pPr>
              <w:spacing w:after="40"/>
            </w:pPr>
            <w:r>
              <w:rPr>
                <w:sz w:val="19"/>
              </w:rPr>
              <w:t>Primary treatment.</w:t>
            </w:r>
          </w:p>
        </w:tc>
      </w:tr>
      <w:tr w:rsidR="006B42EB" w14:paraId="24D003F7" w14:textId="77777777">
        <w:trPr>
          <w:jc w:val="center"/>
        </w:trPr>
        <w:tc>
          <w:tcPr>
            <w:tcW w:w="3312" w:type="dxa"/>
            <w:vAlign w:val="center"/>
          </w:tcPr>
          <w:p w14:paraId="3CA14A7F" w14:textId="77777777" w:rsidR="006B42EB" w:rsidRDefault="00000000">
            <w:pPr>
              <w:spacing w:after="40"/>
            </w:pPr>
            <w:r>
              <w:rPr>
                <w:sz w:val="19"/>
              </w:rPr>
              <w:t>Conventional</w:t>
            </w:r>
          </w:p>
        </w:tc>
        <w:tc>
          <w:tcPr>
            <w:tcW w:w="3312" w:type="dxa"/>
            <w:vAlign w:val="center"/>
          </w:tcPr>
          <w:p w14:paraId="12B3C999" w14:textId="77777777" w:rsidR="006B42EB" w:rsidRDefault="00000000">
            <w:pPr>
              <w:spacing w:after="40"/>
            </w:pPr>
            <w:r>
              <w:rPr>
                <w:sz w:val="19"/>
              </w:rPr>
              <w:t>Frozen standardized conventional sequence constructed independently from Step Zero.</w:t>
            </w:r>
          </w:p>
        </w:tc>
        <w:tc>
          <w:tcPr>
            <w:tcW w:w="3312" w:type="dxa"/>
            <w:vAlign w:val="center"/>
          </w:tcPr>
          <w:p w14:paraId="1649B5CC" w14:textId="77777777" w:rsidR="006B42EB" w:rsidRDefault="00000000">
            <w:pPr>
              <w:spacing w:after="40"/>
            </w:pPr>
            <w:r>
              <w:rPr>
                <w:sz w:val="19"/>
              </w:rPr>
              <w:t>Primary comparator.</w:t>
            </w:r>
          </w:p>
        </w:tc>
      </w:tr>
    </w:tbl>
    <w:p w14:paraId="5B34DEB0" w14:textId="77777777" w:rsidR="006B42EB" w:rsidRDefault="006B42EB"/>
    <w:p w14:paraId="164FFC7A" w14:textId="77777777" w:rsidR="006B42EB" w:rsidRDefault="00000000">
      <w:pPr>
        <w:pStyle w:val="ProtocolBox"/>
      </w:pPr>
      <w:r>
        <w:rPr>
          <w:rFonts w:ascii="Times New Roman" w:hAnsi="Times New Roman"/>
          <w:color w:val="000000"/>
        </w:rPr>
        <w:t>Primary-treatment specification</w:t>
      </w:r>
      <w:r>
        <w:rPr>
          <w:rFonts w:ascii="Times New Roman" w:hAnsi="Times New Roman"/>
          <w:color w:val="000000"/>
        </w:rPr>
        <w:br/>
        <w:t>There is no nested randomization among balanced, fast_track, and thorough inside the primary graph arm. Introducing multiple weighting profiles into the randomized primary arm would make the treatment assignment ambiguous and would invalidate the claim that the primary treatment is specifically the balanced profile.</w:t>
      </w:r>
    </w:p>
    <w:p w14:paraId="15959570" w14:textId="77777777" w:rsidR="006B42EB" w:rsidRDefault="00000000">
      <w:pPr>
        <w:pStyle w:val="Heading2"/>
      </w:pPr>
      <w:r>
        <w:rPr>
          <w:rFonts w:ascii="Times New Roman" w:hAnsi="Times New Roman"/>
        </w:rPr>
        <w:t>7.2 Subject-specific intervention windows</w:t>
      </w:r>
    </w:p>
    <w:p w14:paraId="2692973F" w14:textId="77777777" w:rsidR="006B42EB" w:rsidRDefault="00000000">
      <w:r>
        <w:t>Each subject has a pre-specified intervention window. Different subjects may use different durations when justified by their curriculum structure and pilot feasibility. The causal treatment is therefore the subject-specific frozen recommendation policy applied over that subject's specified window, always compared with its own frozen conventional comparator.</w:t>
      </w:r>
    </w:p>
    <w:p w14:paraId="60C11025" w14:textId="77777777" w:rsidR="006B42EB" w:rsidRDefault="00000000">
      <w:pPr>
        <w:pStyle w:val="Heading1"/>
      </w:pPr>
      <w:r>
        <w:rPr>
          <w:rFonts w:ascii="Times New Roman" w:hAnsi="Times New Roman"/>
        </w:rPr>
        <w:t>8. Step Zero intervention policy and algorithm freeze</w:t>
      </w:r>
    </w:p>
    <w:p w14:paraId="6995477C" w14:textId="77777777" w:rsidR="006B42EB" w:rsidRDefault="00000000">
      <w:pPr>
        <w:pStyle w:val="Heading2"/>
      </w:pPr>
      <m:oMathPara>
        <m:oMath>
          <m:r>
            <m:rPr>
              <m:sty m:val="bi"/>
            </m:rPr>
            <w:rPr>
              <w:rFonts w:ascii="Cambria Math" w:hAnsi="Cambria Math"/>
            </w:rPr>
            <m:t>R(c) = 0.25</m:t>
          </m:r>
          <m:r>
            <m:rPr>
              <m:sty m:val="bi"/>
            </m:rPr>
            <w:rPr>
              <w:rFonts w:ascii="Cambria Math" w:hAnsi="Cambria Math"/>
            </w:rPr>
            <m:t>I(c) + 0.40</m:t>
          </m:r>
          <m:r>
            <m:rPr>
              <m:sty m:val="bi"/>
            </m:rPr>
            <w:rPr>
              <w:rFonts w:ascii="Cambria Math" w:hAnsi="Cambria Math"/>
            </w:rPr>
            <m:t>P(c) + 0.20</m:t>
          </m:r>
          <m:r>
            <m:rPr>
              <m:sty m:val="bi"/>
            </m:rPr>
            <w:rPr>
              <w:rFonts w:ascii="Cambria Math" w:hAnsi="Cambria Math"/>
            </w:rPr>
            <m:t>D(c) + 0.15</m:t>
          </m:r>
          <m:r>
            <m:rPr>
              <m:sty m:val="bi"/>
            </m:rPr>
            <w:rPr>
              <w:rFonts w:ascii="Cambria Math" w:hAnsi="Cambria Math"/>
            </w:rPr>
            <m:t>T(c) + 0.00</m:t>
          </m:r>
          <m:r>
            <m:rPr>
              <m:sty m:val="bi"/>
            </m:rPr>
            <w:rPr>
              <w:rFonts w:ascii="Cambria Math" w:hAnsi="Cambria Math"/>
            </w:rPr>
            <m:t>U(c)</m:t>
          </m:r>
        </m:oMath>
      </m:oMathPara>
    </w:p>
    <w:tbl>
      <w:tblPr>
        <w:tblStyle w:val="TableGrid"/>
        <w:tblW w:w="0" w:type="auto"/>
        <w:jc w:val="center"/>
        <w:tblLook w:val="04A0" w:firstRow="1" w:lastRow="0" w:firstColumn="1" w:lastColumn="0" w:noHBand="0" w:noVBand="1"/>
      </w:tblPr>
      <w:tblGrid>
        <w:gridCol w:w="4782"/>
        <w:gridCol w:w="4794"/>
      </w:tblGrid>
      <w:tr w:rsidR="006B42EB" w14:paraId="637FA747" w14:textId="77777777">
        <w:trPr>
          <w:jc w:val="center"/>
        </w:trPr>
        <w:tc>
          <w:tcPr>
            <w:tcW w:w="4968" w:type="dxa"/>
            <w:vAlign w:val="center"/>
          </w:tcPr>
          <w:p w14:paraId="1EE45D67" w14:textId="77777777" w:rsidR="006B42EB" w:rsidRDefault="00000000">
            <w:pPr>
              <w:spacing w:after="40"/>
            </w:pPr>
            <w:r>
              <w:rPr>
                <w:b/>
                <w:sz w:val="19"/>
              </w:rPr>
              <w:t>Parameter</w:t>
            </w:r>
          </w:p>
        </w:tc>
        <w:tc>
          <w:tcPr>
            <w:tcW w:w="4968" w:type="dxa"/>
            <w:vAlign w:val="center"/>
          </w:tcPr>
          <w:p w14:paraId="39E00DD6" w14:textId="77777777" w:rsidR="006B42EB" w:rsidRDefault="00000000">
            <w:pPr>
              <w:spacing w:after="40"/>
            </w:pPr>
            <w:r>
              <w:rPr>
                <w:b/>
                <w:sz w:val="19"/>
              </w:rPr>
              <w:t>Required locked specification before recruitment</w:t>
            </w:r>
          </w:p>
        </w:tc>
      </w:tr>
      <w:tr w:rsidR="006B42EB" w14:paraId="19CA21D0" w14:textId="77777777">
        <w:trPr>
          <w:jc w:val="center"/>
        </w:trPr>
        <w:tc>
          <w:tcPr>
            <w:tcW w:w="4968" w:type="dxa"/>
            <w:vAlign w:val="center"/>
          </w:tcPr>
          <w:p w14:paraId="33413525" w14:textId="77777777" w:rsidR="006B42EB" w:rsidRDefault="00000000">
            <w:pPr>
              <w:spacing w:after="40"/>
            </w:pPr>
            <w:r>
              <w:rPr>
                <w:sz w:val="19"/>
              </w:rPr>
              <w:t>Engine version</w:t>
            </w:r>
          </w:p>
        </w:tc>
        <w:tc>
          <w:tcPr>
            <w:tcW w:w="4968" w:type="dxa"/>
            <w:vAlign w:val="center"/>
          </w:tcPr>
          <w:p w14:paraId="67A0AAED" w14:textId="77777777" w:rsidR="006B42EB" w:rsidRDefault="00000000">
            <w:pPr>
              <w:spacing w:after="40"/>
            </w:pPr>
            <w:r>
              <w:rPr>
                <w:sz w:val="19"/>
              </w:rPr>
              <w:t>Exact repository tag/commit used to generate recommendations.</w:t>
            </w:r>
          </w:p>
        </w:tc>
      </w:tr>
      <w:tr w:rsidR="006B42EB" w14:paraId="25573082" w14:textId="77777777">
        <w:trPr>
          <w:jc w:val="center"/>
        </w:trPr>
        <w:tc>
          <w:tcPr>
            <w:tcW w:w="4968" w:type="dxa"/>
            <w:vAlign w:val="center"/>
          </w:tcPr>
          <w:p w14:paraId="7A7FE89F" w14:textId="77777777" w:rsidR="006B42EB" w:rsidRDefault="00000000">
            <w:pPr>
              <w:spacing w:after="40"/>
            </w:pPr>
            <w:r>
              <w:rPr>
                <w:sz w:val="19"/>
              </w:rPr>
              <w:t>Graph version</w:t>
            </w:r>
          </w:p>
        </w:tc>
        <w:tc>
          <w:tcPr>
            <w:tcW w:w="4968" w:type="dxa"/>
            <w:vAlign w:val="center"/>
          </w:tcPr>
          <w:p w14:paraId="180C2795" w14:textId="77777777" w:rsidR="006B42EB" w:rsidRDefault="00000000">
            <w:pPr>
              <w:spacing w:after="40"/>
            </w:pPr>
            <w:r>
              <w:rPr>
                <w:sz w:val="19"/>
              </w:rPr>
              <w:t>Exact validated subject-graph version.</w:t>
            </w:r>
          </w:p>
        </w:tc>
      </w:tr>
      <w:tr w:rsidR="006B42EB" w14:paraId="4DD28AF3" w14:textId="77777777">
        <w:trPr>
          <w:jc w:val="center"/>
        </w:trPr>
        <w:tc>
          <w:tcPr>
            <w:tcW w:w="4968" w:type="dxa"/>
            <w:vAlign w:val="center"/>
          </w:tcPr>
          <w:p w14:paraId="1CECB99B" w14:textId="77777777" w:rsidR="006B42EB" w:rsidRDefault="00000000">
            <w:pPr>
              <w:spacing w:after="40"/>
            </w:pPr>
            <w:r>
              <w:rPr>
                <w:sz w:val="19"/>
              </w:rPr>
              <w:t>Signals</w:t>
            </w:r>
          </w:p>
        </w:tc>
        <w:tc>
          <w:tcPr>
            <w:tcW w:w="4968" w:type="dxa"/>
            <w:vAlign w:val="center"/>
          </w:tcPr>
          <w:p w14:paraId="409922A3" w14:textId="77777777" w:rsidR="006B42EB" w:rsidRDefault="00000000">
            <w:pPr>
              <w:spacing w:after="40"/>
            </w:pPr>
            <w:r>
              <w:rPr>
                <w:sz w:val="19"/>
              </w:rPr>
              <w:t>Every recommendation signal S_i and its operational definition.</w:t>
            </w:r>
          </w:p>
        </w:tc>
      </w:tr>
      <w:tr w:rsidR="006B42EB" w14:paraId="02B6E510" w14:textId="77777777">
        <w:trPr>
          <w:jc w:val="center"/>
        </w:trPr>
        <w:tc>
          <w:tcPr>
            <w:tcW w:w="4968" w:type="dxa"/>
            <w:vAlign w:val="center"/>
          </w:tcPr>
          <w:p w14:paraId="21296DE9" w14:textId="77777777" w:rsidR="006B42EB" w:rsidRDefault="00000000">
            <w:pPr>
              <w:spacing w:after="40"/>
            </w:pPr>
            <w:r>
              <w:rPr>
                <w:sz w:val="19"/>
              </w:rPr>
              <w:t>Weights</w:t>
            </w:r>
          </w:p>
        </w:tc>
        <w:tc>
          <w:tcPr>
            <w:tcW w:w="4968" w:type="dxa"/>
            <w:vAlign w:val="center"/>
          </w:tcPr>
          <w:p w14:paraId="4D6A511F" w14:textId="77777777" w:rsidR="006B42EB" w:rsidRDefault="00000000">
            <w:pPr>
              <w:spacing w:after="40"/>
            </w:pPr>
            <w:r>
              <w:rPr>
                <w:sz w:val="19"/>
              </w:rPr>
              <w:t>Every balanced-profile weight w_i, numerically.</w:t>
            </w:r>
          </w:p>
        </w:tc>
      </w:tr>
      <w:tr w:rsidR="006B42EB" w14:paraId="679CCC0C" w14:textId="77777777">
        <w:trPr>
          <w:jc w:val="center"/>
        </w:trPr>
        <w:tc>
          <w:tcPr>
            <w:tcW w:w="4968" w:type="dxa"/>
            <w:vAlign w:val="center"/>
          </w:tcPr>
          <w:p w14:paraId="3D7E3F46" w14:textId="77777777" w:rsidR="006B42EB" w:rsidRDefault="00000000">
            <w:pPr>
              <w:spacing w:after="40"/>
            </w:pPr>
            <w:r>
              <w:rPr>
                <w:sz w:val="19"/>
              </w:rPr>
              <w:t>Normalization</w:t>
            </w:r>
          </w:p>
        </w:tc>
        <w:tc>
          <w:tcPr>
            <w:tcW w:w="4968" w:type="dxa"/>
            <w:vAlign w:val="center"/>
          </w:tcPr>
          <w:p w14:paraId="2F4E3D92" w14:textId="77777777" w:rsidR="006B42EB" w:rsidRDefault="00000000">
            <w:pPr>
              <w:spacing w:after="40"/>
            </w:pPr>
            <w:r>
              <w:rPr>
                <w:sz w:val="19"/>
              </w:rPr>
              <w:t>Exact normalization method for every signal and its reference population/range.</w:t>
            </w:r>
          </w:p>
        </w:tc>
      </w:tr>
      <w:tr w:rsidR="006B42EB" w14:paraId="33ECD684" w14:textId="77777777">
        <w:trPr>
          <w:jc w:val="center"/>
        </w:trPr>
        <w:tc>
          <w:tcPr>
            <w:tcW w:w="4968" w:type="dxa"/>
            <w:vAlign w:val="center"/>
          </w:tcPr>
          <w:p w14:paraId="054CE98A" w14:textId="77777777" w:rsidR="006B42EB" w:rsidRDefault="00000000">
            <w:pPr>
              <w:spacing w:after="40"/>
            </w:pPr>
            <w:r>
              <w:rPr>
                <w:sz w:val="19"/>
              </w:rPr>
              <w:t>Eligibility</w:t>
            </w:r>
          </w:p>
        </w:tc>
        <w:tc>
          <w:tcPr>
            <w:tcW w:w="4968" w:type="dxa"/>
            <w:vAlign w:val="center"/>
          </w:tcPr>
          <w:p w14:paraId="72A80C4D" w14:textId="77777777" w:rsidR="006B42EB" w:rsidRDefault="00000000">
            <w:pPr>
              <w:spacing w:after="40"/>
            </w:pPr>
            <w:r>
              <w:rPr>
                <w:sz w:val="19"/>
              </w:rPr>
              <w:t>Exact prerequisite-satisfaction rule defining candidate concepts.</w:t>
            </w:r>
          </w:p>
        </w:tc>
      </w:tr>
      <w:tr w:rsidR="006B42EB" w14:paraId="6BF73BE1" w14:textId="77777777">
        <w:trPr>
          <w:jc w:val="center"/>
        </w:trPr>
        <w:tc>
          <w:tcPr>
            <w:tcW w:w="4968" w:type="dxa"/>
            <w:vAlign w:val="center"/>
          </w:tcPr>
          <w:p w14:paraId="1FEE5933" w14:textId="77777777" w:rsidR="006B42EB" w:rsidRDefault="00000000">
            <w:pPr>
              <w:spacing w:after="40"/>
            </w:pPr>
            <w:r>
              <w:rPr>
                <w:sz w:val="19"/>
              </w:rPr>
              <w:t>Mastery state</w:t>
            </w:r>
          </w:p>
        </w:tc>
        <w:tc>
          <w:tcPr>
            <w:tcW w:w="4968" w:type="dxa"/>
            <w:vAlign w:val="center"/>
          </w:tcPr>
          <w:p w14:paraId="15E0CBCD" w14:textId="77777777" w:rsidR="006B42EB" w:rsidRDefault="00000000">
            <w:pPr>
              <w:spacing w:after="40"/>
            </w:pPr>
            <w:r>
              <w:rPr>
                <w:sz w:val="19"/>
              </w:rPr>
              <w:t>Exact state variables used to determine whether a prerequisite or concept is satisfied.</w:t>
            </w:r>
          </w:p>
        </w:tc>
      </w:tr>
      <w:tr w:rsidR="006B42EB" w14:paraId="3F36B82C" w14:textId="77777777">
        <w:trPr>
          <w:jc w:val="center"/>
        </w:trPr>
        <w:tc>
          <w:tcPr>
            <w:tcW w:w="4968" w:type="dxa"/>
            <w:vAlign w:val="center"/>
          </w:tcPr>
          <w:p w14:paraId="06C120BA" w14:textId="77777777" w:rsidR="006B42EB" w:rsidRDefault="00000000">
            <w:pPr>
              <w:spacing w:after="40"/>
            </w:pPr>
            <w:r>
              <w:rPr>
                <w:sz w:val="19"/>
              </w:rPr>
              <w:t>Tie-breaking</w:t>
            </w:r>
          </w:p>
        </w:tc>
        <w:tc>
          <w:tcPr>
            <w:tcW w:w="4968" w:type="dxa"/>
            <w:vAlign w:val="center"/>
          </w:tcPr>
          <w:p w14:paraId="3A1127F5" w14:textId="77777777" w:rsidR="006B42EB" w:rsidRDefault="00000000">
            <w:pPr>
              <w:spacing w:after="40"/>
            </w:pPr>
            <w:r>
              <w:rPr>
                <w:sz w:val="19"/>
              </w:rPr>
              <w:t>Deterministic tie-break rule for equal scores.</w:t>
            </w:r>
          </w:p>
        </w:tc>
      </w:tr>
      <w:tr w:rsidR="006B42EB" w14:paraId="266C4CE3" w14:textId="77777777">
        <w:trPr>
          <w:jc w:val="center"/>
        </w:trPr>
        <w:tc>
          <w:tcPr>
            <w:tcW w:w="4968" w:type="dxa"/>
            <w:vAlign w:val="center"/>
          </w:tcPr>
          <w:p w14:paraId="3144457B" w14:textId="77777777" w:rsidR="006B42EB" w:rsidRDefault="00000000">
            <w:pPr>
              <w:spacing w:after="40"/>
            </w:pPr>
            <w:r>
              <w:rPr>
                <w:sz w:val="19"/>
              </w:rPr>
              <w:t>Recomputation</w:t>
            </w:r>
          </w:p>
        </w:tc>
        <w:tc>
          <w:tcPr>
            <w:tcW w:w="4968" w:type="dxa"/>
            <w:vAlign w:val="center"/>
          </w:tcPr>
          <w:p w14:paraId="232A3CD4" w14:textId="77777777" w:rsidR="006B42EB" w:rsidRDefault="00000000">
            <w:pPr>
              <w:spacing w:after="40"/>
            </w:pPr>
            <w:r>
              <w:rPr>
                <w:sz w:val="19"/>
              </w:rPr>
              <w:t>Exact trigger for recommendation updates: attempt, session, state change, or other event.</w:t>
            </w:r>
          </w:p>
        </w:tc>
      </w:tr>
      <w:tr w:rsidR="006B42EB" w14:paraId="790A18C5" w14:textId="77777777">
        <w:trPr>
          <w:jc w:val="center"/>
        </w:trPr>
        <w:tc>
          <w:tcPr>
            <w:tcW w:w="4968" w:type="dxa"/>
            <w:vAlign w:val="center"/>
          </w:tcPr>
          <w:p w14:paraId="23CE58F6" w14:textId="77777777" w:rsidR="006B42EB" w:rsidRDefault="00000000">
            <w:pPr>
              <w:spacing w:after="40"/>
            </w:pPr>
            <w:r>
              <w:rPr>
                <w:sz w:val="19"/>
              </w:rPr>
              <w:t>History</w:t>
            </w:r>
          </w:p>
        </w:tc>
        <w:tc>
          <w:tcPr>
            <w:tcW w:w="4968" w:type="dxa"/>
            <w:vAlign w:val="center"/>
          </w:tcPr>
          <w:p w14:paraId="3E37AD8F" w14:textId="77777777" w:rsidR="006B42EB" w:rsidRDefault="00000000">
            <w:pPr>
              <w:spacing w:after="40"/>
            </w:pPr>
            <w:r>
              <w:rPr>
                <w:sz w:val="19"/>
              </w:rPr>
              <w:t>Whether scoring uses current mastery only or the complete learner history.</w:t>
            </w:r>
          </w:p>
        </w:tc>
      </w:tr>
      <w:tr w:rsidR="006B42EB" w14:paraId="3A9909B9" w14:textId="77777777">
        <w:trPr>
          <w:jc w:val="center"/>
        </w:trPr>
        <w:tc>
          <w:tcPr>
            <w:tcW w:w="4968" w:type="dxa"/>
            <w:vAlign w:val="center"/>
          </w:tcPr>
          <w:p w14:paraId="136524E5" w14:textId="77777777" w:rsidR="006B42EB" w:rsidRDefault="00000000">
            <w:pPr>
              <w:spacing w:after="40"/>
            </w:pPr>
            <w:r>
              <w:rPr>
                <w:sz w:val="19"/>
              </w:rPr>
              <w:t>Deviation</w:t>
            </w:r>
          </w:p>
        </w:tc>
        <w:tc>
          <w:tcPr>
            <w:tcW w:w="4968" w:type="dxa"/>
            <w:vAlign w:val="center"/>
          </w:tcPr>
          <w:p w14:paraId="2A452B40" w14:textId="77777777" w:rsidR="006B42EB" w:rsidRDefault="00000000">
            <w:pPr>
              <w:spacing w:after="40"/>
            </w:pPr>
            <w:r>
              <w:rPr>
                <w:sz w:val="19"/>
              </w:rPr>
              <w:t>What constitutes a navigation deviation and how it is logged.</w:t>
            </w:r>
          </w:p>
        </w:tc>
      </w:tr>
      <w:tr w:rsidR="006B42EB" w14:paraId="4E5AE2D0" w14:textId="77777777">
        <w:trPr>
          <w:jc w:val="center"/>
        </w:trPr>
        <w:tc>
          <w:tcPr>
            <w:tcW w:w="4968" w:type="dxa"/>
            <w:vAlign w:val="center"/>
          </w:tcPr>
          <w:p w14:paraId="1C16BF06" w14:textId="77777777" w:rsidR="006B42EB" w:rsidRDefault="00000000">
            <w:pPr>
              <w:spacing w:after="40"/>
            </w:pPr>
            <w:r>
              <w:rPr>
                <w:sz w:val="19"/>
              </w:rPr>
              <w:t>Configuration file</w:t>
            </w:r>
          </w:p>
        </w:tc>
        <w:tc>
          <w:tcPr>
            <w:tcW w:w="4968" w:type="dxa"/>
            <w:vAlign w:val="center"/>
          </w:tcPr>
          <w:p w14:paraId="2FAB013A" w14:textId="77777777" w:rsidR="006B42EB" w:rsidRDefault="00000000">
            <w:pPr>
              <w:spacing w:after="40"/>
            </w:pPr>
            <w:r>
              <w:rPr>
                <w:sz w:val="19"/>
              </w:rPr>
              <w:t>Frozen machine-readable configuration archived with the preregistration.</w:t>
            </w:r>
          </w:p>
        </w:tc>
      </w:tr>
    </w:tbl>
    <w:p w14:paraId="0FBC301D" w14:textId="77777777" w:rsidR="006B42EB" w:rsidRDefault="006B42EB"/>
    <w:p w14:paraId="418E8740" w14:textId="77777777" w:rsidR="006B42EB" w:rsidRDefault="00000000">
      <w:pPr>
        <w:pStyle w:val="ProtocolBox"/>
      </w:pPr>
      <w:r>
        <w:t>Freeze gate</w:t>
      </w:r>
      <w:r>
        <w:br/>
        <w:t>Before confirmatory recruitment begins, the study team will archive the frozen v1.0 engine commit, validated subject graph version, exact intervention configuration, and machine-readable intervention artifact. The authoritative intervention artifact is data/interventions/balanced_step_zero.json and its deterministic configuration hash is e978c427c58929df. A later change to the intervention configuration or engine behavior is a protocol deviation, not an invisible implementation update.</w:t>
      </w:r>
    </w:p>
    <w:p w14:paraId="13E77D5E" w14:textId="77777777" w:rsidR="006B42EB" w:rsidRDefault="00000000">
      <w:pPr>
        <w:pStyle w:val="Heading2"/>
      </w:pPr>
      <w:r>
        <w:rPr>
          <w:rFonts w:ascii="Times New Roman" w:hAnsi="Times New Roman"/>
        </w:rPr>
        <w:t>8.2 Recommendation policy versus enforced sequence</w:t>
      </w:r>
    </w:p>
    <w:p w14:paraId="32C12DD4" w14:textId="77777777" w:rsidR="006B42EB" w:rsidRDefault="00000000">
      <w:r>
        <w:t>The intervention is a recommendation policy, not a hard-enforced sequence. The assigned next concept is presented prominently as the default, but students may navigate to another eligible concept.</w:t>
      </w:r>
    </w:p>
    <w:p w14:paraId="3807FE13" w14:textId="77777777" w:rsidR="006B42EB" w:rsidRDefault="00000000">
      <w:pPr>
        <w:pStyle w:val="ListBullet"/>
      </w:pPr>
      <w:r>
        <w:lastRenderedPageBreak/>
        <w:t>Every concept-open event is logged.</w:t>
      </w:r>
    </w:p>
    <w:p w14:paraId="25AAF380" w14:textId="77777777" w:rsidR="006B42EB" w:rsidRDefault="00000000">
      <w:pPr>
        <w:pStyle w:val="ListBullet"/>
      </w:pPr>
      <w:r>
        <w:t>Every recommendation opportunity is logged.</w:t>
      </w:r>
    </w:p>
    <w:p w14:paraId="2A4C2BC0" w14:textId="77777777" w:rsidR="006B42EB" w:rsidRDefault="00000000">
      <w:pPr>
        <w:pStyle w:val="ListBullet"/>
      </w:pPr>
      <w:r>
        <w:t>The recommended concept and selected concept are both recorded.</w:t>
      </w:r>
    </w:p>
    <w:p w14:paraId="47372BB5" w14:textId="77777777" w:rsidR="006B42EB" w:rsidRDefault="00000000">
      <w:pPr>
        <w:pStyle w:val="ListBullet"/>
      </w:pPr>
      <w:r>
        <w:t>The complete experienced sequence can therefore be reconstructed.</w:t>
      </w:r>
    </w:p>
    <w:p w14:paraId="2A94991E" w14:textId="77777777" w:rsidR="006B42EB" w:rsidRDefault="00000000">
      <w:pPr>
        <w:pStyle w:val="ListBullet"/>
      </w:pPr>
      <w:r>
        <w:t>Primary analysis remains ITT regardless of adherence.</w:t>
      </w:r>
    </w:p>
    <w:p w14:paraId="21C2EFFD" w14:textId="77777777" w:rsidR="006B42EB" w:rsidRDefault="00000000">
      <w:pPr>
        <w:pStyle w:val="Heading2"/>
      </w:pPr>
      <w:r>
        <w:rPr>
          <w:rFonts w:ascii="Times New Roman" w:hAnsi="Times New Roman"/>
        </w:rPr>
        <w:t>8.3 Recommendation fidelity</w:t>
      </w:r>
    </w:p>
    <w:p w14:paraId="4E7D7974" w14:textId="77777777" w:rsidR="006B42EB" w:rsidRDefault="00000000">
      <w:r>
        <w:t>For student i, recommendation adherence is defined as the proportion of eligible recommendation opportunities at which the student follows the recommended next step:</w:t>
      </w:r>
    </w:p>
    <w:p w14:paraId="3EA927FD" w14:textId="77777777" w:rsidR="006B42EB" w:rsidRDefault="00000000">
      <w:pPr>
        <w:jc w:val="center"/>
      </w:pPr>
      <m:oMathPara>
        <m:oMath>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 xml:space="preserve"> = </m:t>
          </m:r>
          <m:f>
            <m:fPr>
              <m:ctrlPr>
                <w:rPr>
                  <w:rFonts w:ascii="Cambria Math" w:hAnsi="Cambria Math"/>
                </w:rPr>
              </m:ctrlPr>
            </m:fPr>
            <m:num>
              <m:r>
                <w:rPr>
                  <w:rFonts w:ascii="Cambria Math" w:hAnsi="Cambria Math"/>
                </w:rPr>
                <m:t>followed recommendation opportunities</m:t>
              </m:r>
            </m:num>
            <m:den>
              <m:r>
                <w:rPr>
                  <w:rFonts w:ascii="Cambria Math" w:hAnsi="Cambria Math"/>
                </w:rPr>
                <m:t>eligible recommendation opportunities</m:t>
              </m:r>
            </m:den>
          </m:f>
        </m:oMath>
      </m:oMathPara>
    </w:p>
    <w:p w14:paraId="7A6FEE5F" w14:textId="77777777" w:rsidR="006B42EB" w:rsidRDefault="00000000">
      <w:r>
        <w:t>The study reports exposure opportunities, adherence F_i, navigation deviation, and cross-condition exposure separately. Deviation from a recommendation is not automatically contamination.</w:t>
      </w:r>
    </w:p>
    <w:p w14:paraId="3318AE12" w14:textId="77777777" w:rsidR="006B42EB" w:rsidRDefault="00000000">
      <w:pPr>
        <w:pStyle w:val="Heading1"/>
      </w:pPr>
      <w:r>
        <w:rPr>
          <w:rFonts w:ascii="Times New Roman" w:hAnsi="Times New Roman"/>
        </w:rPr>
        <w:t>9. Conventional comparator construction</w:t>
      </w:r>
    </w:p>
    <w:p w14:paraId="54DAB03F" w14:textId="77777777" w:rsidR="006B42EB" w:rsidRDefault="00000000">
      <w:r>
        <w:t>The conventional comparator is designed to represent a reproducible conventional curricular ordering without allowing Step Zero's graph to determine the control sequence.</w:t>
      </w:r>
    </w:p>
    <w:p w14:paraId="64A83434" w14:textId="77777777" w:rsidR="006B42EB" w:rsidRDefault="00000000">
      <w:pPr>
        <w:pStyle w:val="ListNumber"/>
      </w:pPr>
      <w:r>
        <w:t>Identify two or three qualifying external curricular sources for the subject and tested level.</w:t>
      </w:r>
    </w:p>
    <w:p w14:paraId="23E7AE7F" w14:textId="77777777" w:rsidR="006B42EB" w:rsidRDefault="00000000">
      <w:pPr>
        <w:pStyle w:val="ListNumber"/>
      </w:pPr>
      <w:r>
        <w:t>Prefer widely used textbooks or national/curriculum frameworks, with the selection basis documented.</w:t>
      </w:r>
    </w:p>
    <w:p w14:paraId="0A1DFE6E" w14:textId="77777777" w:rsidR="006B42EB" w:rsidRDefault="00000000">
      <w:pPr>
        <w:pStyle w:val="ListNumber"/>
      </w:pPr>
      <w:r>
        <w:t>Extract each source's concept ordering.</w:t>
      </w:r>
    </w:p>
    <w:p w14:paraId="3BB66F98" w14:textId="77777777" w:rsidR="006B42EB" w:rsidRDefault="00000000">
      <w:pPr>
        <w:pStyle w:val="ListNumber"/>
      </w:pPr>
      <w:r>
        <w:t>Assign each concept its rank within each source.</w:t>
      </w:r>
    </w:p>
    <w:p w14:paraId="60E3E572" w14:textId="77777777" w:rsidR="006B42EB" w:rsidRDefault="00000000">
      <w:pPr>
        <w:pStyle w:val="ListNumber"/>
      </w:pPr>
      <w:r>
        <w:t>Compute the mean rank across sources.</w:t>
      </w:r>
    </w:p>
    <w:p w14:paraId="21E62E57" w14:textId="77777777" w:rsidR="006B42EB" w:rsidRDefault="00000000">
      <w:pPr>
        <w:pStyle w:val="ListNumber"/>
      </w:pPr>
      <w:r>
        <w:t>Sort concepts by ascending mean rank.</w:t>
      </w:r>
    </w:p>
    <w:p w14:paraId="168C96FA" w14:textId="77777777" w:rsidR="006B42EB" w:rsidRDefault="00000000">
      <w:pPr>
        <w:pStyle w:val="ListNumber"/>
      </w:pPr>
      <w:r>
        <w:t>Break exact mean-rank ties deterministically by concept ID.</w:t>
      </w:r>
    </w:p>
    <w:p w14:paraId="2A88A05B" w14:textId="77777777" w:rsidR="006B42EB" w:rsidRDefault="00000000">
      <w:pPr>
        <w:pStyle w:val="ListNumber"/>
      </w:pPr>
      <w:r>
        <w:t>Freeze and archive the resulting sequence before confirmatory recruitment.</w:t>
      </w:r>
    </w:p>
    <w:p w14:paraId="567C8AFD" w14:textId="77777777" w:rsidR="006B42EB" w:rsidRDefault="00000000">
      <w:r>
        <w:t>Borda-style mean-rank aggregation is used instead of pairwise majority ordering because pairwise majority relations can cycle. The Step Zero graph is not used to resolve ties or choose between competing conventional orderings.</w:t>
      </w:r>
    </w:p>
    <w:p w14:paraId="02ECF424" w14:textId="77777777" w:rsidR="006B42EB" w:rsidRDefault="00000000">
      <w:pPr>
        <w:pStyle w:val="ProtocolBox"/>
      </w:pPr>
      <w:r>
        <w:rPr>
          <w:rFonts w:ascii="Times New Roman" w:hAnsi="Times New Roman"/>
          <w:color w:val="000000"/>
        </w:rPr>
        <w:t>Graph-independence rule</w:t>
      </w:r>
      <w:r>
        <w:rPr>
          <w:rFonts w:ascii="Times New Roman" w:hAnsi="Times New Roman"/>
          <w:color w:val="000000"/>
        </w:rPr>
        <w:br/>
        <w:t>The Step Zero graph may be used after comparator construction only as a diagnostic report of prerequisite violations. A detected violation cannot trigger an ad hoc comparator change. Any correction must be made through the pre-specified external-source aggregation protocol.</w:t>
      </w:r>
    </w:p>
    <w:p w14:paraId="575EAF97" w14:textId="77777777" w:rsidR="006B42EB" w:rsidRDefault="00000000">
      <w:r>
        <w:t>The actual tutor/classroom sequence is recorded as an observational secondary reference only. It is not randomized and is not used as the primary comparator.</w:t>
      </w:r>
    </w:p>
    <w:p w14:paraId="66831BA2" w14:textId="77777777" w:rsidR="006B42EB" w:rsidRDefault="00000000">
      <w:pPr>
        <w:pStyle w:val="Heading1"/>
      </w:pPr>
      <w:r>
        <w:rPr>
          <w:rFonts w:ascii="Times New Roman" w:hAnsi="Times New Roman"/>
        </w:rPr>
        <w:t>10. Assessment design</w:t>
      </w:r>
    </w:p>
    <w:p w14:paraId="4EC7F649" w14:textId="77777777" w:rsidR="006B42EB" w:rsidRDefault="00000000">
      <w:r>
        <w:t>The assessment must measure learning independently of Step Zero's internal mastery score and recommendation logic.</w:t>
      </w:r>
    </w:p>
    <w:p w14:paraId="68401F97" w14:textId="77777777" w:rsidR="006B42EB" w:rsidRDefault="00000000">
      <w:pPr>
        <w:pStyle w:val="Heading2"/>
      </w:pPr>
      <w:r>
        <w:rPr>
          <w:rFonts w:ascii="Times New Roman" w:hAnsi="Times New Roman"/>
        </w:rPr>
        <w:t>10.1 Target concepts</w:t>
      </w:r>
    </w:p>
    <w:p w14:paraId="7F08D239" w14:textId="77777777" w:rsidR="006B42EB" w:rsidRDefault="00000000">
      <w:r>
        <w:t>Each subject receives a frozen target-concept set selected after graph validation.</w:t>
      </w:r>
    </w:p>
    <w:p w14:paraId="1075C3E7" w14:textId="77777777" w:rsidR="006B42EB" w:rsidRDefault="00000000">
      <w:pPr>
        <w:jc w:val="center"/>
      </w:pPr>
      <m:oMath>
        <m:sSub>
          <m:sSubPr>
            <m:ctrlPr>
              <w:rPr>
                <w:rFonts w:ascii="Cambria Math" w:hAnsi="Cambria Math"/>
              </w:rPr>
            </m:ctrlPr>
          </m:sSubPr>
          <m:e>
            <m:r>
              <w:rPr>
                <w:rFonts w:ascii="Cambria Math" w:hAnsi="Cambria Math"/>
              </w:rPr>
              <m:t>K</m:t>
            </m:r>
          </m:e>
          <m:sub>
            <m:r>
              <w:rPr>
                <w:rFonts w:ascii="Cambria Math" w:hAnsi="Cambria Math"/>
              </w:rPr>
              <m:t>s</m:t>
            </m:r>
          </m:sub>
        </m:sSub>
      </m:oMath>
      <w:r>
        <w:t>= final number of target concepts for subject s, with</w:t>
      </w:r>
      <m:oMath>
        <m:r>
          <w:rPr>
            <w:rFonts w:ascii="Cambria Math" w:hAnsi="Cambria Math"/>
          </w:rPr>
          <m:t xml:space="preserve">1 ≤ </m:t>
        </m:r>
        <m:sSub>
          <m:sSubPr>
            <m:ctrlPr>
              <w:rPr>
                <w:rFonts w:ascii="Cambria Math" w:hAnsi="Cambria Math"/>
              </w:rPr>
            </m:ctrlPr>
          </m:sSubPr>
          <m:e>
            <m:r>
              <w:rPr>
                <w:rFonts w:ascii="Cambria Math" w:hAnsi="Cambria Math"/>
              </w:rPr>
              <m:t>K</m:t>
            </m:r>
          </m:e>
          <m:sub>
            <m:r>
              <w:rPr>
                <w:rFonts w:ascii="Cambria Math" w:hAnsi="Cambria Math"/>
              </w:rPr>
              <m:t>s</m:t>
            </m:r>
          </m:sub>
        </m:sSub>
        <m:r>
          <w:rPr>
            <w:rFonts w:ascii="Cambria Math" w:hAnsi="Cambria Math"/>
          </w:rPr>
          <m:t xml:space="preserve"> ≤ 15</m:t>
        </m:r>
      </m:oMath>
    </w:p>
    <w:p w14:paraId="10E93DAD" w14:textId="77777777" w:rsidR="006B42EB" w:rsidRDefault="00000000">
      <w:r>
        <w:t>Concepts are ranked by graph depth, defined as the longest-path distance from any root, with concept ID as the deterministic tie-break. The first 15 concepts are initially selected. If the pilot median completion time exceeds 60 minutes, concepts are removed one at a time from the deepest end until the projected time falls below the cap.</w:t>
      </w:r>
    </w:p>
    <w:p w14:paraId="5EEFD7A2" w14:textId="77777777" w:rsidR="006B42EB" w:rsidRDefault="00000000">
      <w:r>
        <w:t>These are the graph-depth-ranked concepts defining the common measurement window. They are not called 'the most educationally important concepts', because graph depth alone does not establish educational importance.</w:t>
      </w:r>
    </w:p>
    <w:p w14:paraId="32304E20" w14:textId="77777777" w:rsidR="006B42EB" w:rsidRDefault="00000000">
      <w:pPr>
        <w:pStyle w:val="Heading2"/>
      </w:pPr>
      <w:r>
        <w:rPr>
          <w:rFonts w:ascii="Times New Roman" w:hAnsi="Times New Roman"/>
        </w:rPr>
        <w:t>10.2 Assessment burden rule</w:t>
      </w:r>
    </w:p>
    <w:p w14:paraId="0231E72A" w14:textId="77777777" w:rsidR="006B42EB" w:rsidRDefault="00000000">
      <w:r>
        <w:t>Each concept initially has five items, giving</w:t>
      </w:r>
      <m:oMath>
        <m:r>
          <w:rPr>
            <w:rFonts w:ascii="Cambria Math" w:hAnsi="Cambria Math"/>
          </w:rPr>
          <m:t>5</m:t>
        </m:r>
        <m:sSub>
          <m:sSubPr>
            <m:ctrlPr>
              <w:rPr>
                <w:rFonts w:ascii="Cambria Math" w:hAnsi="Cambria Math"/>
              </w:rPr>
            </m:ctrlPr>
          </m:sSubPr>
          <m:e>
            <m:r>
              <w:rPr>
                <w:rFonts w:ascii="Cambria Math" w:hAnsi="Cambria Math"/>
              </w:rPr>
              <m:t>K</m:t>
            </m:r>
          </m:e>
          <m:sub>
            <m:r>
              <w:rPr>
                <w:rFonts w:ascii="Cambria Math" w:hAnsi="Cambria Math"/>
              </w:rPr>
              <m:t>s</m:t>
            </m:r>
          </m:sub>
        </m:sSub>
      </m:oMath>
      <w:r>
        <w:t>items per administration. The maximum intended burden is 75 items when</w:t>
      </w:r>
      <m:oMath>
        <m:sSub>
          <m:sSubPr>
            <m:ctrlPr>
              <w:rPr>
                <w:rFonts w:ascii="Cambria Math" w:hAnsi="Cambria Math"/>
              </w:rPr>
            </m:ctrlPr>
          </m:sSubPr>
          <m:e>
            <m:r>
              <w:rPr>
                <w:rFonts w:ascii="Cambria Math" w:hAnsi="Cambria Math"/>
              </w:rPr>
              <m:t>K</m:t>
            </m:r>
          </m:e>
          <m:sub>
            <m:r>
              <w:rPr>
                <w:rFonts w:ascii="Cambria Math" w:hAnsi="Cambria Math"/>
              </w:rPr>
              <m:t>s</m:t>
            </m:r>
          </m:sub>
        </m:sSub>
      </m:oMath>
      <w:r>
        <w:t>= 15.</w:t>
      </w:r>
    </w:p>
    <w:p w14:paraId="4F7DD8F3" w14:textId="77777777" w:rsidR="006B42EB" w:rsidRDefault="00000000">
      <w:r>
        <w:t>Projected time after a concept-removal step is calculated as:</w:t>
      </w:r>
    </w:p>
    <w:p w14:paraId="29F8BFF1" w14:textId="77777777" w:rsidR="006B42EB" w:rsidRDefault="00000000">
      <w:pPr>
        <w:jc w:val="center"/>
      </w:pPr>
      <m:oMathPara>
        <m:oMath>
          <m:r>
            <w:rPr>
              <w:rFonts w:ascii="Cambria Math" w:hAnsi="Cambria Math"/>
            </w:rPr>
            <m:t xml:space="preserve">Projected time = pilot median completion time × </m:t>
          </m:r>
          <m:f>
            <m:fPr>
              <m:ctrlPr>
                <w:rPr>
                  <w:rFonts w:ascii="Cambria Math" w:hAnsi="Cambria Math"/>
                </w:rPr>
              </m:ctrlPr>
            </m:fPr>
            <m:num>
              <m:r>
                <w:rPr>
                  <w:rFonts w:ascii="Cambria Math" w:hAnsi="Cambria Math"/>
                </w:rPr>
                <m:t>remaining items</m:t>
              </m:r>
            </m:num>
            <m:den>
              <m:r>
                <w:rPr>
                  <w:rFonts w:ascii="Cambria Math" w:hAnsi="Cambria Math"/>
                </w:rPr>
                <m:t>piloted items</m:t>
              </m:r>
            </m:den>
          </m:f>
        </m:oMath>
      </m:oMathPara>
    </w:p>
    <w:p w14:paraId="46E84CFA" w14:textId="77777777" w:rsidR="006B42EB" w:rsidRDefault="00000000">
      <w:r>
        <w:t>The reduction rule is applied once, before confirmatory recruitment, and the resulting</w:t>
      </w:r>
      <m:oMath>
        <m:sSub>
          <m:sSubPr>
            <m:ctrlPr>
              <w:rPr>
                <w:rFonts w:ascii="Cambria Math" w:hAnsi="Cambria Math"/>
              </w:rPr>
            </m:ctrlPr>
          </m:sSubPr>
          <m:e>
            <m:r>
              <w:rPr>
                <w:rFonts w:ascii="Cambria Math" w:hAnsi="Cambria Math"/>
              </w:rPr>
              <m:t>K</m:t>
            </m:r>
          </m:e>
          <m:sub>
            <m:r>
              <w:rPr>
                <w:rFonts w:ascii="Cambria Math" w:hAnsi="Cambria Math"/>
              </w:rPr>
              <m:t>s</m:t>
            </m:r>
          </m:sub>
        </m:sSub>
      </m:oMath>
      <w:r>
        <w:t>is frozen for that subject.</w:t>
      </w:r>
    </w:p>
    <w:p w14:paraId="58DDF726" w14:textId="77777777" w:rsidR="006B42EB" w:rsidRDefault="00000000">
      <w:pPr>
        <w:pStyle w:val="Heading2"/>
      </w:pPr>
      <w:r>
        <w:rPr>
          <w:rFonts w:ascii="Times New Roman" w:hAnsi="Times New Roman"/>
        </w:rPr>
        <w:t>10.3 Item blueprint</w:t>
      </w:r>
    </w:p>
    <w:p w14:paraId="565F4EF6" w14:textId="77777777" w:rsidR="006B42EB" w:rsidRDefault="00000000">
      <w:pPr>
        <w:pStyle w:val="ListBullet"/>
      </w:pPr>
      <w:r>
        <w:t>Five items per concept, unless the deterministic pilot duration rule reduces the concept count, not the items-per-concept rule.</w:t>
      </w:r>
    </w:p>
    <w:p w14:paraId="21650B43" w14:textId="77777777" w:rsidR="006B42EB" w:rsidRDefault="00000000">
      <w:pPr>
        <w:pStyle w:val="ListBullet"/>
      </w:pPr>
      <w:r>
        <w:t>At least one application-style item per concept.</w:t>
      </w:r>
    </w:p>
    <w:p w14:paraId="3C6DBF4A" w14:textId="77777777" w:rsidR="006B42EB" w:rsidRDefault="00000000">
      <w:pPr>
        <w:pStyle w:val="ListBullet"/>
      </w:pPr>
      <w:r>
        <w:t>Where applicable, item coverage spans procedural, conceptual, and applied dimensions.</w:t>
      </w:r>
    </w:p>
    <w:p w14:paraId="59504B54" w14:textId="77777777" w:rsidR="006B42EB" w:rsidRDefault="00000000">
      <w:pPr>
        <w:pStyle w:val="ListBullet"/>
      </w:pPr>
      <w:r>
        <w:t>Each item maps to exactly one concept ID.</w:t>
      </w:r>
    </w:p>
    <w:p w14:paraId="7866C05C" w14:textId="77777777" w:rsidR="006B42EB" w:rsidRDefault="00000000">
      <w:pPr>
        <w:pStyle w:val="ListBullet"/>
      </w:pPr>
      <w:r>
        <w:t>Pretest and posttest use parallel forms with matched blueprint and difficulty tiers, not identical items.</w:t>
      </w:r>
    </w:p>
    <w:p w14:paraId="18EE8A60" w14:textId="77777777" w:rsidR="006B42EB" w:rsidRDefault="00000000">
      <w:pPr>
        <w:pStyle w:val="ListBullet"/>
      </w:pPr>
      <w:r>
        <w:t>Item writers are independent of the Step Zero engineering team.</w:t>
      </w:r>
    </w:p>
    <w:p w14:paraId="123F4F95" w14:textId="77777777" w:rsidR="006B42EB" w:rsidRDefault="00000000">
      <w:pPr>
        <w:pStyle w:val="ListBullet"/>
      </w:pPr>
      <w:r>
        <w:t>Item banks are access-controlled separately from intervention code.</w:t>
      </w:r>
    </w:p>
    <w:p w14:paraId="21DCBE47" w14:textId="77777777" w:rsidR="006B42EB" w:rsidRDefault="00000000">
      <w:pPr>
        <w:pStyle w:val="Heading2"/>
      </w:pPr>
      <w:r>
        <w:rPr>
          <w:rFonts w:ascii="Times New Roman" w:hAnsi="Times New Roman"/>
        </w:rPr>
        <w:t>10.4 Mastery criterion</w:t>
      </w:r>
    </w:p>
    <w:p w14:paraId="2C7C77A5" w14:textId="77777777" w:rsidR="006B42EB" w:rsidRDefault="00000000">
      <w:r>
        <w:t>A concept is considered mastered when the student answers at least 4 of its 5 items correctly, corresponding to an 80% criterion. This is a study-defined operational mastery criterion informed by mastery-learning practice, not a universal constant.</w:t>
      </w:r>
    </w:p>
    <w:p w14:paraId="3E06C437" w14:textId="77777777" w:rsidR="006B42EB" w:rsidRDefault="00000000">
      <w:pPr>
        <w:pStyle w:val="Heading2"/>
      </w:pPr>
      <w:r>
        <w:rPr>
          <w:rFonts w:ascii="Times New Roman" w:hAnsi="Times New Roman"/>
        </w:rPr>
        <w:t>10.5 Pilot psychometrics</w:t>
      </w:r>
    </w:p>
    <w:p w14:paraId="24A25291" w14:textId="77777777" w:rsidR="006B42EB" w:rsidRDefault="00000000">
      <w:pPr>
        <w:pStyle w:val="ListBullet"/>
      </w:pPr>
      <w:r>
        <w:t>Item difficulty and point-biserial discrimination are evaluated.</w:t>
      </w:r>
    </w:p>
    <w:p w14:paraId="02463D53" w14:textId="77777777" w:rsidR="006B42EB" w:rsidRDefault="00000000">
      <w:pPr>
        <w:pStyle w:val="ListBullet"/>
      </w:pPr>
      <w:r>
        <w:t>Ceiling/floor flags trigger item review.</w:t>
      </w:r>
    </w:p>
    <w:p w14:paraId="5BAB58EA" w14:textId="77777777" w:rsidR="006B42EB" w:rsidRDefault="00000000">
      <w:pPr>
        <w:pStyle w:val="ListBullet"/>
      </w:pPr>
      <w:r>
        <w:t>Internal consistency (alpha or KR-20 where appropriate) is reported as one evidence source, not the sole validation criterion.</w:t>
      </w:r>
    </w:p>
    <w:p w14:paraId="577EF8F4" w14:textId="77777777" w:rsidR="006B42EB" w:rsidRDefault="00000000">
      <w:pPr>
        <w:pStyle w:val="ListBullet"/>
      </w:pPr>
      <w:r>
        <w:t>Expert content review evaluates alignment between matched pre/post forms.</w:t>
      </w:r>
    </w:p>
    <w:p w14:paraId="3D21815B" w14:textId="77777777" w:rsidR="006B42EB" w:rsidRDefault="00000000">
      <w:pPr>
        <w:pStyle w:val="ListBullet"/>
      </w:pPr>
      <w:r>
        <w:t>Matched-form item difficulty and discrimination are compared empirically.</w:t>
      </w:r>
    </w:p>
    <w:p w14:paraId="496C5C4C" w14:textId="77777777" w:rsidR="006B42EB" w:rsidRDefault="00000000">
      <w:pPr>
        <w:pStyle w:val="ListBullet"/>
      </w:pPr>
      <w:r>
        <w:t>A simple pretest-posttest correlation is not treated as evidence of form equivalence because true learning changes the underlying score.</w:t>
      </w:r>
    </w:p>
    <w:p w14:paraId="5D1D9A16" w14:textId="77777777" w:rsidR="006B42EB" w:rsidRDefault="00000000">
      <w:pPr>
        <w:pStyle w:val="Heading1"/>
      </w:pPr>
      <w:r>
        <w:rPr>
          <w:rFonts w:ascii="Times New Roman" w:hAnsi="Times New Roman"/>
        </w:rPr>
        <w:lastRenderedPageBreak/>
        <w:t>11. Outcome definitions</w:t>
      </w:r>
    </w:p>
    <w:p w14:paraId="53AD2CF6" w14:textId="77777777" w:rsidR="006B42EB" w:rsidRDefault="00000000">
      <w:pPr>
        <w:pStyle w:val="Heading2"/>
      </w:pPr>
      <w:r>
        <w:rPr>
          <w:rFonts w:ascii="Times New Roman" w:hAnsi="Times New Roman"/>
        </w:rPr>
        <w:t>11.1 Primary outcome</w:t>
      </w:r>
    </w:p>
    <w:p w14:paraId="35A2B395" w14:textId="77777777" w:rsidR="006B42EB" w:rsidRDefault="00000000">
      <w:r>
        <w:t>For student i in subject s, the raw posttest score is the percentage of correctly answered scored items across that subject's frozen target-concept set.</w:t>
      </w:r>
    </w:p>
    <w:p w14:paraId="3DD02948" w14:textId="77777777" w:rsidR="006B42EB" w:rsidRDefault="00000000">
      <w:r>
        <w:t>Because the five subject assessments are not guaranteed to be commensurate on a raw percentage scale, the primary cross-subject outcome is standardized within subject against the conventional control arm:</w:t>
      </w:r>
    </w:p>
    <w:p w14:paraId="566074B5" w14:textId="434E7482" w:rsidR="006D6A0D" w:rsidRDefault="00000000">
      <w:pPr>
        <w:jc w:val="center"/>
      </w:pPr>
      <m:oMathPara>
        <m:oMath>
          <m:sSub>
            <m:sSubPr>
              <m:ctrlPr>
                <w:rPr>
                  <w:rFonts w:ascii="Cambria Math" w:hAnsi="Cambria Math"/>
                </w:rPr>
              </m:ctrlPr>
            </m:sSubPr>
            <m:e>
              <m:r>
                <w:rPr>
                  <w:rFonts w:ascii="Cambria Math" w:hAnsi="Cambria Math"/>
                </w:rPr>
                <m:t>Z</m:t>
              </m:r>
            </m:e>
            <m:sub>
              <m:r>
                <w:rPr>
                  <w:rFonts w:ascii="Cambria Math" w:hAnsi="Cambria Math"/>
                </w:rPr>
                <m:t>is</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is</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Cs</m:t>
                  </m:r>
                </m:sub>
              </m:sSub>
            </m:num>
            <m:den>
              <m:r>
                <w:rPr>
                  <w:rFonts w:ascii="Cambria Math" w:hAnsi="Cambria Math"/>
                </w:rPr>
                <m:t>SD</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Cs</m:t>
                      </m:r>
                    </m:sub>
                  </m:sSub>
                </m:e>
              </m:d>
            </m:den>
          </m:f>
        </m:oMath>
      </m:oMathPara>
    </w:p>
    <w:p w14:paraId="3F88B4A6" w14:textId="77777777" w:rsidR="006B42EB" w:rsidRDefault="00000000">
      <w:r>
        <w:t>The control-arm mean and SD are calculated separately within each subject using posttest data from the conventional arm. The resulting quantity is a control-referenced standardized learning outcome, not a pooled percentage-point outcome.</w:t>
      </w:r>
    </w:p>
    <w:p w14:paraId="7A8724E2" w14:textId="77777777" w:rsidR="006B42EB" w:rsidRDefault="00000000">
      <w:pPr>
        <w:pStyle w:val="Heading2"/>
      </w:pPr>
      <w:r>
        <w:rPr>
          <w:rFonts w:ascii="Times New Roman" w:hAnsi="Times New Roman"/>
        </w:rPr>
        <w:t>11.2 Secondary inferential outcomes</w:t>
      </w:r>
    </w:p>
    <w:tbl>
      <w:tblPr>
        <w:tblStyle w:val="TableGrid"/>
        <w:tblW w:w="0" w:type="auto"/>
        <w:jc w:val="center"/>
        <w:tblLook w:val="04A0" w:firstRow="1" w:lastRow="0" w:firstColumn="1" w:lastColumn="0" w:noHBand="0" w:noVBand="1"/>
      </w:tblPr>
      <w:tblGrid>
        <w:gridCol w:w="3172"/>
        <w:gridCol w:w="3172"/>
        <w:gridCol w:w="3232"/>
      </w:tblGrid>
      <w:tr w:rsidR="006B42EB" w14:paraId="2970851E" w14:textId="77777777">
        <w:trPr>
          <w:jc w:val="center"/>
        </w:trPr>
        <w:tc>
          <w:tcPr>
            <w:tcW w:w="3312" w:type="dxa"/>
            <w:vAlign w:val="center"/>
          </w:tcPr>
          <w:p w14:paraId="2D9EF77A" w14:textId="77777777" w:rsidR="006B42EB" w:rsidRDefault="00000000">
            <w:pPr>
              <w:spacing w:after="40"/>
            </w:pPr>
            <w:r>
              <w:rPr>
                <w:b/>
                <w:sz w:val="19"/>
              </w:rPr>
              <w:t>Outcome</w:t>
            </w:r>
          </w:p>
        </w:tc>
        <w:tc>
          <w:tcPr>
            <w:tcW w:w="3312" w:type="dxa"/>
            <w:vAlign w:val="center"/>
          </w:tcPr>
          <w:p w14:paraId="4688C316" w14:textId="77777777" w:rsidR="006B42EB" w:rsidRDefault="00000000">
            <w:pPr>
              <w:spacing w:after="40"/>
            </w:pPr>
            <w:r>
              <w:rPr>
                <w:b/>
                <w:sz w:val="19"/>
              </w:rPr>
              <w:t>Definition</w:t>
            </w:r>
          </w:p>
        </w:tc>
        <w:tc>
          <w:tcPr>
            <w:tcW w:w="3312" w:type="dxa"/>
            <w:vAlign w:val="center"/>
          </w:tcPr>
          <w:p w14:paraId="07B0EC93" w14:textId="77777777" w:rsidR="006B42EB" w:rsidRDefault="00000000">
            <w:pPr>
              <w:spacing w:after="40"/>
            </w:pPr>
            <w:r>
              <w:rPr>
                <w:b/>
                <w:sz w:val="19"/>
              </w:rPr>
              <w:t>Inferential status</w:t>
            </w:r>
          </w:p>
        </w:tc>
      </w:tr>
      <w:tr w:rsidR="006B42EB" w14:paraId="04F9BB81" w14:textId="77777777">
        <w:trPr>
          <w:jc w:val="center"/>
        </w:trPr>
        <w:tc>
          <w:tcPr>
            <w:tcW w:w="3312" w:type="dxa"/>
            <w:vAlign w:val="center"/>
          </w:tcPr>
          <w:p w14:paraId="5CAF8ED6" w14:textId="77777777" w:rsidR="006B42EB" w:rsidRDefault="00000000">
            <w:pPr>
              <w:spacing w:after="40"/>
            </w:pPr>
            <w:r>
              <w:rPr>
                <w:sz w:val="19"/>
              </w:rPr>
              <w:t>Concepts mastered</w:t>
            </w:r>
          </w:p>
        </w:tc>
        <w:tc>
          <w:tcPr>
            <w:tcW w:w="3312" w:type="dxa"/>
            <w:vAlign w:val="center"/>
          </w:tcPr>
          <w:p w14:paraId="560797C2" w14:textId="77777777" w:rsidR="006B42EB" w:rsidRDefault="00000000">
            <w:pPr>
              <w:spacing w:after="40"/>
            </w:pPr>
            <w:r>
              <w:rPr>
                <w:sz w:val="19"/>
              </w:rPr>
              <w:t>Count</w:t>
            </w:r>
            <m:oMath>
              <m:sSub>
                <m:sSubPr>
                  <m:ctrlPr>
                    <w:rPr>
                      <w:rFonts w:ascii="Cambria Math" w:hAnsi="Cambria Math"/>
                    </w:rPr>
                  </m:ctrlPr>
                </m:sSubPr>
                <m:e>
                  <m:r>
                    <w:rPr>
                      <w:rFonts w:ascii="Cambria Math" w:hAnsi="Cambria Math"/>
                    </w:rPr>
                    <m:t>M</m:t>
                  </m:r>
                </m:e>
                <m:sub>
                  <m:r>
                    <w:rPr>
                      <w:rFonts w:ascii="Cambria Math" w:hAnsi="Cambria Math"/>
                    </w:rPr>
                    <m:t>i</m:t>
                  </m:r>
                </m:sub>
              </m:sSub>
            </m:oMath>
            <w:r>
              <w:rPr>
                <w:sz w:val="19"/>
              </w:rPr>
              <w:t>of target concepts meeting the 4/5 criterion.</w:t>
            </w:r>
          </w:p>
        </w:tc>
        <w:tc>
          <w:tcPr>
            <w:tcW w:w="3312" w:type="dxa"/>
            <w:vAlign w:val="center"/>
          </w:tcPr>
          <w:p w14:paraId="7C55DC84" w14:textId="77777777" w:rsidR="006B42EB" w:rsidRDefault="00000000">
            <w:pPr>
              <w:spacing w:after="40"/>
            </w:pPr>
            <w:r>
              <w:rPr>
                <w:sz w:val="19"/>
              </w:rPr>
              <w:t>Secondary; pooled model retains</w:t>
            </w:r>
            <m:oMath>
              <m:r>
                <w:rPr>
                  <w:rFonts w:ascii="Cambria Math" w:hAnsi="Cambria Math"/>
                </w:rPr>
                <m:t>Treatment × Subject</m:t>
              </m:r>
            </m:oMath>
            <w:r>
              <w:rPr>
                <w:sz w:val="19"/>
              </w:rPr>
              <w:t>.</w:t>
            </w:r>
          </w:p>
        </w:tc>
      </w:tr>
      <w:tr w:rsidR="006B42EB" w14:paraId="0D8B3DB9" w14:textId="77777777">
        <w:trPr>
          <w:jc w:val="center"/>
        </w:trPr>
        <w:tc>
          <w:tcPr>
            <w:tcW w:w="3312" w:type="dxa"/>
            <w:vAlign w:val="center"/>
          </w:tcPr>
          <w:p w14:paraId="7B9AE79A" w14:textId="77777777" w:rsidR="006B42EB" w:rsidRDefault="00000000">
            <w:pPr>
              <w:spacing w:after="40"/>
            </w:pPr>
            <w:r>
              <w:rPr>
                <w:sz w:val="19"/>
              </w:rPr>
              <w:t>Proportion unmastered</w:t>
            </w:r>
          </w:p>
        </w:tc>
        <w:tc>
          <w:tcPr>
            <w:tcW w:w="3312" w:type="dxa"/>
            <w:vAlign w:val="center"/>
          </w:tcPr>
          <w:p w14:paraId="00B3F171" w14:textId="77777777" w:rsidR="006B42EB" w:rsidRDefault="00000000">
            <w:pPr>
              <w:spacing w:after="40"/>
            </w:pPr>
            <m:oMath>
              <m:r>
                <w:rPr>
                  <w:rFonts w:ascii="Cambria Math" w:hAnsi="Cambria Math"/>
                </w:rPr>
                <m:t xml:space="preserve">1 - </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i</m:t>
                      </m:r>
                    </m:sub>
                  </m:sSub>
                </m:num>
                <m:den>
                  <m:sSub>
                    <m:sSubPr>
                      <m:ctrlPr>
                        <w:rPr>
                          <w:rFonts w:ascii="Cambria Math" w:hAnsi="Cambria Math"/>
                        </w:rPr>
                      </m:ctrlPr>
                    </m:sSubPr>
                    <m:e>
                      <m:r>
                        <w:rPr>
                          <w:rFonts w:ascii="Cambria Math" w:hAnsi="Cambria Math"/>
                        </w:rPr>
                        <m:t>K</m:t>
                      </m:r>
                    </m:e>
                    <m:sub>
                      <m:r>
                        <w:rPr>
                          <w:rFonts w:ascii="Cambria Math" w:hAnsi="Cambria Math"/>
                        </w:rPr>
                        <m:t>s</m:t>
                      </m:r>
                    </m:sub>
                  </m:sSub>
                </m:den>
              </m:f>
            </m:oMath>
            <w:r>
              <w:rPr>
                <w:sz w:val="19"/>
              </w:rPr>
              <w:t>.</w:t>
            </w:r>
          </w:p>
        </w:tc>
        <w:tc>
          <w:tcPr>
            <w:tcW w:w="3312" w:type="dxa"/>
            <w:vAlign w:val="center"/>
          </w:tcPr>
          <w:p w14:paraId="12421E25" w14:textId="77777777" w:rsidR="006B42EB" w:rsidRDefault="00000000">
            <w:pPr>
              <w:spacing w:after="40"/>
            </w:pPr>
            <w:r>
              <w:rPr>
                <w:sz w:val="19"/>
              </w:rPr>
              <w:t>Secondary; pooled model retains</w:t>
            </w:r>
            <m:oMath>
              <m:r>
                <w:rPr>
                  <w:rFonts w:ascii="Cambria Math" w:hAnsi="Cambria Math"/>
                </w:rPr>
                <m:t>Treatment × Subject</m:t>
              </m:r>
            </m:oMath>
            <w:r>
              <w:rPr>
                <w:sz w:val="19"/>
              </w:rPr>
              <w:t>.</w:t>
            </w:r>
          </w:p>
        </w:tc>
      </w:tr>
      <w:tr w:rsidR="006B42EB" w14:paraId="11E08DEE" w14:textId="77777777">
        <w:trPr>
          <w:jc w:val="center"/>
        </w:trPr>
        <w:tc>
          <w:tcPr>
            <w:tcW w:w="3312" w:type="dxa"/>
            <w:vAlign w:val="center"/>
          </w:tcPr>
          <w:p w14:paraId="31CB9DBD" w14:textId="77777777" w:rsidR="006B42EB" w:rsidRDefault="00000000">
            <w:pPr>
              <w:spacing w:after="40"/>
            </w:pPr>
            <w:r>
              <w:rPr>
                <w:sz w:val="19"/>
              </w:rPr>
              <w:t>Time to mastery</w:t>
            </w:r>
          </w:p>
        </w:tc>
        <w:tc>
          <w:tcPr>
            <w:tcW w:w="3312" w:type="dxa"/>
            <w:vAlign w:val="center"/>
          </w:tcPr>
          <w:p w14:paraId="6B6F2E57" w14:textId="77777777" w:rsidR="006B42EB" w:rsidRDefault="00000000">
            <w:pPr>
              <w:spacing w:after="40"/>
            </w:pPr>
            <w:r>
              <w:rPr>
                <w:sz w:val="19"/>
              </w:rPr>
              <w:t>Wall-clock time from first attempt to the attempt at which a concept first meets mastery; unfinished concepts are right-censored.</w:t>
            </w:r>
          </w:p>
        </w:tc>
        <w:tc>
          <w:tcPr>
            <w:tcW w:w="3312" w:type="dxa"/>
            <w:vAlign w:val="center"/>
          </w:tcPr>
          <w:p w14:paraId="2351BD86" w14:textId="77777777" w:rsidR="006B42EB" w:rsidRDefault="00000000">
            <w:pPr>
              <w:spacing w:after="40"/>
            </w:pPr>
            <w:r>
              <w:rPr>
                <w:sz w:val="19"/>
              </w:rPr>
              <w:t>Secondary; survival analysis.</w:t>
            </w:r>
          </w:p>
        </w:tc>
      </w:tr>
    </w:tbl>
    <w:p w14:paraId="6EB1AB8A" w14:textId="77777777" w:rsidR="006B42EB" w:rsidRDefault="006B42EB"/>
    <w:p w14:paraId="310EC34C" w14:textId="77777777" w:rsidR="006B42EB" w:rsidRDefault="00000000">
      <w:pPr>
        <w:pStyle w:val="Heading2"/>
      </w:pPr>
      <w:r>
        <w:rPr>
          <w:rFonts w:ascii="Times New Roman" w:hAnsi="Times New Roman"/>
        </w:rPr>
        <w:t>11.3 Descriptive process metrics</w:t>
      </w:r>
    </w:p>
    <w:p w14:paraId="1E66FF52" w14:textId="77777777" w:rsidR="006B42EB" w:rsidRDefault="00000000">
      <w:pPr>
        <w:pStyle w:val="ListBullet"/>
      </w:pPr>
      <w:r>
        <w:t>Learning efficiency: mastery gain per logged study hour. Descriptive only because study time is treatment-affected.</w:t>
      </w:r>
    </w:p>
    <w:p w14:paraId="705DB5EB" w14:textId="77777777" w:rsidR="006B42EB" w:rsidRDefault="00000000">
      <w:pPr>
        <w:pStyle w:val="ListBullet"/>
      </w:pPr>
      <w:r>
        <w:t>Forced completion: simulator/engine diagnostic, never an educational outcome.</w:t>
      </w:r>
    </w:p>
    <w:p w14:paraId="5618DD00" w14:textId="77777777" w:rsidR="006B42EB" w:rsidRDefault="00000000">
      <w:pPr>
        <w:pStyle w:val="ListBullet"/>
      </w:pPr>
      <w:r>
        <w:t>Recommendation exposure opportunities.</w:t>
      </w:r>
    </w:p>
    <w:p w14:paraId="12E320BE" w14:textId="77777777" w:rsidR="006B42EB" w:rsidRDefault="00000000">
      <w:pPr>
        <w:pStyle w:val="ListBullet"/>
      </w:pPr>
      <w:r>
        <w:t>Recommendation adherence.</w:t>
      </w:r>
    </w:p>
    <w:p w14:paraId="2E6BE766" w14:textId="77777777" w:rsidR="006B42EB" w:rsidRDefault="00000000">
      <w:pPr>
        <w:pStyle w:val="ListBullet"/>
      </w:pPr>
      <w:r>
        <w:t>Navigation deviation.</w:t>
      </w:r>
    </w:p>
    <w:p w14:paraId="7C990DBE" w14:textId="77777777" w:rsidR="006B42EB" w:rsidRDefault="00000000">
      <w:pPr>
        <w:pStyle w:val="ListBullet"/>
      </w:pPr>
      <w:r>
        <w:t>Cross-condition exposure and behavioral contamination.</w:t>
      </w:r>
    </w:p>
    <w:p w14:paraId="16B11C20" w14:textId="77777777" w:rsidR="006B42EB" w:rsidRDefault="00000000">
      <w:pPr>
        <w:pStyle w:val="ListBullet"/>
      </w:pPr>
      <w:r>
        <w:t>Tutor implementation fidelity.</w:t>
      </w:r>
    </w:p>
    <w:p w14:paraId="2390B2E5" w14:textId="77777777" w:rsidR="006B42EB" w:rsidRDefault="00000000">
      <w:pPr>
        <w:pStyle w:val="Heading1"/>
      </w:pPr>
      <w:r>
        <w:rPr>
          <w:rFonts w:ascii="Times New Roman" w:hAnsi="Times New Roman"/>
        </w:rPr>
        <w:t>12. Feasibility pilot</w:t>
      </w:r>
    </w:p>
    <w:p w14:paraId="012BC8AC" w14:textId="77777777" w:rsidR="006B42EB" w:rsidRDefault="00000000">
      <w:r>
        <w:t>Each subject may pilot independently once its graph, assessment, comparator, and intervention protocol are frozen. The pilot is not a miniature efficacy trial and is not used to claim a precise treatment effect or ICC.</w:t>
      </w:r>
    </w:p>
    <w:tbl>
      <w:tblPr>
        <w:tblStyle w:val="TableGrid"/>
        <w:tblW w:w="0" w:type="auto"/>
        <w:jc w:val="center"/>
        <w:tblLook w:val="04A0" w:firstRow="1" w:lastRow="0" w:firstColumn="1" w:lastColumn="0" w:noHBand="0" w:noVBand="1"/>
      </w:tblPr>
      <w:tblGrid>
        <w:gridCol w:w="3177"/>
        <w:gridCol w:w="3206"/>
        <w:gridCol w:w="3193"/>
      </w:tblGrid>
      <w:tr w:rsidR="006B42EB" w14:paraId="58E1DE7E" w14:textId="77777777">
        <w:trPr>
          <w:jc w:val="center"/>
        </w:trPr>
        <w:tc>
          <w:tcPr>
            <w:tcW w:w="3312" w:type="dxa"/>
            <w:vAlign w:val="center"/>
          </w:tcPr>
          <w:p w14:paraId="07BE1AEC" w14:textId="77777777" w:rsidR="006B42EB" w:rsidRDefault="00000000">
            <w:pPr>
              <w:spacing w:after="40"/>
            </w:pPr>
            <w:r>
              <w:rPr>
                <w:b/>
                <w:sz w:val="19"/>
              </w:rPr>
              <w:t>Criterion</w:t>
            </w:r>
          </w:p>
        </w:tc>
        <w:tc>
          <w:tcPr>
            <w:tcW w:w="3312" w:type="dxa"/>
            <w:vAlign w:val="center"/>
          </w:tcPr>
          <w:p w14:paraId="231B7833" w14:textId="77777777" w:rsidR="006B42EB" w:rsidRDefault="00000000">
            <w:pPr>
              <w:spacing w:after="40"/>
            </w:pPr>
            <w:r>
              <w:rPr>
                <w:b/>
                <w:sz w:val="19"/>
              </w:rPr>
              <w:t>A priori threshold</w:t>
            </w:r>
          </w:p>
        </w:tc>
        <w:tc>
          <w:tcPr>
            <w:tcW w:w="3312" w:type="dxa"/>
            <w:vAlign w:val="center"/>
          </w:tcPr>
          <w:p w14:paraId="6FDEFECC" w14:textId="77777777" w:rsidR="006B42EB" w:rsidRDefault="00000000">
            <w:pPr>
              <w:spacing w:after="40"/>
            </w:pPr>
            <w:r>
              <w:rPr>
                <w:b/>
                <w:sz w:val="19"/>
              </w:rPr>
              <w:t>Action if not met</w:t>
            </w:r>
          </w:p>
        </w:tc>
      </w:tr>
      <w:tr w:rsidR="006B42EB" w14:paraId="253F67CC" w14:textId="77777777">
        <w:trPr>
          <w:jc w:val="center"/>
        </w:trPr>
        <w:tc>
          <w:tcPr>
            <w:tcW w:w="3312" w:type="dxa"/>
            <w:vAlign w:val="center"/>
          </w:tcPr>
          <w:p w14:paraId="6C216C1A" w14:textId="77777777" w:rsidR="006B42EB" w:rsidRDefault="00000000">
            <w:pPr>
              <w:spacing w:after="40"/>
            </w:pPr>
            <w:r>
              <w:rPr>
                <w:sz w:val="19"/>
              </w:rPr>
              <w:t>Recruitment</w:t>
            </w:r>
          </w:p>
        </w:tc>
        <w:tc>
          <w:tcPr>
            <w:tcW w:w="3312" w:type="dxa"/>
            <w:vAlign w:val="center"/>
          </w:tcPr>
          <w:p w14:paraId="593D039A" w14:textId="77777777" w:rsidR="006B42EB" w:rsidRDefault="00000000">
            <w:pPr>
              <w:spacing w:after="40"/>
            </w:pPr>
            <w:r>
              <w:rPr>
                <w:sz w:val="19"/>
              </w:rPr>
              <w:t>Pilot feasibility target reached within the planned recruitment window.</w:t>
            </w:r>
          </w:p>
        </w:tc>
        <w:tc>
          <w:tcPr>
            <w:tcW w:w="3312" w:type="dxa"/>
            <w:vAlign w:val="center"/>
          </w:tcPr>
          <w:p w14:paraId="14C002FD" w14:textId="77777777" w:rsidR="006B42EB" w:rsidRDefault="00000000">
            <w:pPr>
              <w:spacing w:after="40"/>
            </w:pPr>
            <w:r>
              <w:rPr>
                <w:sz w:val="19"/>
              </w:rPr>
              <w:t>Extend recruitment or revise recruitment channel before confirmatory scale.</w:t>
            </w:r>
          </w:p>
        </w:tc>
      </w:tr>
      <w:tr w:rsidR="006B42EB" w14:paraId="16ABB956" w14:textId="77777777">
        <w:trPr>
          <w:jc w:val="center"/>
        </w:trPr>
        <w:tc>
          <w:tcPr>
            <w:tcW w:w="3312" w:type="dxa"/>
            <w:vAlign w:val="center"/>
          </w:tcPr>
          <w:p w14:paraId="0C7DC651" w14:textId="77777777" w:rsidR="006B42EB" w:rsidRDefault="00000000">
            <w:pPr>
              <w:spacing w:after="40"/>
            </w:pPr>
            <w:r>
              <w:rPr>
                <w:sz w:val="19"/>
              </w:rPr>
              <w:t>Usable participants</w:t>
            </w:r>
          </w:p>
        </w:tc>
        <w:tc>
          <w:tcPr>
            <w:tcW w:w="3312" w:type="dxa"/>
            <w:vAlign w:val="center"/>
          </w:tcPr>
          <w:p w14:paraId="502DD6A9" w14:textId="77777777" w:rsidR="006B42EB" w:rsidRDefault="00000000">
            <w:pPr>
              <w:spacing w:after="40"/>
            </w:pPr>
            <w:r>
              <w:rPr>
                <w:sz w:val="19"/>
              </w:rPr>
              <w:t xml:space="preserve">At least 80% of enrolled pilot students </w:t>
            </w:r>
            <w:r>
              <w:rPr>
                <w:sz w:val="19"/>
              </w:rPr>
              <w:lastRenderedPageBreak/>
              <w:t>complete usable pre/post data.</w:t>
            </w:r>
          </w:p>
        </w:tc>
        <w:tc>
          <w:tcPr>
            <w:tcW w:w="3312" w:type="dxa"/>
            <w:vAlign w:val="center"/>
          </w:tcPr>
          <w:p w14:paraId="0990E4F1" w14:textId="77777777" w:rsidR="006B42EB" w:rsidRDefault="00000000">
            <w:pPr>
              <w:spacing w:after="40"/>
            </w:pPr>
            <w:r>
              <w:rPr>
                <w:sz w:val="19"/>
              </w:rPr>
              <w:lastRenderedPageBreak/>
              <w:t>Investigate missingness and retention.</w:t>
            </w:r>
          </w:p>
        </w:tc>
      </w:tr>
      <w:tr w:rsidR="006B42EB" w14:paraId="027FD76A" w14:textId="77777777">
        <w:trPr>
          <w:jc w:val="center"/>
        </w:trPr>
        <w:tc>
          <w:tcPr>
            <w:tcW w:w="3312" w:type="dxa"/>
            <w:vAlign w:val="center"/>
          </w:tcPr>
          <w:p w14:paraId="54F1CC2B" w14:textId="77777777" w:rsidR="006B42EB" w:rsidRDefault="00000000">
            <w:pPr>
              <w:spacing w:after="40"/>
            </w:pPr>
            <w:r>
              <w:rPr>
                <w:sz w:val="19"/>
              </w:rPr>
              <w:t>Attrition</w:t>
            </w:r>
          </w:p>
        </w:tc>
        <w:tc>
          <w:tcPr>
            <w:tcW w:w="3312" w:type="dxa"/>
            <w:vAlign w:val="center"/>
          </w:tcPr>
          <w:p w14:paraId="5B3262BD" w14:textId="77777777" w:rsidR="006B42EB" w:rsidRDefault="00000000">
            <w:pPr>
              <w:spacing w:after="40"/>
            </w:pPr>
            <m:oMath>
              <m:r>
                <w:rPr>
                  <w:rFonts w:ascii="Cambria Math" w:hAnsi="Cambria Math"/>
                </w:rPr>
                <m:t>≤ 25%</m:t>
              </m:r>
            </m:oMath>
            <w:r>
              <w:rPr>
                <w:sz w:val="19"/>
              </w:rPr>
              <w:t>in pilot.</w:t>
            </w:r>
          </w:p>
        </w:tc>
        <w:tc>
          <w:tcPr>
            <w:tcW w:w="3312" w:type="dxa"/>
            <w:vAlign w:val="center"/>
          </w:tcPr>
          <w:p w14:paraId="3702D3B0" w14:textId="77777777" w:rsidR="006B42EB" w:rsidRDefault="00000000">
            <w:pPr>
              <w:spacing w:after="40"/>
            </w:pPr>
            <w:r>
              <w:rPr>
                <w:sz w:val="19"/>
              </w:rPr>
              <w:t>Revise retention procedures.</w:t>
            </w:r>
          </w:p>
        </w:tc>
      </w:tr>
      <w:tr w:rsidR="006B42EB" w14:paraId="09771149" w14:textId="77777777">
        <w:trPr>
          <w:jc w:val="center"/>
        </w:trPr>
        <w:tc>
          <w:tcPr>
            <w:tcW w:w="3312" w:type="dxa"/>
            <w:vAlign w:val="center"/>
          </w:tcPr>
          <w:p w14:paraId="7D77B421" w14:textId="77777777" w:rsidR="006B42EB" w:rsidRDefault="00000000">
            <w:pPr>
              <w:spacing w:after="40"/>
            </w:pPr>
            <w:r>
              <w:rPr>
                <w:sz w:val="19"/>
              </w:rPr>
              <w:t>Contamination</w:t>
            </w:r>
          </w:p>
        </w:tc>
        <w:tc>
          <w:tcPr>
            <w:tcW w:w="3312" w:type="dxa"/>
            <w:vAlign w:val="center"/>
          </w:tcPr>
          <w:p w14:paraId="74463FC9" w14:textId="77777777" w:rsidR="006B42EB" w:rsidRDefault="00000000">
            <w:pPr>
              <w:spacing w:after="40"/>
            </w:pPr>
            <m:oMath>
              <m:r>
                <w:rPr>
                  <w:rFonts w:ascii="Cambria Math" w:hAnsi="Cambria Math"/>
                </w:rPr>
                <m:t>&lt; 20%</m:t>
              </m:r>
            </m:oMath>
            <w:r>
              <w:rPr>
                <w:sz w:val="19"/>
              </w:rPr>
              <w:t>measured exposure/behavioral contamination.</w:t>
            </w:r>
          </w:p>
        </w:tc>
        <w:tc>
          <w:tcPr>
            <w:tcW w:w="3312" w:type="dxa"/>
            <w:vAlign w:val="center"/>
          </w:tcPr>
          <w:p w14:paraId="460A0538" w14:textId="77777777" w:rsidR="006B42EB" w:rsidRDefault="00000000">
            <w:pPr>
              <w:spacing w:after="40"/>
            </w:pPr>
            <w:r>
              <w:rPr>
                <w:sz w:val="19"/>
              </w:rPr>
              <w:t>Strengthen logistics/interface separation.</w:t>
            </w:r>
          </w:p>
        </w:tc>
      </w:tr>
      <w:tr w:rsidR="006B42EB" w14:paraId="609B2B66" w14:textId="77777777">
        <w:trPr>
          <w:jc w:val="center"/>
        </w:trPr>
        <w:tc>
          <w:tcPr>
            <w:tcW w:w="3312" w:type="dxa"/>
            <w:vAlign w:val="center"/>
          </w:tcPr>
          <w:p w14:paraId="37DECC20" w14:textId="77777777" w:rsidR="006B42EB" w:rsidRDefault="00000000">
            <w:pPr>
              <w:spacing w:after="40"/>
            </w:pPr>
            <w:r>
              <w:rPr>
                <w:sz w:val="19"/>
              </w:rPr>
              <w:t>Assessment</w:t>
            </w:r>
          </w:p>
        </w:tc>
        <w:tc>
          <w:tcPr>
            <w:tcW w:w="3312" w:type="dxa"/>
            <w:vAlign w:val="center"/>
          </w:tcPr>
          <w:p w14:paraId="7949C0B6" w14:textId="77777777" w:rsidR="006B42EB" w:rsidRDefault="00000000">
            <w:pPr>
              <w:spacing w:after="40"/>
            </w:pPr>
            <w:r>
              <w:rPr>
                <w:sz w:val="19"/>
              </w:rPr>
              <w:t>No concept-level item set below the pre-specified quality floor without a protocol specification plan.</w:t>
            </w:r>
          </w:p>
        </w:tc>
        <w:tc>
          <w:tcPr>
            <w:tcW w:w="3312" w:type="dxa"/>
            <w:vAlign w:val="center"/>
          </w:tcPr>
          <w:p w14:paraId="1D730533" w14:textId="77777777" w:rsidR="006B42EB" w:rsidRDefault="00000000">
            <w:pPr>
              <w:spacing w:after="40"/>
            </w:pPr>
            <w:r>
              <w:rPr>
                <w:sz w:val="19"/>
              </w:rPr>
              <w:t>Revise before assessment freeze.</w:t>
            </w:r>
          </w:p>
        </w:tc>
      </w:tr>
      <w:tr w:rsidR="006B42EB" w14:paraId="793B1B52" w14:textId="77777777">
        <w:trPr>
          <w:jc w:val="center"/>
        </w:trPr>
        <w:tc>
          <w:tcPr>
            <w:tcW w:w="3312" w:type="dxa"/>
            <w:vAlign w:val="center"/>
          </w:tcPr>
          <w:p w14:paraId="3BDCD8E6" w14:textId="77777777" w:rsidR="006B42EB" w:rsidRDefault="00000000">
            <w:pPr>
              <w:spacing w:after="40"/>
            </w:pPr>
            <w:r>
              <w:rPr>
                <w:sz w:val="19"/>
              </w:rPr>
              <w:t>System reliability</w:t>
            </w:r>
          </w:p>
        </w:tc>
        <w:tc>
          <w:tcPr>
            <w:tcW w:w="3312" w:type="dxa"/>
            <w:vAlign w:val="center"/>
          </w:tcPr>
          <w:p w14:paraId="2279B82A" w14:textId="77777777" w:rsidR="006B42EB" w:rsidRDefault="00000000">
            <w:pPr>
              <w:spacing w:after="40"/>
            </w:pPr>
            <w:r>
              <w:rPr>
                <w:sz w:val="19"/>
              </w:rPr>
              <w:t>No systematic logging loss.</w:t>
            </w:r>
          </w:p>
        </w:tc>
        <w:tc>
          <w:tcPr>
            <w:tcW w:w="3312" w:type="dxa"/>
            <w:vAlign w:val="center"/>
          </w:tcPr>
          <w:p w14:paraId="329AD71C" w14:textId="77777777" w:rsidR="006B42EB" w:rsidRDefault="00000000">
            <w:pPr>
              <w:spacing w:after="40"/>
            </w:pPr>
            <w:r>
              <w:rPr>
                <w:sz w:val="19"/>
              </w:rPr>
              <w:t>Repair logging before confirmatory study.</w:t>
            </w:r>
          </w:p>
        </w:tc>
      </w:tr>
      <w:tr w:rsidR="006B42EB" w14:paraId="62BDD33C" w14:textId="77777777">
        <w:trPr>
          <w:jc w:val="center"/>
        </w:trPr>
        <w:tc>
          <w:tcPr>
            <w:tcW w:w="3312" w:type="dxa"/>
            <w:vAlign w:val="center"/>
          </w:tcPr>
          <w:p w14:paraId="6B9403EF" w14:textId="77777777" w:rsidR="006B42EB" w:rsidRDefault="00000000">
            <w:pPr>
              <w:spacing w:after="40"/>
            </w:pPr>
            <w:r>
              <w:rPr>
                <w:sz w:val="19"/>
              </w:rPr>
              <w:t>Tutor fidelity</w:t>
            </w:r>
          </w:p>
        </w:tc>
        <w:tc>
          <w:tcPr>
            <w:tcW w:w="3312" w:type="dxa"/>
            <w:vAlign w:val="center"/>
          </w:tcPr>
          <w:p w14:paraId="2867DE70" w14:textId="77777777" w:rsidR="006B42EB" w:rsidRDefault="00000000">
            <w:pPr>
              <w:spacing w:after="40"/>
            </w:pPr>
            <w:r>
              <w:rPr>
                <w:sz w:val="19"/>
              </w:rPr>
              <w:t>Standardized tutor behavior maintained in fidelity sample.</w:t>
            </w:r>
          </w:p>
        </w:tc>
        <w:tc>
          <w:tcPr>
            <w:tcW w:w="3312" w:type="dxa"/>
            <w:vAlign w:val="center"/>
          </w:tcPr>
          <w:p w14:paraId="33CD36D8" w14:textId="77777777" w:rsidR="006B42EB" w:rsidRDefault="00000000">
            <w:pPr>
              <w:spacing w:after="40"/>
            </w:pPr>
            <w:r>
              <w:rPr>
                <w:sz w:val="19"/>
              </w:rPr>
              <w:t>Retrain/revise protocol.</w:t>
            </w:r>
          </w:p>
        </w:tc>
      </w:tr>
    </w:tbl>
    <w:p w14:paraId="275D8BAD" w14:textId="77777777" w:rsidR="006B42EB" w:rsidRDefault="006B42EB"/>
    <w:p w14:paraId="4AC42E62" w14:textId="77777777" w:rsidR="006B42EB" w:rsidRDefault="00000000">
      <w:r>
        <w:t>These numeric thresholds are operational feasibility rules chosen a priori for this study. They are not claimed to be universal scientific cutoffs.</w:t>
      </w:r>
    </w:p>
    <w:p w14:paraId="63344AD4" w14:textId="77777777" w:rsidR="006B42EB" w:rsidRDefault="00000000">
      <w:pPr>
        <w:pStyle w:val="Heading1"/>
      </w:pPr>
      <w:r>
        <w:rPr>
          <w:rFonts w:ascii="Times New Roman" w:hAnsi="Times New Roman"/>
        </w:rPr>
        <w:t>13. Recruitment and randomization</w:t>
      </w:r>
    </w:p>
    <w:p w14:paraId="68279010" w14:textId="77777777" w:rsidR="006B42EB" w:rsidRDefault="00000000">
      <w:r>
        <w:t>Each subject is recruited independently through multiple tutor groups. Recruitment imbalance across subjects is expected and is incorporated into the estimand and power simulation.</w:t>
      </w:r>
    </w:p>
    <w:p w14:paraId="50CEA8FA" w14:textId="77777777" w:rsidR="006B42EB" w:rsidRDefault="00000000">
      <w:pPr>
        <w:pStyle w:val="Heading2"/>
      </w:pPr>
      <w:r>
        <w:rPr>
          <w:rFonts w:ascii="Times New Roman" w:hAnsi="Times New Roman"/>
        </w:rPr>
        <w:t>13.1 Randomization</w:t>
      </w:r>
    </w:p>
    <w:p w14:paraId="23355FA1" w14:textId="77777777" w:rsidR="006B42EB" w:rsidRDefault="00000000">
      <w:pPr>
        <w:pStyle w:val="ListBullet"/>
      </w:pPr>
      <w:r>
        <w:t>Unit: individual student.</w:t>
      </w:r>
    </w:p>
    <w:p w14:paraId="51A2710A" w14:textId="77777777" w:rsidR="006B42EB" w:rsidRDefault="00000000">
      <w:pPr>
        <w:pStyle w:val="ListBullet"/>
      </w:pPr>
      <w:r>
        <w:t>Allocation: approximately 1:1.</w:t>
      </w:r>
    </w:p>
    <w:p w14:paraId="5FD76665" w14:textId="77777777" w:rsidR="006B42EB" w:rsidRDefault="00000000">
      <w:pPr>
        <w:pStyle w:val="ListBullet"/>
      </w:pPr>
      <w:r>
        <w:t>Blocking: within tutor group and subject.</w:t>
      </w:r>
    </w:p>
    <w:p w14:paraId="658021C2" w14:textId="77777777" w:rsidR="006B42EB" w:rsidRDefault="00000000">
      <w:pPr>
        <w:pStyle w:val="ListBullet"/>
      </w:pPr>
      <w:r>
        <w:t>Allocation generated centrally using a documented seeded pseudorandom procedure.</w:t>
      </w:r>
    </w:p>
    <w:p w14:paraId="7F9BECFC" w14:textId="77777777" w:rsidR="006B42EB" w:rsidRDefault="00000000">
      <w:pPr>
        <w:pStyle w:val="ListBullet"/>
      </w:pPr>
      <w:r>
        <w:t>The allocation seed and generation script are archived before confirmatory recruitment.</w:t>
      </w:r>
    </w:p>
    <w:p w14:paraId="1BDF73C3" w14:textId="77777777" w:rsidR="006B42EB" w:rsidRDefault="00000000">
      <w:pPr>
        <w:pStyle w:val="ListBullet"/>
      </w:pPr>
      <w:r>
        <w:t>Enrollment/consent is completed before allocation is revealed.</w:t>
      </w:r>
    </w:p>
    <w:p w14:paraId="6668CF30" w14:textId="77777777" w:rsidR="006B42EB" w:rsidRDefault="00000000">
      <w:pPr>
        <w:pStyle w:val="ListBullet"/>
      </w:pPr>
      <w:r>
        <w:t>Tutors do not control allocation.</w:t>
      </w:r>
    </w:p>
    <w:p w14:paraId="5DE14BFD" w14:textId="77777777" w:rsidR="006B42EB" w:rsidRDefault="00000000">
      <w:r>
        <w:t>Baseline mastery is not used as a randomization stratum. It is a pre-specified covariate in the analysis model, avoiding impractically small sub-blocks in tutor groups of modest size.</w:t>
      </w:r>
    </w:p>
    <w:p w14:paraId="272D03CD" w14:textId="77777777" w:rsidR="006B42EB" w:rsidRDefault="00000000">
      <w:pPr>
        <w:pStyle w:val="Heading2"/>
      </w:pPr>
      <w:r>
        <w:rPr>
          <w:rFonts w:ascii="Times New Roman" w:hAnsi="Times New Roman"/>
        </w:rPr>
        <w:t>13.2 Tutor role</w:t>
      </w:r>
    </w:p>
    <w:p w14:paraId="04F78F9D" w14:textId="77777777" w:rsidR="006B42EB" w:rsidRDefault="00000000">
      <w:pPr>
        <w:pStyle w:val="ListBullet"/>
      </w:pPr>
      <w:r>
        <w:t>Tutors facilitate logistics and normal supervision.</w:t>
      </w:r>
    </w:p>
    <w:p w14:paraId="284D4018" w14:textId="77777777" w:rsidR="006B42EB" w:rsidRDefault="00000000">
      <w:pPr>
        <w:pStyle w:val="ListBullet"/>
      </w:pPr>
      <w:r>
        <w:t>Tutors receive standardized written instructions.</w:t>
      </w:r>
    </w:p>
    <w:p w14:paraId="36A0AC31" w14:textId="77777777" w:rsidR="006B42EB" w:rsidRDefault="00000000">
      <w:pPr>
        <w:pStyle w:val="ListBullet"/>
      </w:pPr>
      <w:r>
        <w:t>Tutors do not manually determine learning sequences.</w:t>
      </w:r>
    </w:p>
    <w:p w14:paraId="4CFA949D" w14:textId="77777777" w:rsidR="006B42EB" w:rsidRDefault="00000000">
      <w:pPr>
        <w:pStyle w:val="ListBullet"/>
      </w:pPr>
      <w:r>
        <w:t>Tutors do not selectively intervene based on condition.</w:t>
      </w:r>
    </w:p>
    <w:p w14:paraId="44242972" w14:textId="77777777" w:rsidR="006B42EB" w:rsidRDefault="00000000">
      <w:pPr>
        <w:pStyle w:val="ListBullet"/>
      </w:pPr>
      <w:r>
        <w:t>Tutor awareness is measured rather than falsely assumed absent.</w:t>
      </w:r>
    </w:p>
    <w:p w14:paraId="3A56CF29" w14:textId="77777777" w:rsidR="006B42EB" w:rsidRDefault="00000000">
      <w:pPr>
        <w:pStyle w:val="ListBullet"/>
      </w:pPr>
      <w:r>
        <w:t>Non-standard tutor interventions are logged and used in fidelity/sensitivity analyses.</w:t>
      </w:r>
    </w:p>
    <w:p w14:paraId="2F561C15" w14:textId="77777777" w:rsidR="006B42EB" w:rsidRDefault="00000000">
      <w:pPr>
        <w:pStyle w:val="Heading1"/>
      </w:pPr>
      <w:r>
        <w:rPr>
          <w:rFonts w:ascii="Times New Roman" w:hAnsi="Times New Roman"/>
        </w:rPr>
        <w:t>14. Power and sample-size planning</w:t>
      </w:r>
    </w:p>
    <w:p w14:paraId="15801059" w14:textId="77777777" w:rsidR="006B42EB" w:rsidRDefault="00000000">
      <w:r>
        <w:t>The final confirmatory recruitment target is determined by Monte Carlo simulation of the exact analysis design. No single closed-form cluster-RCT design effect is used as the final sample-size calculation because treatment is randomized within tutor groups rather than at tutor-group level.</w:t>
      </w:r>
    </w:p>
    <w:p w14:paraId="6CFFDB14" w14:textId="77777777" w:rsidR="006B42EB" w:rsidRDefault="00000000">
      <w:pPr>
        <w:pStyle w:val="Heading2"/>
      </w:pPr>
      <w:r>
        <w:rPr>
          <w:rFonts w:ascii="Times New Roman" w:hAnsi="Times New Roman"/>
        </w:rPr>
        <w:lastRenderedPageBreak/>
        <w:t>14.1 Planning anchor</w:t>
      </w:r>
    </w:p>
    <w:p w14:paraId="1DF259A9" w14:textId="77777777" w:rsidR="00561607" w:rsidRDefault="00561607">
      <w:pPr>
        <w:pStyle w:val="Heading2"/>
        <w:rPr>
          <w:rFonts w:ascii="Times New Roman" w:eastAsiaTheme="minorEastAsia" w:hAnsi="Times New Roman" w:cstheme="minorBidi"/>
          <w:b w:val="0"/>
          <w:bCs w:val="0"/>
          <w:sz w:val="22"/>
          <w:szCs w:val="22"/>
        </w:rPr>
      </w:pPr>
      <w:r w:rsidRPr="00561607">
        <w:rPr>
          <w:rFonts w:ascii="Times New Roman" w:eastAsiaTheme="minorEastAsia" w:hAnsi="Times New Roman" w:cstheme="minorBidi"/>
          <w:b w:val="0"/>
          <w:bCs w:val="0"/>
          <w:sz w:val="22"/>
          <w:szCs w:val="22"/>
        </w:rPr>
        <w:t>Power planning uses a one-sided significance level of \(\alpha=0.05\), consistent with the directional primary hypothesis \(H_1:\tau&gt;0\). Two-sided \(\alpha=0.05\) power is also reported as a sensitivity analysis.</w:t>
      </w:r>
    </w:p>
    <w:p w14:paraId="2DA26B9E" w14:textId="41A62551" w:rsidR="006B42EB" w:rsidRDefault="00000000">
      <w:pPr>
        <w:pStyle w:val="Heading2"/>
      </w:pPr>
      <w:r>
        <w:rPr>
          <w:rFonts w:ascii="Times New Roman" w:hAnsi="Times New Roman"/>
        </w:rPr>
        <w:t>14.2 Monte Carlo data-generating structure</w:t>
      </w:r>
    </w:p>
    <w:p w14:paraId="4B0767F6" w14:textId="77777777" w:rsidR="006B42EB" w:rsidRDefault="00000000">
      <w:pPr>
        <w:pStyle w:val="ListBullet"/>
      </w:pPr>
      <w:r>
        <w:t>Five subjects with potentially unequal recruitment.</w:t>
      </w:r>
    </w:p>
    <w:p w14:paraId="762C20DB" w14:textId="77777777" w:rsidR="006B42EB" w:rsidRDefault="00000000">
      <w:pPr>
        <w:pStyle w:val="ListBullet"/>
      </w:pPr>
      <w:r>
        <w:t>Multiple tutor groups nested within each subject.</w:t>
      </w:r>
    </w:p>
    <w:p w14:paraId="15F55F42" w14:textId="77777777" w:rsidR="006B42EB" w:rsidRDefault="00000000">
      <w:pPr>
        <w:pStyle w:val="ListBullet"/>
      </w:pPr>
      <w:r>
        <w:t>Students nested within tutor groups.</w:t>
      </w:r>
    </w:p>
    <w:p w14:paraId="01541776" w14:textId="77777777" w:rsidR="006B42EB" w:rsidRDefault="00000000">
      <w:pPr>
        <w:pStyle w:val="ListBullet"/>
      </w:pPr>
      <w:r>
        <w:t>Individual treatment assignment within each tutor group.</w:t>
      </w:r>
    </w:p>
    <w:p w14:paraId="1214AAFD" w14:textId="77777777" w:rsidR="006B42EB" w:rsidRDefault="00000000">
      <w:pPr>
        <w:pStyle w:val="ListBullet"/>
      </w:pPr>
      <w:r>
        <w:t>Actual group-size-specific allocation mechanics, including odd group sizes.</w:t>
      </w:r>
    </w:p>
    <w:p w14:paraId="3DF06A54" w14:textId="77777777" w:rsidR="006B42EB" w:rsidRDefault="00000000">
      <w:pPr>
        <w:pStyle w:val="ListBullet"/>
      </w:pPr>
      <w:r>
        <w:t>Subject-specific baseline distributions.</w:t>
      </w:r>
    </w:p>
    <w:p w14:paraId="4B2BE342" w14:textId="77777777" w:rsidR="006B42EB" w:rsidRDefault="00000000">
      <w:pPr>
        <w:pStyle w:val="ListBullet"/>
      </w:pPr>
      <w:r>
        <w:t>Tutor-group outcome variation.</w:t>
      </w:r>
    </w:p>
    <w:p w14:paraId="6DBA28C0" w14:textId="77777777" w:rsidR="006B42EB" w:rsidRDefault="00000000">
      <w:pPr>
        <w:pStyle w:val="ListBullet"/>
      </w:pPr>
      <w:r>
        <w:t>Residual within-group correlation.</w:t>
      </w:r>
    </w:p>
    <w:p w14:paraId="19BA3C6C" w14:textId="77777777" w:rsidR="006B42EB" w:rsidRDefault="00000000">
      <w:pPr>
        <w:pStyle w:val="ListBullet"/>
      </w:pPr>
      <w:r>
        <w:t>Treatment effects that may differ by subject.</w:t>
      </w:r>
    </w:p>
    <w:p w14:paraId="18ACB9A7" w14:textId="77777777" w:rsidR="006B42EB" w:rsidRDefault="00000000">
      <w:pPr>
        <w:pStyle w:val="ListBullet"/>
      </w:pPr>
      <w:r>
        <w:t>Optional tutor-group-by-treatment heterogeneity.</w:t>
      </w:r>
    </w:p>
    <w:p w14:paraId="355AFAE9" w14:textId="77777777" w:rsidR="006B42EB" w:rsidRDefault="00000000">
      <w:pPr>
        <w:pStyle w:val="ListBullet"/>
      </w:pPr>
      <w:r>
        <w:t>Attrition and missing posttest outcomes.</w:t>
      </w:r>
    </w:p>
    <w:p w14:paraId="7E587BCE" w14:textId="77777777" w:rsidR="006B42EB" w:rsidRDefault="00000000">
      <w:pPr>
        <w:pStyle w:val="Heading2"/>
      </w:pPr>
      <w:r>
        <w:rPr>
          <w:rFonts w:ascii="Times New Roman" w:hAnsi="Times New Roman"/>
        </w:rPr>
        <w:t>14.3 Parameter grid</w:t>
      </w:r>
    </w:p>
    <w:tbl>
      <w:tblPr>
        <w:tblStyle w:val="TableGrid"/>
        <w:tblW w:w="0" w:type="auto"/>
        <w:jc w:val="center"/>
        <w:tblLook w:val="04A0" w:firstRow="1" w:lastRow="0" w:firstColumn="1" w:lastColumn="0" w:noHBand="0" w:noVBand="1"/>
      </w:tblPr>
      <w:tblGrid>
        <w:gridCol w:w="4782"/>
        <w:gridCol w:w="4794"/>
      </w:tblGrid>
      <w:tr w:rsidR="006B42EB" w14:paraId="45934394" w14:textId="77777777">
        <w:trPr>
          <w:jc w:val="center"/>
        </w:trPr>
        <w:tc>
          <w:tcPr>
            <w:tcW w:w="4968" w:type="dxa"/>
            <w:vAlign w:val="center"/>
          </w:tcPr>
          <w:p w14:paraId="239292C3" w14:textId="77777777" w:rsidR="006B42EB" w:rsidRDefault="00000000">
            <w:pPr>
              <w:spacing w:after="40"/>
            </w:pPr>
            <w:r>
              <w:rPr>
                <w:b/>
                <w:sz w:val="19"/>
              </w:rPr>
              <w:t>Parameter</w:t>
            </w:r>
          </w:p>
        </w:tc>
        <w:tc>
          <w:tcPr>
            <w:tcW w:w="4968" w:type="dxa"/>
            <w:vAlign w:val="center"/>
          </w:tcPr>
          <w:p w14:paraId="4914FF4F" w14:textId="77777777" w:rsidR="006B42EB" w:rsidRDefault="00000000">
            <w:pPr>
              <w:spacing w:after="40"/>
            </w:pPr>
            <w:r>
              <w:rPr>
                <w:b/>
                <w:sz w:val="19"/>
              </w:rPr>
              <w:t>Planned range/structure</w:t>
            </w:r>
          </w:p>
        </w:tc>
      </w:tr>
      <w:tr w:rsidR="006B42EB" w14:paraId="5F90F21B" w14:textId="77777777">
        <w:trPr>
          <w:jc w:val="center"/>
        </w:trPr>
        <w:tc>
          <w:tcPr>
            <w:tcW w:w="4968" w:type="dxa"/>
            <w:vAlign w:val="center"/>
          </w:tcPr>
          <w:p w14:paraId="3D94625A" w14:textId="77777777" w:rsidR="006B42EB" w:rsidRDefault="00000000">
            <w:pPr>
              <w:spacing w:after="40"/>
            </w:pPr>
            <w:r>
              <w:rPr>
                <w:sz w:val="19"/>
              </w:rPr>
              <w:t>True treatment effect</w:t>
            </w:r>
          </w:p>
        </w:tc>
        <w:tc>
          <w:tcPr>
            <w:tcW w:w="4968" w:type="dxa"/>
            <w:vAlign w:val="center"/>
          </w:tcPr>
          <w:p w14:paraId="008DEB85" w14:textId="77777777" w:rsidR="006B42EB" w:rsidRDefault="00000000">
            <w:pPr>
              <w:spacing w:after="40"/>
            </w:pPr>
            <w:r>
              <w:rPr>
                <w:sz w:val="19"/>
              </w:rPr>
              <w:t>Null plus alternatives such as 0.20, 0.30, and 0.40 standardized units.</w:t>
            </w:r>
          </w:p>
        </w:tc>
      </w:tr>
      <w:tr w:rsidR="006B42EB" w14:paraId="233C3C0A" w14:textId="77777777">
        <w:trPr>
          <w:jc w:val="center"/>
        </w:trPr>
        <w:tc>
          <w:tcPr>
            <w:tcW w:w="4968" w:type="dxa"/>
            <w:vAlign w:val="center"/>
          </w:tcPr>
          <w:p w14:paraId="56A4D6C4" w14:textId="77777777" w:rsidR="006B42EB" w:rsidRDefault="00000000">
            <w:pPr>
              <w:spacing w:after="40"/>
            </w:pPr>
            <w:r>
              <w:rPr>
                <w:sz w:val="19"/>
              </w:rPr>
              <w:t>Tutor groups per subject</w:t>
            </w:r>
          </w:p>
        </w:tc>
        <w:tc>
          <w:tcPr>
            <w:tcW w:w="4968" w:type="dxa"/>
            <w:vAlign w:val="center"/>
          </w:tcPr>
          <w:p w14:paraId="0CD00428" w14:textId="7366F11E" w:rsidR="006B42EB" w:rsidRPr="00963A8D" w:rsidRDefault="009B0F45">
            <w:pPr>
              <w:spacing w:after="40"/>
              <w:rPr>
                <w:sz w:val="19"/>
                <w:szCs w:val="19"/>
              </w:rPr>
            </w:pPr>
            <w:r w:rsidRPr="00963A8D">
              <w:rPr>
                <w:sz w:val="19"/>
                <w:szCs w:val="19"/>
              </w:rPr>
              <w:t>4, 6, 8, 10, 12, 14</w:t>
            </w:r>
          </w:p>
        </w:tc>
      </w:tr>
      <w:tr w:rsidR="006B42EB" w14:paraId="3955A541" w14:textId="77777777">
        <w:trPr>
          <w:jc w:val="center"/>
        </w:trPr>
        <w:tc>
          <w:tcPr>
            <w:tcW w:w="4968" w:type="dxa"/>
            <w:vAlign w:val="center"/>
          </w:tcPr>
          <w:p w14:paraId="58D80660" w14:textId="77777777" w:rsidR="006B42EB" w:rsidRDefault="00000000">
            <w:pPr>
              <w:spacing w:after="40"/>
            </w:pPr>
            <w:r>
              <w:rPr>
                <w:sz w:val="19"/>
              </w:rPr>
              <w:t>Students per tutor group</w:t>
            </w:r>
          </w:p>
        </w:tc>
        <w:tc>
          <w:tcPr>
            <w:tcW w:w="4968" w:type="dxa"/>
            <w:vAlign w:val="center"/>
          </w:tcPr>
          <w:p w14:paraId="72797A4C" w14:textId="1EB7435F" w:rsidR="006B42EB" w:rsidRDefault="0039308B">
            <w:pPr>
              <w:spacing w:after="40"/>
            </w:pPr>
            <w:r>
              <w:rPr>
                <w:sz w:val="19"/>
              </w:rPr>
              <w:t>6, 8, 10, 12, 14, 16</w:t>
            </w:r>
          </w:p>
        </w:tc>
      </w:tr>
      <w:tr w:rsidR="006B42EB" w14:paraId="08FFDFA3" w14:textId="77777777">
        <w:trPr>
          <w:jc w:val="center"/>
        </w:trPr>
        <w:tc>
          <w:tcPr>
            <w:tcW w:w="4968" w:type="dxa"/>
            <w:vAlign w:val="center"/>
          </w:tcPr>
          <w:p w14:paraId="25B17AF8" w14:textId="77777777" w:rsidR="006B42EB" w:rsidRDefault="00000000">
            <w:pPr>
              <w:spacing w:after="40"/>
            </w:pPr>
            <w:r>
              <w:rPr>
                <w:sz w:val="19"/>
              </w:rPr>
              <w:t>Attrition</w:t>
            </w:r>
          </w:p>
        </w:tc>
        <w:tc>
          <w:tcPr>
            <w:tcW w:w="4968" w:type="dxa"/>
            <w:vAlign w:val="center"/>
          </w:tcPr>
          <w:p w14:paraId="24C73318" w14:textId="77777777" w:rsidR="006B42EB" w:rsidRDefault="00000000">
            <w:pPr>
              <w:spacing w:after="40"/>
            </w:pPr>
            <w:r>
              <w:rPr>
                <w:sz w:val="19"/>
              </w:rPr>
              <w:t>10%, 20%, 30%.</w:t>
            </w:r>
          </w:p>
        </w:tc>
      </w:tr>
      <w:tr w:rsidR="006B42EB" w14:paraId="6DDD6D3C" w14:textId="77777777">
        <w:trPr>
          <w:jc w:val="center"/>
        </w:trPr>
        <w:tc>
          <w:tcPr>
            <w:tcW w:w="4968" w:type="dxa"/>
            <w:vAlign w:val="center"/>
          </w:tcPr>
          <w:p w14:paraId="5B33215E" w14:textId="77777777" w:rsidR="006B42EB" w:rsidRDefault="00000000">
            <w:pPr>
              <w:spacing w:after="40"/>
            </w:pPr>
            <w:r>
              <w:rPr>
                <w:sz w:val="19"/>
              </w:rPr>
              <w:t>Tutor-group outcome variance</w:t>
            </w:r>
          </w:p>
        </w:tc>
        <w:tc>
          <w:tcPr>
            <w:tcW w:w="4968" w:type="dxa"/>
            <w:vAlign w:val="center"/>
          </w:tcPr>
          <w:p w14:paraId="5393F2FB" w14:textId="77777777" w:rsidR="006B42EB" w:rsidRDefault="00000000">
            <w:pPr>
              <w:spacing w:after="40"/>
            </w:pPr>
            <w:r>
              <w:rPr>
                <w:sz w:val="19"/>
              </w:rPr>
              <w:t>Pilot-informed plausible range.</w:t>
            </w:r>
          </w:p>
        </w:tc>
      </w:tr>
      <w:tr w:rsidR="006B42EB" w14:paraId="48D8C1A4" w14:textId="77777777">
        <w:trPr>
          <w:jc w:val="center"/>
        </w:trPr>
        <w:tc>
          <w:tcPr>
            <w:tcW w:w="4968" w:type="dxa"/>
            <w:vAlign w:val="center"/>
          </w:tcPr>
          <w:p w14:paraId="62B47FC5" w14:textId="77777777" w:rsidR="006B42EB" w:rsidRDefault="00000000">
            <w:pPr>
              <w:spacing w:after="40"/>
            </w:pPr>
            <w:r>
              <w:rPr>
                <w:sz w:val="19"/>
              </w:rPr>
              <w:t>Residual correlation / ICC</w:t>
            </w:r>
          </w:p>
        </w:tc>
        <w:tc>
          <w:tcPr>
            <w:tcW w:w="4968" w:type="dxa"/>
            <w:vAlign w:val="center"/>
          </w:tcPr>
          <w:p w14:paraId="419694D7" w14:textId="77777777" w:rsidR="006B42EB" w:rsidRDefault="00000000">
            <w:pPr>
              <w:spacing w:after="40"/>
            </w:pPr>
            <w:r>
              <w:rPr>
                <w:sz w:val="19"/>
              </w:rPr>
              <w:t>Pilot-informed plausible range, used as a precision parameter rather than a cluster-RCT design effect.</w:t>
            </w:r>
          </w:p>
        </w:tc>
      </w:tr>
      <w:tr w:rsidR="006B42EB" w14:paraId="5A3B9260" w14:textId="77777777">
        <w:trPr>
          <w:jc w:val="center"/>
        </w:trPr>
        <w:tc>
          <w:tcPr>
            <w:tcW w:w="4968" w:type="dxa"/>
            <w:vAlign w:val="center"/>
          </w:tcPr>
          <w:p w14:paraId="3E8979A2" w14:textId="77777777" w:rsidR="006B42EB" w:rsidRDefault="00000000">
            <w:pPr>
              <w:spacing w:after="40"/>
            </w:pPr>
            <w:r>
              <w:rPr>
                <w:sz w:val="19"/>
              </w:rPr>
              <w:t>Tutor-group treatment-effect heterogeneity</w:t>
            </w:r>
          </w:p>
        </w:tc>
        <w:tc>
          <w:tcPr>
            <w:tcW w:w="4968" w:type="dxa"/>
            <w:vAlign w:val="center"/>
          </w:tcPr>
          <w:p w14:paraId="3B0C1983" w14:textId="77777777" w:rsidR="006B42EB" w:rsidRDefault="00000000">
            <w:pPr>
              <w:spacing w:after="40"/>
            </w:pPr>
            <w:r>
              <w:rPr>
                <w:sz w:val="19"/>
              </w:rPr>
              <w:t>Low, moderate, and high plausible levels.</w:t>
            </w:r>
          </w:p>
        </w:tc>
      </w:tr>
      <w:tr w:rsidR="006B42EB" w14:paraId="2A972306" w14:textId="77777777">
        <w:trPr>
          <w:jc w:val="center"/>
        </w:trPr>
        <w:tc>
          <w:tcPr>
            <w:tcW w:w="4968" w:type="dxa"/>
            <w:vAlign w:val="center"/>
          </w:tcPr>
          <w:p w14:paraId="3A6B5A45" w14:textId="77777777" w:rsidR="006B42EB" w:rsidRDefault="00000000">
            <w:pPr>
              <w:spacing w:after="40"/>
            </w:pPr>
            <w:r>
              <w:rPr>
                <w:sz w:val="19"/>
              </w:rPr>
              <w:t>Subject recruitment imbalance</w:t>
            </w:r>
          </w:p>
        </w:tc>
        <w:tc>
          <w:tcPr>
            <w:tcW w:w="4968" w:type="dxa"/>
            <w:vAlign w:val="center"/>
          </w:tcPr>
          <w:p w14:paraId="4372EA66" w14:textId="77777777" w:rsidR="006B42EB" w:rsidRDefault="00000000">
            <w:pPr>
              <w:spacing w:after="40"/>
            </w:pPr>
            <w:r>
              <w:rPr>
                <w:sz w:val="19"/>
              </w:rPr>
              <w:t>Realistic unequal N_s patterns.</w:t>
            </w:r>
          </w:p>
        </w:tc>
      </w:tr>
      <w:tr w:rsidR="006B42EB" w14:paraId="123F0702" w14:textId="77777777">
        <w:trPr>
          <w:jc w:val="center"/>
        </w:trPr>
        <w:tc>
          <w:tcPr>
            <w:tcW w:w="4968" w:type="dxa"/>
            <w:vAlign w:val="center"/>
          </w:tcPr>
          <w:p w14:paraId="03275A1A" w14:textId="77777777" w:rsidR="006B42EB" w:rsidRDefault="00000000">
            <w:pPr>
              <w:spacing w:after="40"/>
            </w:pPr>
            <w:r>
              <w:rPr>
                <w:sz w:val="19"/>
              </w:rPr>
              <w:t>Treatment heterogeneity across subjects</w:t>
            </w:r>
          </w:p>
        </w:tc>
        <w:tc>
          <w:tcPr>
            <w:tcW w:w="4968" w:type="dxa"/>
            <w:vAlign w:val="center"/>
          </w:tcPr>
          <w:p w14:paraId="17B83E69" w14:textId="77777777" w:rsidR="006B42EB" w:rsidRDefault="00000000">
            <w:pPr>
              <w:spacing w:after="40"/>
            </w:pPr>
            <w:r>
              <w:rPr>
                <w:sz w:val="19"/>
              </w:rPr>
              <w:t>Homogeneous and heterogeneous effect patterns.</w:t>
            </w:r>
          </w:p>
        </w:tc>
      </w:tr>
    </w:tbl>
    <w:p w14:paraId="16FC9F70" w14:textId="77777777" w:rsidR="006B42EB" w:rsidRDefault="006B42EB"/>
    <w:p w14:paraId="747D38A4" w14:textId="77777777" w:rsidR="006B42EB" w:rsidRDefault="00000000">
      <w:pPr>
        <w:pStyle w:val="Heading2"/>
      </w:pPr>
      <w:r>
        <w:rPr>
          <w:rFonts w:ascii="Times New Roman" w:hAnsi="Times New Roman"/>
        </w:rPr>
        <w:t>14.4 Diagnostics recorded</w:t>
      </w:r>
    </w:p>
    <w:p w14:paraId="02F2EB2F" w14:textId="77777777" w:rsidR="006B42EB" w:rsidRDefault="00000000">
      <w:pPr>
        <w:pStyle w:val="ListBullet"/>
      </w:pPr>
      <w:r>
        <w:t>Empirical Type I error under the complete null.</w:t>
      </w:r>
    </w:p>
    <w:p w14:paraId="3C352A70" w14:textId="77777777" w:rsidR="006B42EB" w:rsidRDefault="00000000">
      <w:pPr>
        <w:pStyle w:val="ListBullet"/>
      </w:pPr>
      <w:r>
        <w:t>Empirical power under each alternative.</w:t>
      </w:r>
    </w:p>
    <w:p w14:paraId="5EA9E5A7" w14:textId="77777777" w:rsidR="006B42EB" w:rsidRDefault="00000000">
      <w:pPr>
        <w:pStyle w:val="ListBullet"/>
      </w:pPr>
      <w:r>
        <w:t>Bias of the estimated primary student-weighted effect.</w:t>
      </w:r>
    </w:p>
    <w:p w14:paraId="36DC15C7" w14:textId="77777777" w:rsidR="006B42EB" w:rsidRDefault="00000000">
      <w:pPr>
        <w:pStyle w:val="ListBullet"/>
      </w:pPr>
      <m:oMath>
        <m:r>
          <w:rPr>
            <w:rFonts w:ascii="Cambria Math" w:hAnsi="Cambria Math"/>
          </w:rPr>
          <m:t>95%</m:t>
        </m:r>
      </m:oMath>
      <w:r>
        <w:t>confidence-interval coverage.</w:t>
      </w:r>
    </w:p>
    <w:p w14:paraId="343C5287" w14:textId="77777777" w:rsidR="006B42EB" w:rsidRDefault="00000000">
      <w:pPr>
        <w:pStyle w:val="ListBullet"/>
      </w:pPr>
      <w:r>
        <w:t>Model convergence/failure rate.</w:t>
      </w:r>
    </w:p>
    <w:p w14:paraId="0936D9B7" w14:textId="77777777" w:rsidR="006B42EB" w:rsidRDefault="00000000">
      <w:pPr>
        <w:pStyle w:val="ListBullet"/>
      </w:pPr>
      <w:r>
        <w:t>Sensitivity to unequal subject recruitment.</w:t>
      </w:r>
    </w:p>
    <w:p w14:paraId="184AFEB3" w14:textId="77777777" w:rsidR="006B42EB" w:rsidRDefault="00000000">
      <w:pPr>
        <w:pStyle w:val="ListBullet"/>
      </w:pPr>
      <w:r>
        <w:t>Sensitivity to attrition and missingness.</w:t>
      </w:r>
    </w:p>
    <w:p w14:paraId="1019DBDE" w14:textId="77777777" w:rsidR="006B42EB" w:rsidRDefault="00000000">
      <w:pPr>
        <w:pStyle w:val="ListBullet"/>
      </w:pPr>
      <w:r>
        <w:t>Sensitivity to treatment-effect heterogeneity.</w:t>
      </w:r>
    </w:p>
    <w:p w14:paraId="4B148806" w14:textId="77777777" w:rsidR="006B42EB" w:rsidRDefault="00000000">
      <w:pPr>
        <w:pStyle w:val="ListBullet"/>
      </w:pPr>
      <w:r>
        <w:t>Distribution of realized student weights</w:t>
      </w:r>
      <m:oMath>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s</m:t>
                </m:r>
              </m:sub>
            </m:sSub>
          </m:num>
          <m:den>
            <m:r>
              <w:rPr>
                <w:rFonts w:ascii="Cambria Math" w:hAnsi="Cambria Math"/>
              </w:rPr>
              <m:t>N</m:t>
            </m:r>
          </m:den>
        </m:f>
      </m:oMath>
      <w:r>
        <w:t>.</w:t>
      </w:r>
    </w:p>
    <w:p w14:paraId="6DB326BE" w14:textId="77777777" w:rsidR="006B42EB" w:rsidRDefault="00000000">
      <w:pPr>
        <w:pStyle w:val="ListBullet"/>
      </w:pPr>
      <w:r>
        <w:t>Performance of the equal-subject secondary contrast.</w:t>
      </w:r>
    </w:p>
    <w:p w14:paraId="0CE23BB1" w14:textId="77777777" w:rsidR="006B42EB" w:rsidRDefault="00000000">
      <w:r>
        <w:lastRenderedPageBreak/>
        <w:t>The final recruitment target is chosen from a robust region of the simulation surface, not from a single parameter combination. The selected design should maintain acceptable power and estimator behavior across a reasonable range of uncertain parameters.</w:t>
      </w:r>
    </w:p>
    <w:p w14:paraId="5E18A1BB" w14:textId="77777777" w:rsidR="006B42EB" w:rsidRDefault="00000000">
      <w:pPr>
        <w:pStyle w:val="Heading1"/>
      </w:pPr>
      <w:r>
        <w:rPr>
          <w:rFonts w:ascii="Times New Roman" w:hAnsi="Times New Roman"/>
        </w:rPr>
        <w:t>15. Statistical analysis plan</w:t>
      </w:r>
    </w:p>
    <w:p w14:paraId="7201781E" w14:textId="77777777" w:rsidR="006B42EB" w:rsidRDefault="00000000">
      <w:pPr>
        <w:pStyle w:val="Heading2"/>
      </w:pPr>
      <w:r>
        <w:rPr>
          <w:rFonts w:ascii="Times New Roman" w:hAnsi="Times New Roman"/>
        </w:rPr>
        <w:t>15.1 Primary model</w:t>
      </w:r>
    </w:p>
    <w:p w14:paraId="3D6A1A66" w14:textId="77777777" w:rsidR="006B42EB" w:rsidRDefault="00000000">
      <w:r>
        <w:t>The primary model contains:</w:t>
      </w:r>
    </w:p>
    <w:p w14:paraId="2A838C81" w14:textId="77777777" w:rsidR="006B42EB" w:rsidRDefault="00000000">
      <w:pPr>
        <w:pStyle w:val="ListBullet"/>
      </w:pPr>
      <w:r>
        <w:t>Treatment assignment.</w:t>
      </w:r>
    </w:p>
    <w:p w14:paraId="13B1F55A" w14:textId="77777777" w:rsidR="006B42EB" w:rsidRDefault="00000000">
      <w:pPr>
        <w:pStyle w:val="ListBullet"/>
      </w:pPr>
      <w:r>
        <w:t>Tutor-group fixed effects nested within subject.</w:t>
      </w:r>
    </w:p>
    <w:p w14:paraId="2D1E31EC" w14:textId="77777777" w:rsidR="006B42EB" w:rsidRDefault="00000000">
      <w:pPr>
        <w:pStyle w:val="ListBullet"/>
      </w:pPr>
      <w:r>
        <w:t>Baseline mastery.</w:t>
      </w:r>
    </w:p>
    <w:p w14:paraId="7A6DF55C" w14:textId="77777777" w:rsidR="006B42EB" w:rsidRDefault="00000000">
      <w:pPr>
        <w:pStyle w:val="ListBullet"/>
      </w:pPr>
      <m:oMath>
        <m:r>
          <w:rPr>
            <w:rFonts w:ascii="Cambria Math" w:hAnsi="Cambria Math"/>
          </w:rPr>
          <m:t>Treatment × Subject</m:t>
        </m:r>
      </m:oMath>
      <w:r>
        <w:t>interaction.</w:t>
      </w:r>
    </w:p>
    <w:p w14:paraId="676AC753" w14:textId="77777777" w:rsidR="006B42EB" w:rsidRDefault="00000000">
      <w:r>
        <w:t>The</w:t>
      </w:r>
      <m:oMath>
        <m:r>
          <w:rPr>
            <w:rFonts w:ascii="Cambria Math" w:hAnsi="Cambria Math"/>
          </w:rPr>
          <m:t>Treatment × Subject</m:t>
        </m:r>
      </m:oMath>
      <w:r>
        <w:t>interaction is required because the primary estimand is a specific student-weighted average of the five subject-specific effects. Tutor-group fixed effects exploit the within-tutor randomization and condition on the recruited tutor groups.</w:t>
      </w:r>
    </w:p>
    <w:p w14:paraId="066DB391" w14:textId="77777777" w:rsidR="006B42EB" w:rsidRDefault="00000000">
      <w:pPr>
        <w:pStyle w:val="Heading2"/>
      </w:pPr>
      <w:r>
        <w:rPr>
          <w:rFonts w:ascii="Times New Roman" w:hAnsi="Times New Roman"/>
        </w:rPr>
        <w:t>15.2 Primary contrast</w:t>
      </w:r>
    </w:p>
    <w:p w14:paraId="398E712E" w14:textId="77777777" w:rsidR="006B42EB" w:rsidRDefault="00000000">
      <w:r>
        <w:t>Let tau_hat_s denote the estimated treatment effect for subject s from the interaction model. The primary estimate is:</w:t>
      </w:r>
    </w:p>
    <w:p w14:paraId="2898D1B2" w14:textId="77777777" w:rsidR="006B42EB" w:rsidRDefault="00000000">
      <w:pPr>
        <w:jc w:val="center"/>
      </w:pPr>
      <m:oMathPara>
        <m:oMath>
          <m:sSub>
            <m:sSubPr>
              <m:ctrlPr>
                <w:rPr>
                  <w:rFonts w:ascii="Cambria Math" w:hAnsi="Cambria Math"/>
                </w:rPr>
              </m:ctrlPr>
            </m:sSubPr>
            <m:e>
              <m:r>
                <w:rPr>
                  <w:rFonts w:ascii="Cambria Math" w:hAnsi="Cambria Math"/>
                </w:rPr>
                <m:t>τ̂</m:t>
              </m:r>
            </m:e>
            <m:sub>
              <m:r>
                <w:rPr>
                  <w:rFonts w:ascii="Cambria Math" w:hAnsi="Cambria Math"/>
                </w:rPr>
                <m:t>student</m:t>
              </m:r>
            </m:sub>
          </m:sSub>
          <m:r>
            <w:rPr>
              <w:rFonts w:ascii="Cambria Math" w:hAnsi="Cambria Math"/>
            </w:rPr>
            <m:t xml:space="preserve"> = </m:t>
          </m:r>
          <m:nary>
            <m:naryPr>
              <m:chr m:val="∑"/>
              <m:ctrlPr>
                <w:rPr>
                  <w:rFonts w:ascii="Cambria Math" w:hAnsi="Cambria Math"/>
                </w:rPr>
              </m:ctrlPr>
            </m:naryPr>
            <m:sub>
              <m:r>
                <w:rPr>
                  <w:rFonts w:ascii="Cambria Math" w:hAnsi="Cambria Math"/>
                </w:rPr>
                <m:t>s=1</m:t>
              </m:r>
            </m:sub>
            <m:sup>
              <m:r>
                <w:rPr>
                  <w:rFonts w:ascii="Cambria Math" w:hAnsi="Cambria Math"/>
                </w:rPr>
                <m:t>5</m:t>
              </m:r>
            </m:sup>
            <m:e>
              <m:sSub>
                <m:sSubPr>
                  <m:ctrlPr>
                    <w:rPr>
                      <w:rFonts w:ascii="Cambria Math" w:hAnsi="Cambria Math"/>
                    </w:rPr>
                  </m:ctrlPr>
                </m:sSubPr>
                <m:e>
                  <m:r>
                    <w:rPr>
                      <w:rFonts w:ascii="Cambria Math" w:hAnsi="Cambria Math"/>
                    </w:rPr>
                    <m:t>w</m:t>
                  </m:r>
                </m:e>
                <m:sub>
                  <m:r>
                    <w:rPr>
                      <w:rFonts w:ascii="Cambria Math" w:hAnsi="Cambria Math"/>
                    </w:rPr>
                    <m:t>s</m:t>
                  </m:r>
                </m:sub>
              </m:sSub>
              <m:sSub>
                <m:sSubPr>
                  <m:ctrlPr>
                    <w:rPr>
                      <w:rFonts w:ascii="Cambria Math" w:hAnsi="Cambria Math"/>
                    </w:rPr>
                  </m:ctrlPr>
                </m:sSubPr>
                <m:e>
                  <m:r>
                    <w:rPr>
                      <w:rFonts w:ascii="Cambria Math" w:hAnsi="Cambria Math"/>
                    </w:rPr>
                    <m:t>τ̂</m:t>
                  </m:r>
                </m:e>
                <m:sub>
                  <m:r>
                    <w:rPr>
                      <w:rFonts w:ascii="Cambria Math" w:hAnsi="Cambria Math"/>
                    </w:rPr>
                    <m:t>s</m:t>
                  </m:r>
                </m:sub>
              </m:sSub>
            </m:e>
          </m:nary>
        </m:oMath>
      </m:oMathPara>
    </w:p>
    <w:p w14:paraId="09B1674B" w14:textId="77777777" w:rsidR="006B42EB" w:rsidRDefault="00000000">
      <w:r>
        <w:t>Its variance is calculated from the full coefficient covariance matrix using the delta method for a linear contrast. The bootstrap described below provides the primary uncertainty analysis for the standardized outcome because the control-arm standardization parameters are themselves estimated.</w:t>
      </w:r>
    </w:p>
    <w:p w14:paraId="75D4629D" w14:textId="77777777" w:rsidR="006B42EB" w:rsidRDefault="00000000">
      <w:pPr>
        <w:pStyle w:val="Heading2"/>
      </w:pPr>
      <w:r>
        <w:rPr>
          <w:rFonts w:ascii="Times New Roman" w:hAnsi="Times New Roman"/>
        </w:rPr>
        <w:t>15.3 Primary bootstrap inference</w:t>
      </w:r>
    </w:p>
    <w:p w14:paraId="6FD80DFA" w14:textId="77777777" w:rsidR="006B42EB" w:rsidRDefault="00000000">
      <w:pPr>
        <w:pStyle w:val="ListNumber"/>
      </w:pPr>
      <w:r>
        <w:t>Resample tutor groups with replacement separately within each subject.</w:t>
      </w:r>
    </w:p>
    <w:p w14:paraId="4E9D3438" w14:textId="77777777" w:rsidR="006B42EB" w:rsidRDefault="00000000">
      <w:pPr>
        <w:pStyle w:val="ListNumber"/>
      </w:pPr>
      <w:r>
        <w:t>Retain the full set of students within each selected tutor group.</w:t>
      </w:r>
    </w:p>
    <w:p w14:paraId="7FE920AE" w14:textId="77777777" w:rsidR="006B42EB" w:rsidRDefault="00000000">
      <w:pPr>
        <w:pStyle w:val="ListNumber"/>
      </w:pPr>
      <w:r>
        <w:t>Keep the original randomized subject weights</w:t>
      </w:r>
      <m:oMath>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s</m:t>
                </m:r>
              </m:sub>
            </m:sSub>
          </m:num>
          <m:den>
            <m:r>
              <w:rPr>
                <w:rFonts w:ascii="Cambria Math" w:hAnsi="Cambria Math"/>
              </w:rPr>
              <m:t>N</m:t>
            </m:r>
          </m:den>
        </m:f>
      </m:oMath>
      <w:r>
        <w:t>fixed for the definition of the estimand.</w:t>
      </w:r>
    </w:p>
    <w:p w14:paraId="2D97B956" w14:textId="77777777" w:rsidR="006B42EB" w:rsidRDefault="00000000">
      <w:pPr>
        <w:pStyle w:val="ListNumber"/>
      </w:pPr>
      <w:r>
        <w:t>Within each bootstrap replicate, recompute the conventional-arm mean and SD separately for every subject.</w:t>
      </w:r>
    </w:p>
    <w:p w14:paraId="30ADD11D" w14:textId="77777777" w:rsidR="006B42EB" w:rsidRDefault="00000000">
      <w:pPr>
        <w:pStyle w:val="ListNumber"/>
      </w:pPr>
      <w:r>
        <w:t>Regenerate the control-referenced standardized outcome.</w:t>
      </w:r>
    </w:p>
    <w:p w14:paraId="173C1A35" w14:textId="77777777" w:rsidR="006B42EB" w:rsidRDefault="00000000">
      <w:pPr>
        <w:pStyle w:val="ListNumber"/>
      </w:pPr>
      <w:r>
        <w:t>Refit the complete primary interaction model.</w:t>
      </w:r>
    </w:p>
    <w:p w14:paraId="77C62078" w14:textId="77777777" w:rsidR="006B42EB" w:rsidRDefault="00000000">
      <w:pPr>
        <w:pStyle w:val="ListNumber"/>
      </w:pPr>
      <w:r>
        <w:t>Extract the five subject-specific effects.</w:t>
      </w:r>
    </w:p>
    <w:p w14:paraId="06D884CC" w14:textId="77777777" w:rsidR="006B42EB" w:rsidRDefault="00000000">
      <w:pPr>
        <w:pStyle w:val="ListNumber"/>
      </w:pPr>
      <w:r>
        <w:t>Compute the pre-specified student-weighted contrast.</w:t>
      </w:r>
    </w:p>
    <w:p w14:paraId="3B6B3A7C" w14:textId="77777777" w:rsidR="006B42EB" w:rsidRDefault="00000000">
      <w:pPr>
        <w:pStyle w:val="ListNumber"/>
      </w:pPr>
      <w:r>
        <w:t>Store the resulting contrast.</w:t>
      </w:r>
    </w:p>
    <w:p w14:paraId="1BAF7F9D" w14:textId="77777777" w:rsidR="006B42EB" w:rsidRDefault="00000000">
      <w:pPr>
        <w:pStyle w:val="ListNumber"/>
      </w:pPr>
      <w:r>
        <w:t>Use the empirical bootstrap distribution to construct the confidence interval using the pre-specified interval method.</w:t>
      </w:r>
    </w:p>
    <w:p w14:paraId="36BF7856" w14:textId="77777777" w:rsidR="006B42EB" w:rsidRDefault="00000000">
      <w:r>
        <w:t>The bootstrap unit is the tutor group, not the student, because students within a tutor group are not assumed independent.</w:t>
      </w:r>
    </w:p>
    <w:p w14:paraId="6A784DF6" w14:textId="77777777" w:rsidR="006B42EB" w:rsidRDefault="00000000">
      <w:pPr>
        <w:pStyle w:val="Heading2"/>
      </w:pPr>
      <w:r>
        <w:rPr>
          <w:rFonts w:ascii="Times New Roman" w:hAnsi="Times New Roman"/>
        </w:rPr>
        <w:lastRenderedPageBreak/>
        <w:t>15.4 Secondary models</w:t>
      </w:r>
    </w:p>
    <w:tbl>
      <w:tblPr>
        <w:tblStyle w:val="TableGrid"/>
        <w:tblW w:w="0" w:type="auto"/>
        <w:jc w:val="center"/>
        <w:tblLook w:val="04A0" w:firstRow="1" w:lastRow="0" w:firstColumn="1" w:lastColumn="0" w:noHBand="0" w:noVBand="1"/>
      </w:tblPr>
      <w:tblGrid>
        <w:gridCol w:w="3180"/>
        <w:gridCol w:w="3213"/>
        <w:gridCol w:w="3183"/>
      </w:tblGrid>
      <w:tr w:rsidR="006B42EB" w14:paraId="263D4BCA" w14:textId="77777777">
        <w:trPr>
          <w:jc w:val="center"/>
        </w:trPr>
        <w:tc>
          <w:tcPr>
            <w:tcW w:w="3312" w:type="dxa"/>
            <w:vAlign w:val="center"/>
          </w:tcPr>
          <w:p w14:paraId="2453C497" w14:textId="77777777" w:rsidR="006B42EB" w:rsidRDefault="00000000">
            <w:pPr>
              <w:spacing w:after="40"/>
            </w:pPr>
            <w:r>
              <w:rPr>
                <w:b/>
                <w:sz w:val="19"/>
              </w:rPr>
              <w:t>Outcome</w:t>
            </w:r>
          </w:p>
        </w:tc>
        <w:tc>
          <w:tcPr>
            <w:tcW w:w="3312" w:type="dxa"/>
            <w:vAlign w:val="center"/>
          </w:tcPr>
          <w:p w14:paraId="3CA98FC0" w14:textId="77777777" w:rsidR="006B42EB" w:rsidRDefault="00000000">
            <w:pPr>
              <w:spacing w:after="40"/>
            </w:pPr>
            <w:r>
              <w:rPr>
                <w:b/>
                <w:sz w:val="19"/>
              </w:rPr>
              <w:t>Model</w:t>
            </w:r>
          </w:p>
        </w:tc>
        <w:tc>
          <w:tcPr>
            <w:tcW w:w="3312" w:type="dxa"/>
            <w:vAlign w:val="center"/>
          </w:tcPr>
          <w:p w14:paraId="4FFC89BF" w14:textId="77777777" w:rsidR="006B42EB" w:rsidRDefault="00000000">
            <w:pPr>
              <w:spacing w:after="40"/>
            </w:pPr>
            <w:r>
              <w:rPr>
                <w:b/>
                <w:sz w:val="19"/>
              </w:rPr>
              <w:t>Pooled contrast</w:t>
            </w:r>
          </w:p>
        </w:tc>
      </w:tr>
      <w:tr w:rsidR="006B42EB" w14:paraId="0055B7D8" w14:textId="77777777">
        <w:trPr>
          <w:jc w:val="center"/>
        </w:trPr>
        <w:tc>
          <w:tcPr>
            <w:tcW w:w="3312" w:type="dxa"/>
            <w:vAlign w:val="center"/>
          </w:tcPr>
          <w:p w14:paraId="18915156" w14:textId="77777777" w:rsidR="006B42EB" w:rsidRDefault="00000000">
            <w:pPr>
              <w:spacing w:after="40"/>
            </w:pPr>
            <w:r>
              <w:rPr>
                <w:sz w:val="19"/>
              </w:rPr>
              <w:t>Concepts mastered</w:t>
            </w:r>
          </w:p>
        </w:tc>
        <w:tc>
          <w:tcPr>
            <w:tcW w:w="3312" w:type="dxa"/>
            <w:vAlign w:val="center"/>
          </w:tcPr>
          <w:p w14:paraId="19EA18A0" w14:textId="77777777" w:rsidR="006B42EB" w:rsidRDefault="00000000">
            <w:pPr>
              <w:spacing w:after="40"/>
            </w:pPr>
            <w:r>
              <w:rPr>
                <w:sz w:val="19"/>
              </w:rPr>
              <w:t>Binomial model with</w:t>
            </w:r>
            <m:oMath>
              <m:sSub>
                <m:sSubPr>
                  <m:ctrlPr>
                    <w:rPr>
                      <w:rFonts w:ascii="Cambria Math" w:hAnsi="Cambria Math"/>
                    </w:rPr>
                  </m:ctrlPr>
                </m:sSubPr>
                <m:e>
                  <m:r>
                    <w:rPr>
                      <w:rFonts w:ascii="Cambria Math" w:hAnsi="Cambria Math"/>
                    </w:rPr>
                    <m:t>K</m:t>
                  </m:r>
                </m:e>
                <m:sub>
                  <m:r>
                    <w:rPr>
                      <w:rFonts w:ascii="Cambria Math" w:hAnsi="Cambria Math"/>
                    </w:rPr>
                    <m:t>s</m:t>
                  </m:r>
                </m:sub>
              </m:sSub>
            </m:oMath>
            <w:r>
              <w:rPr>
                <w:sz w:val="19"/>
              </w:rPr>
              <w:t>trials; treatment + tutor-group FE + baseline mastery +</w:t>
            </w:r>
            <m:oMath>
              <m:r>
                <w:rPr>
                  <w:rFonts w:ascii="Cambria Math" w:hAnsi="Cambria Math"/>
                </w:rPr>
                <m:t>Treatment × Subject</m:t>
              </m:r>
            </m:oMath>
            <w:r>
              <w:rPr>
                <w:sz w:val="19"/>
              </w:rPr>
              <w:t>.</w:t>
            </w:r>
          </w:p>
        </w:tc>
        <w:tc>
          <w:tcPr>
            <w:tcW w:w="3312" w:type="dxa"/>
            <w:vAlign w:val="center"/>
          </w:tcPr>
          <w:p w14:paraId="44BF776F" w14:textId="77777777" w:rsidR="006B42EB" w:rsidRDefault="00000000">
            <w:pPr>
              <w:spacing w:after="40"/>
            </w:pPr>
            <w:r>
              <w:rPr>
                <w:sz w:val="19"/>
              </w:rPr>
              <w:t>Student-weighted contrast where a pooled effect is reported.</w:t>
            </w:r>
          </w:p>
        </w:tc>
      </w:tr>
      <w:tr w:rsidR="006B42EB" w14:paraId="0B10377B" w14:textId="77777777">
        <w:trPr>
          <w:jc w:val="center"/>
        </w:trPr>
        <w:tc>
          <w:tcPr>
            <w:tcW w:w="3312" w:type="dxa"/>
            <w:vAlign w:val="center"/>
          </w:tcPr>
          <w:p w14:paraId="737A76C3" w14:textId="77777777" w:rsidR="006B42EB" w:rsidRDefault="00000000">
            <w:pPr>
              <w:spacing w:after="40"/>
            </w:pPr>
            <w:r>
              <w:rPr>
                <w:sz w:val="19"/>
              </w:rPr>
              <w:t>Proportion unmastered</w:t>
            </w:r>
          </w:p>
        </w:tc>
        <w:tc>
          <w:tcPr>
            <w:tcW w:w="3312" w:type="dxa"/>
            <w:vAlign w:val="center"/>
          </w:tcPr>
          <w:p w14:paraId="3C2B17DE" w14:textId="77777777" w:rsidR="006B42EB" w:rsidRDefault="00000000">
            <w:pPr>
              <w:spacing w:after="40"/>
            </w:pPr>
            <w:r>
              <w:rPr>
                <w:sz w:val="19"/>
              </w:rPr>
              <w:t>Derived from</w:t>
            </w:r>
            <m:oMath>
              <m:sSub>
                <m:sSubPr>
                  <m:ctrlPr>
                    <w:rPr>
                      <w:rFonts w:ascii="Cambria Math" w:hAnsi="Cambria Math"/>
                    </w:rPr>
                  </m:ctrlPr>
                </m:sSubPr>
                <m:e>
                  <m:r>
                    <w:rPr>
                      <w:rFonts w:ascii="Cambria Math" w:hAnsi="Cambria Math"/>
                    </w:rPr>
                    <m:t>K</m:t>
                  </m:r>
                </m:e>
                <m:sub>
                  <m:r>
                    <w:rPr>
                      <w:rFonts w:ascii="Cambria Math" w:hAnsi="Cambria Math"/>
                    </w:rPr>
                    <m:t>s</m:t>
                  </m:r>
                </m:sub>
              </m:sSub>
            </m:oMath>
            <w:r>
              <w:rPr>
                <w:sz w:val="19"/>
              </w:rPr>
              <w:t>and</w:t>
            </w:r>
            <m:oMath>
              <m:sSub>
                <m:sSubPr>
                  <m:ctrlPr>
                    <w:rPr>
                      <w:rFonts w:ascii="Cambria Math" w:hAnsi="Cambria Math"/>
                    </w:rPr>
                  </m:ctrlPr>
                </m:sSubPr>
                <m:e>
                  <m:r>
                    <w:rPr>
                      <w:rFonts w:ascii="Cambria Math" w:hAnsi="Cambria Math"/>
                    </w:rPr>
                    <m:t>M</m:t>
                  </m:r>
                </m:e>
                <m:sub>
                  <m:r>
                    <w:rPr>
                      <w:rFonts w:ascii="Cambria Math" w:hAnsi="Cambria Math"/>
                    </w:rPr>
                    <m:t>i</m:t>
                  </m:r>
                </m:sub>
              </m:sSub>
            </m:oMath>
            <w:r>
              <w:rPr>
                <w:sz w:val="19"/>
              </w:rPr>
              <w:t>; modeled consistently with the concepts-mastered outcome.</w:t>
            </w:r>
          </w:p>
        </w:tc>
        <w:tc>
          <w:tcPr>
            <w:tcW w:w="3312" w:type="dxa"/>
            <w:vAlign w:val="center"/>
          </w:tcPr>
          <w:p w14:paraId="5C3F7FA1" w14:textId="77777777" w:rsidR="006B42EB" w:rsidRDefault="00000000">
            <w:pPr>
              <w:spacing w:after="40"/>
            </w:pPr>
            <w:r>
              <w:rPr>
                <w:sz w:val="19"/>
              </w:rPr>
              <w:t>Student-weighted contrast where appropriate.</w:t>
            </w:r>
          </w:p>
        </w:tc>
      </w:tr>
      <w:tr w:rsidR="006B42EB" w14:paraId="620EA80E" w14:textId="77777777">
        <w:trPr>
          <w:jc w:val="center"/>
        </w:trPr>
        <w:tc>
          <w:tcPr>
            <w:tcW w:w="3312" w:type="dxa"/>
            <w:vAlign w:val="center"/>
          </w:tcPr>
          <w:p w14:paraId="082D240E" w14:textId="77777777" w:rsidR="006B42EB" w:rsidRDefault="00000000">
            <w:pPr>
              <w:spacing w:after="40"/>
            </w:pPr>
            <w:r>
              <w:rPr>
                <w:sz w:val="19"/>
              </w:rPr>
              <w:t>Time to mastery</w:t>
            </w:r>
          </w:p>
        </w:tc>
        <w:tc>
          <w:tcPr>
            <w:tcW w:w="3312" w:type="dxa"/>
            <w:vAlign w:val="center"/>
          </w:tcPr>
          <w:p w14:paraId="46CCF3AB" w14:textId="77777777" w:rsidR="006B42EB" w:rsidRDefault="00000000">
            <w:pPr>
              <w:spacing w:after="40"/>
            </w:pPr>
            <w:r>
              <w:rPr>
                <w:sz w:val="19"/>
              </w:rPr>
              <w:t>Concept-level survival model with right censoring and student/tutor clustering/frailty structure as supported by the data and software implementation.</w:t>
            </w:r>
          </w:p>
        </w:tc>
        <w:tc>
          <w:tcPr>
            <w:tcW w:w="3312" w:type="dxa"/>
            <w:vAlign w:val="center"/>
          </w:tcPr>
          <w:p w14:paraId="3FACC502" w14:textId="77777777" w:rsidR="006B42EB" w:rsidRDefault="00000000">
            <w:pPr>
              <w:spacing w:after="40"/>
            </w:pPr>
            <w:r>
              <w:rPr>
                <w:sz w:val="19"/>
              </w:rPr>
              <w:t>Subject-specific effects plus clearly defined pooled summaries if estimable.</w:t>
            </w:r>
          </w:p>
        </w:tc>
      </w:tr>
    </w:tbl>
    <w:p w14:paraId="6752021E" w14:textId="77777777" w:rsidR="006B42EB" w:rsidRDefault="006B42EB"/>
    <w:p w14:paraId="50281B5B" w14:textId="77777777" w:rsidR="006B42EB" w:rsidRDefault="00000000">
      <w:pPr>
        <w:pStyle w:val="Heading2"/>
      </w:pPr>
      <w:r>
        <w:rPr>
          <w:rFonts w:ascii="Times New Roman" w:hAnsi="Times New Roman"/>
        </w:rPr>
        <w:t>15.5 Tutor fixed effect versus random-effect sensitivity</w:t>
      </w:r>
    </w:p>
    <w:p w14:paraId="2DAE3F76" w14:textId="77777777" w:rsidR="006B42EB" w:rsidRDefault="00000000">
      <w:r>
        <w:t>The primary model uses tutor-group fixed effects. A random-intercept sensitivity model is fit as a robustness check. A material discrepancy is reported as evidence of sensitivity to how tutor-group heterogeneity is modeled, not hidden as a technical footnote.</w:t>
      </w:r>
    </w:p>
    <w:p w14:paraId="10C55DB3" w14:textId="77777777" w:rsidR="006B42EB" w:rsidRDefault="00000000">
      <w:pPr>
        <w:pStyle w:val="Heading1"/>
      </w:pPr>
      <w:r>
        <w:rPr>
          <w:rFonts w:ascii="Times New Roman" w:hAnsi="Times New Roman"/>
        </w:rPr>
        <w:t>16. SQ4: Weighting robustness and learner variability</w:t>
      </w:r>
    </w:p>
    <w:p w14:paraId="7EA8489B" w14:textId="77777777" w:rsidR="006B42EB" w:rsidRDefault="00000000">
      <w:r>
        <w:t>SQ4 is fully exploratory. It does not create additional confirmatory treatment arms.</w:t>
      </w:r>
    </w:p>
    <w:p w14:paraId="18F66570" w14:textId="77777777" w:rsidR="006B42EB" w:rsidRDefault="00000000">
      <w:pPr>
        <w:pStyle w:val="Heading2"/>
      </w:pPr>
      <w:r>
        <w:rPr>
          <w:rFonts w:ascii="Times New Roman" w:hAnsi="Times New Roman"/>
        </w:rPr>
        <w:t>16.1 Weighting-profile robustness</w:t>
      </w:r>
    </w:p>
    <w:p w14:paraId="3F9E285E" w14:textId="77777777" w:rsidR="006B42EB" w:rsidRDefault="00000000">
      <w:r>
        <w:t>Balanced Step Zero is the sole randomized Step Zero treatment in the confirmatory experiment. Alternative profiles such as fast_track and thorough are evaluated only as computational policy-sensitivity analyses.</w:t>
      </w:r>
    </w:p>
    <w:p w14:paraId="317F7E35" w14:textId="77777777" w:rsidR="006B42EB" w:rsidRDefault="00000000">
      <w:pPr>
        <w:pStyle w:val="ListBullet"/>
      </w:pPr>
      <w:r>
        <w:t>Run the alternative profiles on the same frozen graph versions.</w:t>
      </w:r>
    </w:p>
    <w:p w14:paraId="03198BDA" w14:textId="77777777" w:rsidR="006B42EB" w:rsidRDefault="00000000">
      <w:pPr>
        <w:pStyle w:val="ListBullet"/>
      </w:pPr>
      <w:r>
        <w:t>Use the same candidate eligibility and prerequisite rules unless the profile definition explicitly changes them.</w:t>
      </w:r>
    </w:p>
    <w:p w14:paraId="0616E072" w14:textId="77777777" w:rsidR="006B42EB" w:rsidRDefault="00000000">
      <w:pPr>
        <w:pStyle w:val="ListBullet"/>
      </w:pPr>
      <w:r>
        <w:t>Use the same recorded learner states or synthetic learner states for each profile where a common-state comparison is possible.</w:t>
      </w:r>
    </w:p>
    <w:p w14:paraId="36AD3C60" w14:textId="77777777" w:rsidR="006B42EB" w:rsidRDefault="00000000">
      <w:pPr>
        <w:pStyle w:val="ListBullet"/>
      </w:pPr>
      <w:r>
        <w:t>Compare recommendation-order divergence, prerequisite violations, exposure/opportunity patterns, predicted simulator outcomes, and other pre-specified process metrics.</w:t>
      </w:r>
    </w:p>
    <w:p w14:paraId="2EF1F9DF" w14:textId="77777777" w:rsidR="006B42EB" w:rsidRDefault="00000000">
      <w:pPr>
        <w:pStyle w:val="ListBullet"/>
      </w:pPr>
      <w:r>
        <w:t>Do not describe these comparisons as causal effects on real student learning.</w:t>
      </w:r>
    </w:p>
    <w:p w14:paraId="140BA3C0" w14:textId="77777777" w:rsidR="006B42EB" w:rsidRDefault="00000000">
      <w:pPr>
        <w:pStyle w:val="ListBullet"/>
      </w:pPr>
      <w:r>
        <w:t>Do not select the profile that appears strongest and retroactively redefine the primary treatment.</w:t>
      </w:r>
    </w:p>
    <w:p w14:paraId="1D95B805" w14:textId="77777777" w:rsidR="006B42EB" w:rsidRDefault="00000000">
      <w:r>
        <w:t>This analysis answers whether the computational conclusions are sensitive to the weighting configuration. It does not answer whether an alternative profile would causally improve student learning in the real-world randomized population.</w:t>
      </w:r>
    </w:p>
    <w:p w14:paraId="13C1654C" w14:textId="77777777" w:rsidR="006B42EB" w:rsidRDefault="00000000">
      <w:pPr>
        <w:pStyle w:val="Heading2"/>
      </w:pPr>
      <w:r>
        <w:rPr>
          <w:rFonts w:ascii="Times New Roman" w:hAnsi="Times New Roman"/>
        </w:rPr>
        <w:t>16.2 Prior-mastery moderation</w:t>
      </w:r>
    </w:p>
    <w:p w14:paraId="7D57C10A" w14:textId="77777777" w:rsidR="006B42EB" w:rsidRDefault="00000000">
      <w:r>
        <w:t>Prior mastery is the sole pre-specified treatment moderator. It is entered as a</w:t>
      </w:r>
      <m:oMath>
        <m:r>
          <w:rPr>
            <w:rFonts w:ascii="Cambria Math" w:hAnsi="Cambria Math"/>
          </w:rPr>
          <m:t>Treatment × Prior mastery</m:t>
        </m:r>
      </m:oMath>
      <w:r>
        <w:t>interaction in the full randomized sample.</w:t>
      </w:r>
    </w:p>
    <w:p w14:paraId="2A9591D3" w14:textId="77777777" w:rsidR="006B42EB" w:rsidRDefault="00000000">
      <w:r>
        <w:lastRenderedPageBreak/>
        <w:t>Subject familiarity and the academic-ability proxy are pre-specified covariates. They are not treated as additional treatment moderators in the primary SQ4 plan, preventing an uncontrolled expansion of interaction testing.</w:t>
      </w:r>
    </w:p>
    <w:p w14:paraId="4708026D" w14:textId="77777777" w:rsidR="006B42EB" w:rsidRDefault="00000000">
      <w:r>
        <w:t>All SQ4 findings are exploratory regardless of whether they were pre-registered.</w:t>
      </w:r>
    </w:p>
    <w:p w14:paraId="1951E0F9" w14:textId="77777777" w:rsidR="006B42EB" w:rsidRDefault="00000000">
      <w:pPr>
        <w:pStyle w:val="Heading1"/>
      </w:pPr>
      <w:r>
        <w:rPr>
          <w:rFonts w:ascii="Times New Roman" w:hAnsi="Times New Roman"/>
        </w:rPr>
        <w:t>17. Missing data</w:t>
      </w:r>
    </w:p>
    <w:p w14:paraId="75306DF8" w14:textId="77777777" w:rsidR="006B42EB" w:rsidRDefault="00000000">
      <w:pPr>
        <w:pStyle w:val="Heading2"/>
      </w:pPr>
      <w:r>
        <w:rPr>
          <w:rFonts w:ascii="Times New Roman" w:hAnsi="Times New Roman"/>
        </w:rPr>
        <w:t>17.1 Item-level missingness</w:t>
      </w:r>
    </w:p>
    <w:p w14:paraId="5DF7C82A" w14:textId="77777777" w:rsidR="006B42EB" w:rsidRDefault="00000000">
      <w:r>
        <w:t>For a concept's five items, the concept score is computed from answered items only when at least four of five items are answered. If fewer than four are answered, the concept score is treated as missing rather than imputed from the same short item set.</w:t>
      </w:r>
    </w:p>
    <w:p w14:paraId="05C6E3E1" w14:textId="77777777" w:rsidR="006B42EB" w:rsidRDefault="00000000">
      <w:pPr>
        <w:pStyle w:val="Heading2"/>
      </w:pPr>
      <w:r>
        <w:rPr>
          <w:rFonts w:ascii="Times New Roman" w:hAnsi="Times New Roman"/>
        </w:rPr>
        <w:t>17.2 Assessment-level missingness</w:t>
      </w:r>
    </w:p>
    <w:p w14:paraId="3A20E271" w14:textId="77777777" w:rsidR="006B42EB" w:rsidRDefault="00000000">
      <w:r>
        <w:t>If the entire primary posttest is missing, the student has no primary outcome row. The primary fixed-effects model is therefore fit to students with observed primary outcomes under the stated MAR assumption conditional on observed treatment, tutor group, baseline mastery, subject, and other collected predictors of missingness.</w:t>
      </w:r>
    </w:p>
    <w:p w14:paraId="1A9BC944" w14:textId="77777777" w:rsidR="006B42EB" w:rsidRDefault="00000000">
      <w:r>
        <w:t>This is not described as mixed-effects likelihood handling. A sensitivity analysis uses a pre-specified pattern-mixture or tipping-point approach to evaluate departures from MAR.</w:t>
      </w:r>
    </w:p>
    <w:p w14:paraId="658502BA" w14:textId="77777777" w:rsidR="006B42EB" w:rsidRDefault="00000000">
      <w:pPr>
        <w:pStyle w:val="Heading2"/>
      </w:pPr>
      <w:r>
        <w:rPr>
          <w:rFonts w:ascii="Times New Roman" w:hAnsi="Times New Roman"/>
        </w:rPr>
        <w:t>17.3 Dropout</w:t>
      </w:r>
    </w:p>
    <w:p w14:paraId="3AC68F49" w14:textId="77777777" w:rsidR="006B42EB" w:rsidRDefault="00000000">
      <w:r>
        <w:t>Leaving the study before post-intervention measurement is recorded separately from partial item nonresponse and assessment-day missingness. Attrition is reported by subject and randomized condition.</w:t>
      </w:r>
    </w:p>
    <w:p w14:paraId="6E73A4B4" w14:textId="77777777" w:rsidR="006B42EB" w:rsidRDefault="00000000">
      <w:pPr>
        <w:pStyle w:val="Heading1"/>
      </w:pPr>
      <w:r>
        <w:rPr>
          <w:rFonts w:ascii="Times New Roman" w:hAnsi="Times New Roman"/>
        </w:rPr>
        <w:t>18. Contamination, adherence, and protocol deviations</w:t>
      </w:r>
    </w:p>
    <w:tbl>
      <w:tblPr>
        <w:tblStyle w:val="TableGrid"/>
        <w:tblW w:w="0" w:type="auto"/>
        <w:jc w:val="center"/>
        <w:tblLook w:val="04A0" w:firstRow="1" w:lastRow="0" w:firstColumn="1" w:lastColumn="0" w:noHBand="0" w:noVBand="1"/>
      </w:tblPr>
      <w:tblGrid>
        <w:gridCol w:w="3202"/>
        <w:gridCol w:w="3202"/>
        <w:gridCol w:w="3172"/>
      </w:tblGrid>
      <w:tr w:rsidR="006B42EB" w14:paraId="41138C4C" w14:textId="77777777">
        <w:trPr>
          <w:jc w:val="center"/>
        </w:trPr>
        <w:tc>
          <w:tcPr>
            <w:tcW w:w="3312" w:type="dxa"/>
            <w:vAlign w:val="center"/>
          </w:tcPr>
          <w:p w14:paraId="65828EA4" w14:textId="77777777" w:rsidR="006B42EB" w:rsidRDefault="00000000">
            <w:pPr>
              <w:spacing w:after="40"/>
            </w:pPr>
            <w:r>
              <w:rPr>
                <w:b/>
                <w:sz w:val="19"/>
              </w:rPr>
              <w:t>Construct</w:t>
            </w:r>
          </w:p>
        </w:tc>
        <w:tc>
          <w:tcPr>
            <w:tcW w:w="3312" w:type="dxa"/>
            <w:vAlign w:val="center"/>
          </w:tcPr>
          <w:p w14:paraId="5CA71027" w14:textId="77777777" w:rsidR="006B42EB" w:rsidRDefault="00000000">
            <w:pPr>
              <w:spacing w:after="40"/>
            </w:pPr>
            <w:r>
              <w:rPr>
                <w:b/>
                <w:sz w:val="19"/>
              </w:rPr>
              <w:t>Definition</w:t>
            </w:r>
          </w:p>
        </w:tc>
        <w:tc>
          <w:tcPr>
            <w:tcW w:w="3312" w:type="dxa"/>
            <w:vAlign w:val="center"/>
          </w:tcPr>
          <w:p w14:paraId="10239B90" w14:textId="77777777" w:rsidR="006B42EB" w:rsidRDefault="00000000">
            <w:pPr>
              <w:spacing w:after="40"/>
            </w:pPr>
            <w:r>
              <w:rPr>
                <w:b/>
                <w:sz w:val="19"/>
              </w:rPr>
              <w:t>Primary handling</w:t>
            </w:r>
          </w:p>
        </w:tc>
      </w:tr>
      <w:tr w:rsidR="006B42EB" w14:paraId="3147E7F4" w14:textId="77777777">
        <w:trPr>
          <w:jc w:val="center"/>
        </w:trPr>
        <w:tc>
          <w:tcPr>
            <w:tcW w:w="3312" w:type="dxa"/>
            <w:vAlign w:val="center"/>
          </w:tcPr>
          <w:p w14:paraId="25FA272A" w14:textId="77777777" w:rsidR="006B42EB" w:rsidRDefault="00000000">
            <w:pPr>
              <w:spacing w:after="40"/>
            </w:pPr>
            <w:r>
              <w:rPr>
                <w:sz w:val="19"/>
              </w:rPr>
              <w:t>Awareness</w:t>
            </w:r>
          </w:p>
        </w:tc>
        <w:tc>
          <w:tcPr>
            <w:tcW w:w="3312" w:type="dxa"/>
            <w:vAlign w:val="center"/>
          </w:tcPr>
          <w:p w14:paraId="08BD2AC9" w14:textId="77777777" w:rsidR="006B42EB" w:rsidRDefault="00000000">
            <w:pPr>
              <w:spacing w:after="40"/>
            </w:pPr>
            <w:r>
              <w:rPr>
                <w:sz w:val="19"/>
              </w:rPr>
              <w:t>Student knows another student is using a different sequence.</w:t>
            </w:r>
          </w:p>
        </w:tc>
        <w:tc>
          <w:tcPr>
            <w:tcW w:w="3312" w:type="dxa"/>
            <w:vAlign w:val="center"/>
          </w:tcPr>
          <w:p w14:paraId="5C1F2128" w14:textId="77777777" w:rsidR="006B42EB" w:rsidRDefault="00000000">
            <w:pPr>
              <w:spacing w:after="40"/>
            </w:pPr>
            <w:r>
              <w:rPr>
                <w:sz w:val="19"/>
              </w:rPr>
              <w:t>Contextual measure only.</w:t>
            </w:r>
          </w:p>
        </w:tc>
      </w:tr>
      <w:tr w:rsidR="006B42EB" w14:paraId="72035DC4" w14:textId="77777777">
        <w:trPr>
          <w:jc w:val="center"/>
        </w:trPr>
        <w:tc>
          <w:tcPr>
            <w:tcW w:w="3312" w:type="dxa"/>
            <w:vAlign w:val="center"/>
          </w:tcPr>
          <w:p w14:paraId="2E9A4F1D" w14:textId="77777777" w:rsidR="006B42EB" w:rsidRDefault="00000000">
            <w:pPr>
              <w:spacing w:after="40"/>
            </w:pPr>
            <w:r>
              <w:rPr>
                <w:sz w:val="19"/>
              </w:rPr>
              <w:t>Exposure</w:t>
            </w:r>
          </w:p>
        </w:tc>
        <w:tc>
          <w:tcPr>
            <w:tcW w:w="3312" w:type="dxa"/>
            <w:vAlign w:val="center"/>
          </w:tcPr>
          <w:p w14:paraId="70D9CC58" w14:textId="77777777" w:rsidR="006B42EB" w:rsidRDefault="00000000">
            <w:pPr>
              <w:spacing w:after="40"/>
            </w:pPr>
            <w:r>
              <w:rPr>
                <w:sz w:val="19"/>
              </w:rPr>
              <w:t>Student actually accesses another condition's material or recommendation.</w:t>
            </w:r>
          </w:p>
        </w:tc>
        <w:tc>
          <w:tcPr>
            <w:tcW w:w="3312" w:type="dxa"/>
            <w:vAlign w:val="center"/>
          </w:tcPr>
          <w:p w14:paraId="6E8150BD" w14:textId="77777777" w:rsidR="006B42EB" w:rsidRDefault="00000000">
            <w:pPr>
              <w:spacing w:after="40"/>
            </w:pPr>
            <w:r>
              <w:rPr>
                <w:sz w:val="19"/>
              </w:rPr>
              <w:t>Sensitivity analysis.</w:t>
            </w:r>
          </w:p>
        </w:tc>
      </w:tr>
      <w:tr w:rsidR="006B42EB" w14:paraId="42D87520" w14:textId="77777777">
        <w:trPr>
          <w:jc w:val="center"/>
        </w:trPr>
        <w:tc>
          <w:tcPr>
            <w:tcW w:w="3312" w:type="dxa"/>
            <w:vAlign w:val="center"/>
          </w:tcPr>
          <w:p w14:paraId="063112D4" w14:textId="77777777" w:rsidR="006B42EB" w:rsidRDefault="00000000">
            <w:pPr>
              <w:spacing w:after="40"/>
            </w:pPr>
            <w:r>
              <w:rPr>
                <w:sz w:val="19"/>
              </w:rPr>
              <w:t>Behavioral contamination</w:t>
            </w:r>
          </w:p>
        </w:tc>
        <w:tc>
          <w:tcPr>
            <w:tcW w:w="3312" w:type="dxa"/>
            <w:vAlign w:val="center"/>
          </w:tcPr>
          <w:p w14:paraId="23AC14C7" w14:textId="77777777" w:rsidR="006B42EB" w:rsidRDefault="00000000">
            <w:pPr>
              <w:spacing w:after="40"/>
            </w:pPr>
            <w:r>
              <w:rPr>
                <w:sz w:val="19"/>
              </w:rPr>
              <w:t>Student changes learning behavior because of cross-condition exposure.</w:t>
            </w:r>
          </w:p>
        </w:tc>
        <w:tc>
          <w:tcPr>
            <w:tcW w:w="3312" w:type="dxa"/>
            <w:vAlign w:val="center"/>
          </w:tcPr>
          <w:p w14:paraId="1BA5CDE4" w14:textId="77777777" w:rsidR="006B42EB" w:rsidRDefault="00000000">
            <w:pPr>
              <w:spacing w:after="40"/>
            </w:pPr>
            <w:r>
              <w:rPr>
                <w:sz w:val="19"/>
              </w:rPr>
              <w:t>Sensitivity analysis.</w:t>
            </w:r>
          </w:p>
        </w:tc>
      </w:tr>
      <w:tr w:rsidR="006B42EB" w14:paraId="6CE2CC3C" w14:textId="77777777">
        <w:trPr>
          <w:jc w:val="center"/>
        </w:trPr>
        <w:tc>
          <w:tcPr>
            <w:tcW w:w="3312" w:type="dxa"/>
            <w:vAlign w:val="center"/>
          </w:tcPr>
          <w:p w14:paraId="0512298A" w14:textId="77777777" w:rsidR="006B42EB" w:rsidRDefault="00000000">
            <w:pPr>
              <w:spacing w:after="40"/>
            </w:pPr>
            <w:r>
              <w:rPr>
                <w:sz w:val="19"/>
              </w:rPr>
              <w:t>Recommendation adherence</w:t>
            </w:r>
          </w:p>
        </w:tc>
        <w:tc>
          <w:tcPr>
            <w:tcW w:w="3312" w:type="dxa"/>
            <w:vAlign w:val="center"/>
          </w:tcPr>
          <w:p w14:paraId="24D04F9A" w14:textId="77777777" w:rsidR="006B42EB" w:rsidRDefault="00000000">
            <w:pPr>
              <w:spacing w:after="40"/>
            </w:pPr>
            <w:r>
              <w:rPr>
                <w:sz w:val="19"/>
              </w:rPr>
              <w:t>Student follows the assigned Step Zero recommendation when an eligible opportunity occurs.</w:t>
            </w:r>
          </w:p>
        </w:tc>
        <w:tc>
          <w:tcPr>
            <w:tcW w:w="3312" w:type="dxa"/>
            <w:vAlign w:val="center"/>
          </w:tcPr>
          <w:p w14:paraId="668A90D3" w14:textId="77777777" w:rsidR="006B42EB" w:rsidRDefault="00000000">
            <w:pPr>
              <w:spacing w:after="40"/>
            </w:pPr>
            <w:r>
              <w:rPr>
                <w:sz w:val="19"/>
              </w:rPr>
              <w:t>Process metric; per-protocol sensitivity.</w:t>
            </w:r>
          </w:p>
        </w:tc>
      </w:tr>
      <w:tr w:rsidR="006B42EB" w14:paraId="2E4EC004" w14:textId="77777777">
        <w:trPr>
          <w:jc w:val="center"/>
        </w:trPr>
        <w:tc>
          <w:tcPr>
            <w:tcW w:w="3312" w:type="dxa"/>
            <w:vAlign w:val="center"/>
          </w:tcPr>
          <w:p w14:paraId="53C214FA" w14:textId="77777777" w:rsidR="006B42EB" w:rsidRDefault="00000000">
            <w:pPr>
              <w:spacing w:after="40"/>
            </w:pPr>
            <w:r>
              <w:rPr>
                <w:sz w:val="19"/>
              </w:rPr>
              <w:t>Tutor deviation</w:t>
            </w:r>
          </w:p>
        </w:tc>
        <w:tc>
          <w:tcPr>
            <w:tcW w:w="3312" w:type="dxa"/>
            <w:vAlign w:val="center"/>
          </w:tcPr>
          <w:p w14:paraId="57ABAC56" w14:textId="77777777" w:rsidR="006B42EB" w:rsidRDefault="00000000">
            <w:pPr>
              <w:spacing w:after="40"/>
            </w:pPr>
            <w:r>
              <w:rPr>
                <w:sz w:val="19"/>
              </w:rPr>
              <w:t>Tutor provides non-standard instruction or sequence intervention.</w:t>
            </w:r>
          </w:p>
        </w:tc>
        <w:tc>
          <w:tcPr>
            <w:tcW w:w="3312" w:type="dxa"/>
            <w:vAlign w:val="center"/>
          </w:tcPr>
          <w:p w14:paraId="6FFF4032" w14:textId="77777777" w:rsidR="006B42EB" w:rsidRDefault="00000000">
            <w:pPr>
              <w:spacing w:after="40"/>
            </w:pPr>
            <w:r>
              <w:rPr>
                <w:sz w:val="19"/>
              </w:rPr>
              <w:t>Fidelity monitoring and sensitivity analysis.</w:t>
            </w:r>
          </w:p>
        </w:tc>
      </w:tr>
    </w:tbl>
    <w:p w14:paraId="1E292B0D" w14:textId="77777777" w:rsidR="006B42EB" w:rsidRDefault="006B42EB"/>
    <w:p w14:paraId="2C656425" w14:textId="77777777" w:rsidR="006B42EB" w:rsidRDefault="00000000">
      <w:r>
        <w:t>The primary analysis remains ITT. Students are not removed from the primary analysis because they deviated or were contaminated.</w:t>
      </w:r>
    </w:p>
    <w:p w14:paraId="48BFB1CA" w14:textId="77777777" w:rsidR="006B42EB" w:rsidRDefault="00000000">
      <w:pPr>
        <w:pStyle w:val="Heading1"/>
      </w:pPr>
      <w:r>
        <w:rPr>
          <w:rFonts w:ascii="Times New Roman" w:hAnsi="Times New Roman"/>
        </w:rPr>
        <w:t>19. Multiplicity and evidentiary hierarchy</w:t>
      </w:r>
    </w:p>
    <w:tbl>
      <w:tblPr>
        <w:tblStyle w:val="TableGrid"/>
        <w:tblW w:w="0" w:type="auto"/>
        <w:jc w:val="center"/>
        <w:tblLook w:val="04A0" w:firstRow="1" w:lastRow="0" w:firstColumn="1" w:lastColumn="0" w:noHBand="0" w:noVBand="1"/>
      </w:tblPr>
      <w:tblGrid>
        <w:gridCol w:w="3175"/>
        <w:gridCol w:w="3230"/>
        <w:gridCol w:w="3171"/>
      </w:tblGrid>
      <w:tr w:rsidR="006B42EB" w14:paraId="1E954974" w14:textId="77777777">
        <w:trPr>
          <w:jc w:val="center"/>
        </w:trPr>
        <w:tc>
          <w:tcPr>
            <w:tcW w:w="3312" w:type="dxa"/>
            <w:vAlign w:val="center"/>
          </w:tcPr>
          <w:p w14:paraId="7D145DC2" w14:textId="77777777" w:rsidR="006B42EB" w:rsidRDefault="00000000">
            <w:pPr>
              <w:spacing w:after="40"/>
            </w:pPr>
            <w:r>
              <w:rPr>
                <w:b/>
                <w:sz w:val="19"/>
              </w:rPr>
              <w:t>Tier</w:t>
            </w:r>
          </w:p>
        </w:tc>
        <w:tc>
          <w:tcPr>
            <w:tcW w:w="3312" w:type="dxa"/>
            <w:vAlign w:val="center"/>
          </w:tcPr>
          <w:p w14:paraId="115DD158" w14:textId="77777777" w:rsidR="006B42EB" w:rsidRDefault="00000000">
            <w:pPr>
              <w:spacing w:after="40"/>
            </w:pPr>
            <w:r>
              <w:rPr>
                <w:b/>
                <w:sz w:val="19"/>
              </w:rPr>
              <w:t>Analyses</w:t>
            </w:r>
          </w:p>
        </w:tc>
        <w:tc>
          <w:tcPr>
            <w:tcW w:w="3312" w:type="dxa"/>
            <w:vAlign w:val="center"/>
          </w:tcPr>
          <w:p w14:paraId="5734C5CE" w14:textId="77777777" w:rsidR="006B42EB" w:rsidRDefault="00000000">
            <w:pPr>
              <w:spacing w:after="40"/>
            </w:pPr>
            <w:r>
              <w:rPr>
                <w:b/>
                <w:sz w:val="19"/>
              </w:rPr>
              <w:t>Multiplicity</w:t>
            </w:r>
          </w:p>
        </w:tc>
      </w:tr>
      <w:tr w:rsidR="006B42EB" w14:paraId="591789D4" w14:textId="77777777">
        <w:trPr>
          <w:jc w:val="center"/>
        </w:trPr>
        <w:tc>
          <w:tcPr>
            <w:tcW w:w="3312" w:type="dxa"/>
            <w:vAlign w:val="center"/>
          </w:tcPr>
          <w:p w14:paraId="602FA3E8" w14:textId="77777777" w:rsidR="006B42EB" w:rsidRDefault="00000000">
            <w:pPr>
              <w:spacing w:after="40"/>
            </w:pPr>
            <w:r>
              <w:rPr>
                <w:sz w:val="19"/>
              </w:rPr>
              <w:t>Confirmatory</w:t>
            </w:r>
          </w:p>
        </w:tc>
        <w:tc>
          <w:tcPr>
            <w:tcW w:w="3312" w:type="dxa"/>
            <w:vAlign w:val="center"/>
          </w:tcPr>
          <w:p w14:paraId="1EAFE109" w14:textId="77777777" w:rsidR="006B42EB" w:rsidRDefault="00000000">
            <w:pPr>
              <w:spacing w:after="40"/>
            </w:pPr>
            <w:r>
              <w:rPr>
                <w:sz w:val="19"/>
              </w:rPr>
              <w:t xml:space="preserve">One pooled student-weighted treatment effect on the primary standardized </w:t>
            </w:r>
            <w:r>
              <w:rPr>
                <w:sz w:val="19"/>
              </w:rPr>
              <w:lastRenderedPageBreak/>
              <w:t>posttest.</w:t>
            </w:r>
          </w:p>
        </w:tc>
        <w:tc>
          <w:tcPr>
            <w:tcW w:w="3312" w:type="dxa"/>
            <w:vAlign w:val="center"/>
          </w:tcPr>
          <w:p w14:paraId="5C58E35F" w14:textId="7660D8E1" w:rsidR="006B42EB" w:rsidRDefault="00062A24">
            <w:pPr>
              <w:spacing w:after="40"/>
            </w:pPr>
            <w:r w:rsidRPr="00062A24">
              <w:rPr>
                <w:sz w:val="19"/>
              </w:rPr>
              <w:lastRenderedPageBreak/>
              <w:t xml:space="preserve">No multiplicity correction is applied to the primary confirmatory test </w:t>
            </w:r>
            <w:r w:rsidRPr="00062A24">
              <w:rPr>
                <w:sz w:val="19"/>
              </w:rPr>
              <w:lastRenderedPageBreak/>
              <w:t xml:space="preserve">beyond the prespecified one-sided </w:t>
            </w:r>
            <m:oMath>
              <m:r>
                <w:rPr>
                  <w:rFonts w:ascii="Cambria Math" w:hAnsi="Cambria Math"/>
                  <w:sz w:val="19"/>
                </w:rPr>
                <m:t>α=0.05</m:t>
              </m:r>
            </m:oMath>
            <w:r w:rsidR="009B0F45">
              <w:rPr>
                <w:sz w:val="19"/>
              </w:rPr>
              <w:t xml:space="preserve"> </w:t>
            </w:r>
            <w:r w:rsidRPr="00062A24">
              <w:rPr>
                <w:sz w:val="19"/>
              </w:rPr>
              <w:t>threshold. Secondary inferential families are handled according to the multiplicity procedure specified above.</w:t>
            </w:r>
          </w:p>
        </w:tc>
      </w:tr>
      <w:tr w:rsidR="006B42EB" w14:paraId="672C2092" w14:textId="77777777">
        <w:trPr>
          <w:jc w:val="center"/>
        </w:trPr>
        <w:tc>
          <w:tcPr>
            <w:tcW w:w="3312" w:type="dxa"/>
            <w:vAlign w:val="center"/>
          </w:tcPr>
          <w:p w14:paraId="770F6D71" w14:textId="77777777" w:rsidR="006B42EB" w:rsidRDefault="00000000">
            <w:pPr>
              <w:spacing w:after="40"/>
            </w:pPr>
            <w:r>
              <w:rPr>
                <w:sz w:val="19"/>
              </w:rPr>
              <w:lastRenderedPageBreak/>
              <w:t>Secondary inferential</w:t>
            </w:r>
          </w:p>
        </w:tc>
        <w:tc>
          <w:tcPr>
            <w:tcW w:w="3312" w:type="dxa"/>
            <w:vAlign w:val="center"/>
          </w:tcPr>
          <w:p w14:paraId="25E689AE" w14:textId="77777777" w:rsidR="006B42EB" w:rsidRDefault="00000000">
            <w:pPr>
              <w:spacing w:after="40"/>
            </w:pPr>
            <w:r>
              <w:rPr>
                <w:sz w:val="19"/>
              </w:rPr>
              <w:t>Subject-specific effects,</w:t>
            </w:r>
            <m:oMath>
              <m:r>
                <w:rPr>
                  <w:rFonts w:ascii="Cambria Math" w:hAnsi="Cambria Math"/>
                </w:rPr>
                <m:t>Treatment × Subject</m:t>
              </m:r>
            </m:oMath>
            <w:r>
              <w:rPr>
                <w:sz w:val="19"/>
              </w:rPr>
              <w:t>interaction, concepts mastered, proportion unmastered, time to mastery.</w:t>
            </w:r>
          </w:p>
        </w:tc>
        <w:tc>
          <w:tcPr>
            <w:tcW w:w="3312" w:type="dxa"/>
            <w:vAlign w:val="center"/>
          </w:tcPr>
          <w:p w14:paraId="183C94FB" w14:textId="77777777" w:rsidR="006B42EB" w:rsidRDefault="00000000">
            <w:pPr>
              <w:spacing w:after="40"/>
            </w:pPr>
            <w:r>
              <w:rPr>
                <w:sz w:val="19"/>
              </w:rPr>
              <w:t>Secondary outcome family controlled using Holm-Bonferroni where a family-wise inferential claim is made.</w:t>
            </w:r>
          </w:p>
        </w:tc>
      </w:tr>
      <w:tr w:rsidR="006B42EB" w14:paraId="7726EF56" w14:textId="77777777">
        <w:trPr>
          <w:jc w:val="center"/>
        </w:trPr>
        <w:tc>
          <w:tcPr>
            <w:tcW w:w="3312" w:type="dxa"/>
            <w:vAlign w:val="center"/>
          </w:tcPr>
          <w:p w14:paraId="22EA7481" w14:textId="77777777" w:rsidR="006B42EB" w:rsidRDefault="00000000">
            <w:pPr>
              <w:spacing w:after="40"/>
            </w:pPr>
            <w:r>
              <w:rPr>
                <w:sz w:val="19"/>
              </w:rPr>
              <w:t>Exploratory</w:t>
            </w:r>
          </w:p>
        </w:tc>
        <w:tc>
          <w:tcPr>
            <w:tcW w:w="3312" w:type="dxa"/>
            <w:vAlign w:val="center"/>
          </w:tcPr>
          <w:p w14:paraId="17844F2F" w14:textId="77777777" w:rsidR="006B42EB" w:rsidRDefault="00000000">
            <w:pPr>
              <w:spacing w:after="40"/>
            </w:pPr>
            <w:r>
              <w:rPr>
                <w:sz w:val="19"/>
              </w:rPr>
              <w:t>SQ4 weighting sensitivity, prior-mastery moderation, other process analyses, SQ2-to-SQ3 structural comparison.</w:t>
            </w:r>
          </w:p>
        </w:tc>
        <w:tc>
          <w:tcPr>
            <w:tcW w:w="3312" w:type="dxa"/>
            <w:vAlign w:val="center"/>
          </w:tcPr>
          <w:p w14:paraId="49DE7B24" w14:textId="77777777" w:rsidR="006B42EB" w:rsidRDefault="00000000">
            <w:pPr>
              <w:spacing w:after="40"/>
            </w:pPr>
            <w:r>
              <w:rPr>
                <w:sz w:val="19"/>
              </w:rPr>
              <w:t>No confirmatory multiplicity claim; explicitly labeled exploratory.</w:t>
            </w:r>
          </w:p>
        </w:tc>
      </w:tr>
    </w:tbl>
    <w:p w14:paraId="2BB8BF96" w14:textId="77777777" w:rsidR="006B42EB" w:rsidRDefault="006B42EB"/>
    <w:p w14:paraId="699AB562" w14:textId="77777777" w:rsidR="006B42EB" w:rsidRDefault="00000000">
      <w:r>
        <w:t>Pre-registration does not upgrade an analysis to confirmatory status. Evidentiary tier is determined by the protocol's hierarchy.</w:t>
      </w:r>
    </w:p>
    <w:p w14:paraId="6F2D4CE9" w14:textId="77777777" w:rsidR="006B42EB" w:rsidRDefault="00000000">
      <w:pPr>
        <w:pStyle w:val="Heading1"/>
      </w:pPr>
      <w:r>
        <w:rPr>
          <w:rFonts w:ascii="Times New Roman" w:hAnsi="Times New Roman"/>
        </w:rPr>
        <w:t>20. Data management and reproducibility</w:t>
      </w:r>
    </w:p>
    <w:p w14:paraId="37EC7E75" w14:textId="77777777" w:rsidR="006B42EB" w:rsidRDefault="00000000">
      <w:pPr>
        <w:pStyle w:val="ListBullet"/>
      </w:pPr>
      <w:r>
        <w:t>All analysis code is version-controlled.</w:t>
      </w:r>
    </w:p>
    <w:p w14:paraId="06BC1311" w14:textId="77777777" w:rsidR="006B42EB" w:rsidRDefault="00000000">
      <w:pPr>
        <w:pStyle w:val="ListBullet"/>
      </w:pPr>
      <w:r>
        <w:t>Randomization seeds and generation scripts are archived.</w:t>
      </w:r>
    </w:p>
    <w:p w14:paraId="78342E5E" w14:textId="77777777" w:rsidR="006B42EB" w:rsidRDefault="00000000">
      <w:pPr>
        <w:pStyle w:val="ListBullet"/>
      </w:pPr>
      <w:r>
        <w:t>Each subject's validated graph version is archived.</w:t>
      </w:r>
    </w:p>
    <w:p w14:paraId="04E3B906" w14:textId="77777777" w:rsidR="006B42EB" w:rsidRDefault="00000000">
      <w:pPr>
        <w:pStyle w:val="ListBullet"/>
      </w:pPr>
      <w:r>
        <w:t>Assessment item banks and scoring keys are archived separately from intervention software.</w:t>
      </w:r>
    </w:p>
    <w:p w14:paraId="2F3DCBCF" w14:textId="77777777" w:rsidR="006B42EB" w:rsidRDefault="00000000">
      <w:pPr>
        <w:pStyle w:val="ListBullet"/>
      </w:pPr>
      <w:r>
        <w:t>Comparator source versions and resulting sequences are archived.</w:t>
      </w:r>
    </w:p>
    <w:p w14:paraId="70C0999D" w14:textId="77777777" w:rsidR="006B42EB" w:rsidRDefault="00000000">
      <w:pPr>
        <w:pStyle w:val="ListBullet"/>
      </w:pPr>
      <w:r>
        <w:t>The exact intervention configuration, configuration hash e978c427c58929df, and frozen v1.0 engine commit f3460b19d61429d7766a765a7141fa80815ecf88 are archived before confirmatory recruitment.</w:t>
      </w:r>
    </w:p>
    <w:p w14:paraId="27D21EF0" w14:textId="77777777" w:rsidR="006B42EB" w:rsidRDefault="00000000">
      <w:pPr>
        <w:pStyle w:val="ListBullet"/>
      </w:pPr>
      <w:r>
        <w:t>Student-level analysis data are de-identified.</w:t>
      </w:r>
    </w:p>
    <w:p w14:paraId="42F99D40" w14:textId="77777777" w:rsidR="006B42EB" w:rsidRDefault="00000000">
      <w:pPr>
        <w:pStyle w:val="ListBullet"/>
      </w:pPr>
      <w:r>
        <w:t>Re-identification keys are stored separately under appropriate access control.</w:t>
      </w:r>
    </w:p>
    <w:p w14:paraId="7D1285B3" w14:textId="77777777" w:rsidR="006B42EB" w:rsidRDefault="00000000">
      <w:pPr>
        <w:pStyle w:val="ListBullet"/>
      </w:pPr>
      <w:r>
        <w:t>Primary analysis scripts are frozen before outcome analysis.</w:t>
      </w:r>
    </w:p>
    <w:p w14:paraId="4AA021FB" w14:textId="77777777" w:rsidR="006B42EB" w:rsidRDefault="00000000">
      <w:r>
        <w:t>The v1.0 computational baseline remains frozen. Research-study infrastructure may be added around it, but changes to v1.0 engine behavior are not silently incorporated into the confirmatory intervention.</w:t>
      </w:r>
    </w:p>
    <w:p w14:paraId="7C44810F" w14:textId="77777777" w:rsidR="006B42EB" w:rsidRDefault="00000000">
      <w:pPr>
        <w:pStyle w:val="Heading1"/>
      </w:pPr>
      <w:r>
        <w:rPr>
          <w:rFonts w:ascii="Times New Roman" w:hAnsi="Times New Roman"/>
        </w:rPr>
        <w:t>21. End-to-end freeze and dependency chain</w:t>
      </w:r>
    </w:p>
    <w:p w14:paraId="6B180559" w14:textId="77777777" w:rsidR="006B42EB" w:rsidRDefault="00000000">
      <w:pPr>
        <w:pStyle w:val="ListNumber"/>
      </w:pPr>
      <w:r>
        <w:t>Shared v1.0 computational baseline freeze.</w:t>
      </w:r>
    </w:p>
    <w:p w14:paraId="13920C90" w14:textId="77777777" w:rsidR="006B42EB" w:rsidRDefault="00000000">
      <w:pPr>
        <w:pStyle w:val="ListNumber"/>
      </w:pPr>
      <w:r>
        <w:t>Subject expert recruitment.</w:t>
      </w:r>
    </w:p>
    <w:p w14:paraId="64F8B312" w14:textId="77777777" w:rsidR="006B42EB" w:rsidRDefault="00000000">
      <w:pPr>
        <w:pStyle w:val="ListNumber"/>
      </w:pPr>
      <w:r>
        <w:t>SQ1 independent expert ratings.</w:t>
      </w:r>
    </w:p>
    <w:p w14:paraId="33FAB3AC" w14:textId="77777777" w:rsidR="006B42EB" w:rsidRDefault="00000000">
      <w:pPr>
        <w:pStyle w:val="ListNumber"/>
      </w:pPr>
      <w:r>
        <w:t>SQ1 agreement analysis and qualitative adjudication.</w:t>
      </w:r>
    </w:p>
    <w:p w14:paraId="33CBAA2C" w14:textId="77777777" w:rsidR="006B42EB" w:rsidRDefault="00000000">
      <w:pPr>
        <w:pStyle w:val="ListNumber"/>
      </w:pPr>
      <w:r>
        <w:t>Subject graph revision, if required.</w:t>
      </w:r>
    </w:p>
    <w:p w14:paraId="274C27E9" w14:textId="77777777" w:rsidR="006B42EB" w:rsidRDefault="00000000">
      <w:pPr>
        <w:pStyle w:val="ListNumber"/>
      </w:pPr>
      <w:r>
        <w:t>Mandatory revalidation of revised graph components.</w:t>
      </w:r>
    </w:p>
    <w:p w14:paraId="2FA3EBE3" w14:textId="77777777" w:rsidR="006B42EB" w:rsidRDefault="00000000">
      <w:pPr>
        <w:pStyle w:val="ListNumber"/>
      </w:pPr>
      <w:r>
        <w:t>Subject graph freeze.</w:t>
      </w:r>
    </w:p>
    <w:p w14:paraId="3E9D3FED" w14:textId="77777777" w:rsidR="006B42EB" w:rsidRDefault="00000000">
      <w:pPr>
        <w:pStyle w:val="ListNumber"/>
      </w:pPr>
      <w:r>
        <w:t>Independent assessment development.</w:t>
      </w:r>
    </w:p>
    <w:p w14:paraId="31AA467C" w14:textId="77777777" w:rsidR="006B42EB" w:rsidRDefault="00000000">
      <w:pPr>
        <w:pStyle w:val="ListNumber"/>
      </w:pPr>
      <w:r>
        <w:t>Assessment pilot and validation.</w:t>
      </w:r>
    </w:p>
    <w:p w14:paraId="6C5EBF49" w14:textId="77777777" w:rsidR="006B42EB" w:rsidRDefault="00000000">
      <w:pPr>
        <w:pStyle w:val="ListNumber"/>
      </w:pPr>
      <w:r>
        <w:t>Subject assessment freeze, including final</w:t>
      </w:r>
      <m:oMath>
        <m:sSub>
          <m:sSubPr>
            <m:ctrlPr>
              <w:rPr>
                <w:rFonts w:ascii="Cambria Math" w:hAnsi="Cambria Math"/>
              </w:rPr>
            </m:ctrlPr>
          </m:sSubPr>
          <m:e>
            <m:r>
              <w:rPr>
                <w:rFonts w:ascii="Cambria Math" w:hAnsi="Cambria Math"/>
              </w:rPr>
              <m:t>K</m:t>
            </m:r>
          </m:e>
          <m:sub>
            <m:r>
              <w:rPr>
                <w:rFonts w:ascii="Cambria Math" w:hAnsi="Cambria Math"/>
              </w:rPr>
              <m:t>s</m:t>
            </m:r>
          </m:sub>
        </m:sSub>
      </m:oMath>
      <w:r>
        <w:t>.</w:t>
      </w:r>
    </w:p>
    <w:p w14:paraId="09DD5539" w14:textId="77777777" w:rsidR="006B42EB" w:rsidRDefault="00000000">
      <w:pPr>
        <w:pStyle w:val="ListNumber"/>
      </w:pPr>
      <w:r>
        <w:t>External comparator construction and freeze.</w:t>
      </w:r>
    </w:p>
    <w:p w14:paraId="0B1B2F5F" w14:textId="77777777" w:rsidR="006B42EB" w:rsidRDefault="00000000">
      <w:pPr>
        <w:pStyle w:val="ListNumber"/>
      </w:pPr>
      <w:r>
        <w:lastRenderedPageBreak/>
        <w:t>Exact Balanced Step Zero policy and configuration freeze, including the machine-readable artifact and deterministic configuration hash.</w:t>
      </w:r>
    </w:p>
    <w:p w14:paraId="2CF503D0" w14:textId="77777777" w:rsidR="006B42EB" w:rsidRDefault="00000000">
      <w:pPr>
        <w:pStyle w:val="ListNumber"/>
      </w:pPr>
      <w:r>
        <w:t>Subject-specific intervention-window freeze.</w:t>
      </w:r>
    </w:p>
    <w:p w14:paraId="4EA01429" w14:textId="77777777" w:rsidR="006B42EB" w:rsidRDefault="00000000">
      <w:pPr>
        <w:pStyle w:val="ListNumber"/>
      </w:pPr>
      <w:r>
        <w:t>Feasibility pilot.</w:t>
      </w:r>
    </w:p>
    <w:p w14:paraId="6E323B50" w14:textId="77777777" w:rsidR="006B42EB" w:rsidRDefault="00000000">
      <w:pPr>
        <w:pStyle w:val="ListNumber"/>
      </w:pPr>
      <w:r>
        <w:t>Protocol refinement only under pre-specified rules.</w:t>
      </w:r>
    </w:p>
    <w:p w14:paraId="181A64C6" w14:textId="77777777" w:rsidR="006B42EB" w:rsidRDefault="00000000">
      <w:pPr>
        <w:pStyle w:val="ListNumber"/>
      </w:pPr>
      <w:r>
        <w:t>Subject-specific Monte Carlo sample-size addendum.</w:t>
      </w:r>
    </w:p>
    <w:p w14:paraId="4798CB62" w14:textId="77777777" w:rsidR="006B42EB" w:rsidRDefault="00000000">
      <w:pPr>
        <w:pStyle w:val="ListNumber"/>
      </w:pPr>
      <w:r>
        <w:t>Confirmatory recruitment and intervention.</w:t>
      </w:r>
    </w:p>
    <w:p w14:paraId="4BBF4512" w14:textId="77777777" w:rsidR="006B42EB" w:rsidRDefault="00000000">
      <w:pPr>
        <w:pStyle w:val="ListNumber"/>
      </w:pPr>
      <w:r>
        <w:t>No interim confirmatory analysis.</w:t>
      </w:r>
    </w:p>
    <w:p w14:paraId="03C98E8C" w14:textId="77777777" w:rsidR="006B42EB" w:rsidRDefault="00000000">
      <w:pPr>
        <w:pStyle w:val="ListNumber"/>
      </w:pPr>
      <w:r>
        <w:t>After all five cohorts complete: pooled primary analysis, subject-specific analysis, SQ3 interaction analysis, SQ4, and exploratory structural-effect comparison.</w:t>
      </w:r>
    </w:p>
    <w:p w14:paraId="666E3D84" w14:textId="77777777" w:rsidR="006B42EB" w:rsidRDefault="00000000">
      <w:pPr>
        <w:pStyle w:val="ProtocolBox"/>
      </w:pPr>
      <w:r>
        <w:rPr>
          <w:rFonts w:ascii="Times New Roman" w:hAnsi="Times New Roman"/>
          <w:color w:val="000000"/>
        </w:rPr>
        <w:t>No partial pooled primary analysis</w:t>
      </w:r>
      <w:r>
        <w:rPr>
          <w:rFonts w:ascii="Times New Roman" w:hAnsi="Times New Roman"/>
          <w:color w:val="000000"/>
        </w:rPr>
        <w:br/>
        <w:t>The confirmatory pooled effect is computed only after all five subject cohorts have completed confirmatory data collection. Operational data-quality and fidelity monitoring may occur earlier, but no interim efficacy analysis is performed.</w:t>
      </w:r>
    </w:p>
    <w:p w14:paraId="2E3AD4AF" w14:textId="77777777" w:rsidR="006B42EB" w:rsidRDefault="00000000">
      <w:pPr>
        <w:pStyle w:val="Heading1"/>
      </w:pPr>
      <w:r>
        <w:rPr>
          <w:rFonts w:ascii="Times New Roman" w:hAnsi="Times New Roman"/>
        </w:rPr>
        <w:t>22. Assumptions and validity checks</w:t>
      </w:r>
    </w:p>
    <w:tbl>
      <w:tblPr>
        <w:tblStyle w:val="TableGrid"/>
        <w:tblW w:w="0" w:type="auto"/>
        <w:jc w:val="center"/>
        <w:tblLook w:val="04A0" w:firstRow="1" w:lastRow="0" w:firstColumn="1" w:lastColumn="0" w:noHBand="0" w:noVBand="1"/>
      </w:tblPr>
      <w:tblGrid>
        <w:gridCol w:w="3224"/>
        <w:gridCol w:w="3195"/>
        <w:gridCol w:w="3157"/>
      </w:tblGrid>
      <w:tr w:rsidR="006B42EB" w14:paraId="37BA9823" w14:textId="77777777">
        <w:trPr>
          <w:jc w:val="center"/>
        </w:trPr>
        <w:tc>
          <w:tcPr>
            <w:tcW w:w="3312" w:type="dxa"/>
            <w:vAlign w:val="center"/>
          </w:tcPr>
          <w:p w14:paraId="21FE0E59" w14:textId="77777777" w:rsidR="006B42EB" w:rsidRDefault="00000000">
            <w:pPr>
              <w:spacing w:after="40"/>
            </w:pPr>
            <w:r>
              <w:rPr>
                <w:b/>
                <w:sz w:val="19"/>
              </w:rPr>
              <w:t>Assumption / risk</w:t>
            </w:r>
          </w:p>
        </w:tc>
        <w:tc>
          <w:tcPr>
            <w:tcW w:w="3312" w:type="dxa"/>
            <w:vAlign w:val="center"/>
          </w:tcPr>
          <w:p w14:paraId="2A793ED4" w14:textId="77777777" w:rsidR="006B42EB" w:rsidRDefault="00000000">
            <w:pPr>
              <w:spacing w:after="40"/>
            </w:pPr>
            <w:r>
              <w:rPr>
                <w:b/>
                <w:sz w:val="19"/>
              </w:rPr>
              <w:t>Check</w:t>
            </w:r>
          </w:p>
        </w:tc>
        <w:tc>
          <w:tcPr>
            <w:tcW w:w="3312" w:type="dxa"/>
            <w:vAlign w:val="center"/>
          </w:tcPr>
          <w:p w14:paraId="086C2455" w14:textId="77777777" w:rsidR="006B42EB" w:rsidRDefault="00000000">
            <w:pPr>
              <w:spacing w:after="40"/>
            </w:pPr>
            <w:r>
              <w:rPr>
                <w:b/>
                <w:sz w:val="19"/>
              </w:rPr>
              <w:t>Response if problematic</w:t>
            </w:r>
          </w:p>
        </w:tc>
      </w:tr>
      <w:tr w:rsidR="006B42EB" w14:paraId="41991368" w14:textId="77777777">
        <w:trPr>
          <w:jc w:val="center"/>
        </w:trPr>
        <w:tc>
          <w:tcPr>
            <w:tcW w:w="3312" w:type="dxa"/>
            <w:vAlign w:val="center"/>
          </w:tcPr>
          <w:p w14:paraId="0C6B4698" w14:textId="77777777" w:rsidR="006B42EB" w:rsidRDefault="00000000">
            <w:pPr>
              <w:spacing w:after="40"/>
            </w:pPr>
            <w:r>
              <w:rPr>
                <w:sz w:val="19"/>
              </w:rPr>
              <w:t>Randomization integrity</w:t>
            </w:r>
          </w:p>
        </w:tc>
        <w:tc>
          <w:tcPr>
            <w:tcW w:w="3312" w:type="dxa"/>
            <w:vAlign w:val="center"/>
          </w:tcPr>
          <w:p w14:paraId="0A7FDA76" w14:textId="77777777" w:rsidR="006B42EB" w:rsidRDefault="00000000">
            <w:pPr>
              <w:spacing w:after="40"/>
            </w:pPr>
            <w:r>
              <w:rPr>
                <w:sz w:val="19"/>
              </w:rPr>
              <w:t>Audit allocation records and baseline descriptive balance.</w:t>
            </w:r>
          </w:p>
        </w:tc>
        <w:tc>
          <w:tcPr>
            <w:tcW w:w="3312" w:type="dxa"/>
            <w:vAlign w:val="center"/>
          </w:tcPr>
          <w:p w14:paraId="65EC9EE8" w14:textId="77777777" w:rsidR="006B42EB" w:rsidRDefault="00000000">
            <w:pPr>
              <w:spacing w:after="40"/>
            </w:pPr>
            <w:r>
              <w:rPr>
                <w:sz w:val="19"/>
              </w:rPr>
              <w:t>Investigate allocation implementation; do not post hoc alter covariate set.</w:t>
            </w:r>
          </w:p>
        </w:tc>
      </w:tr>
      <w:tr w:rsidR="006B42EB" w14:paraId="0274C449" w14:textId="77777777">
        <w:trPr>
          <w:jc w:val="center"/>
        </w:trPr>
        <w:tc>
          <w:tcPr>
            <w:tcW w:w="3312" w:type="dxa"/>
            <w:vAlign w:val="center"/>
          </w:tcPr>
          <w:p w14:paraId="288A508E" w14:textId="77777777" w:rsidR="006B42EB" w:rsidRDefault="00000000">
            <w:pPr>
              <w:spacing w:after="40"/>
            </w:pPr>
            <w:r>
              <w:rPr>
                <w:sz w:val="19"/>
              </w:rPr>
              <w:t>Tutor implementation consistency</w:t>
            </w:r>
          </w:p>
        </w:tc>
        <w:tc>
          <w:tcPr>
            <w:tcW w:w="3312" w:type="dxa"/>
            <w:vAlign w:val="center"/>
          </w:tcPr>
          <w:p w14:paraId="5D410DE8" w14:textId="77777777" w:rsidR="006B42EB" w:rsidRDefault="00000000">
            <w:pPr>
              <w:spacing w:after="40"/>
            </w:pPr>
            <w:r>
              <w:rPr>
                <w:sz w:val="19"/>
              </w:rPr>
              <w:t>Fidelity logs and tutor reports.</w:t>
            </w:r>
          </w:p>
        </w:tc>
        <w:tc>
          <w:tcPr>
            <w:tcW w:w="3312" w:type="dxa"/>
            <w:vAlign w:val="center"/>
          </w:tcPr>
          <w:p w14:paraId="23BF7192" w14:textId="77777777" w:rsidR="006B42EB" w:rsidRDefault="00000000">
            <w:pPr>
              <w:spacing w:after="40"/>
            </w:pPr>
            <w:r>
              <w:rPr>
                <w:sz w:val="19"/>
              </w:rPr>
              <w:t>Sensitivity analysis and protocol correction before scaling.</w:t>
            </w:r>
          </w:p>
        </w:tc>
      </w:tr>
      <w:tr w:rsidR="006B42EB" w14:paraId="68011AF9" w14:textId="77777777">
        <w:trPr>
          <w:jc w:val="center"/>
        </w:trPr>
        <w:tc>
          <w:tcPr>
            <w:tcW w:w="3312" w:type="dxa"/>
            <w:vAlign w:val="center"/>
          </w:tcPr>
          <w:p w14:paraId="549ADA9E" w14:textId="77777777" w:rsidR="006B42EB" w:rsidRDefault="00000000">
            <w:pPr>
              <w:spacing w:after="40"/>
            </w:pPr>
            <w:r>
              <w:rPr>
                <w:sz w:val="19"/>
              </w:rPr>
              <w:t>Interference/contamination</w:t>
            </w:r>
          </w:p>
        </w:tc>
        <w:tc>
          <w:tcPr>
            <w:tcW w:w="3312" w:type="dxa"/>
            <w:vAlign w:val="center"/>
          </w:tcPr>
          <w:p w14:paraId="53C1BEC9" w14:textId="77777777" w:rsidR="006B42EB" w:rsidRDefault="00000000">
            <w:pPr>
              <w:spacing w:after="40"/>
            </w:pPr>
            <w:r>
              <w:rPr>
                <w:sz w:val="19"/>
              </w:rPr>
              <w:t>Exposure and behavioral contamination measures.</w:t>
            </w:r>
          </w:p>
        </w:tc>
        <w:tc>
          <w:tcPr>
            <w:tcW w:w="3312" w:type="dxa"/>
            <w:vAlign w:val="center"/>
          </w:tcPr>
          <w:p w14:paraId="4AC0F844" w14:textId="77777777" w:rsidR="006B42EB" w:rsidRDefault="00000000">
            <w:pPr>
              <w:spacing w:after="40"/>
            </w:pPr>
            <w:r>
              <w:rPr>
                <w:sz w:val="19"/>
              </w:rPr>
              <w:t>Sensitivity analysis; retain ITT.</w:t>
            </w:r>
          </w:p>
        </w:tc>
      </w:tr>
      <w:tr w:rsidR="006B42EB" w14:paraId="7F9276E8" w14:textId="77777777">
        <w:trPr>
          <w:jc w:val="center"/>
        </w:trPr>
        <w:tc>
          <w:tcPr>
            <w:tcW w:w="3312" w:type="dxa"/>
            <w:vAlign w:val="center"/>
          </w:tcPr>
          <w:p w14:paraId="0D74AD3C" w14:textId="77777777" w:rsidR="006B42EB" w:rsidRDefault="00000000">
            <w:pPr>
              <w:spacing w:after="40"/>
            </w:pPr>
            <w:r>
              <w:rPr>
                <w:sz w:val="19"/>
              </w:rPr>
              <w:t>Linearity of baseline mastery effect</w:t>
            </w:r>
          </w:p>
        </w:tc>
        <w:tc>
          <w:tcPr>
            <w:tcW w:w="3312" w:type="dxa"/>
            <w:vAlign w:val="center"/>
          </w:tcPr>
          <w:p w14:paraId="5026840E" w14:textId="77777777" w:rsidR="006B42EB" w:rsidRDefault="00000000">
            <w:pPr>
              <w:spacing w:after="40"/>
            </w:pPr>
            <w:r>
              <w:rPr>
                <w:sz w:val="19"/>
              </w:rPr>
              <w:t>Residual/model diagnostics.</w:t>
            </w:r>
          </w:p>
        </w:tc>
        <w:tc>
          <w:tcPr>
            <w:tcW w:w="3312" w:type="dxa"/>
            <w:vAlign w:val="center"/>
          </w:tcPr>
          <w:p w14:paraId="70A4DBD5" w14:textId="77777777" w:rsidR="006B42EB" w:rsidRDefault="00000000">
            <w:pPr>
              <w:spacing w:after="40"/>
            </w:pPr>
            <w:r>
              <w:rPr>
                <w:sz w:val="19"/>
              </w:rPr>
              <w:t>Pre-specified nonlinear sensitivity specification if materially violated.</w:t>
            </w:r>
          </w:p>
        </w:tc>
      </w:tr>
      <w:tr w:rsidR="006B42EB" w14:paraId="7B72268E" w14:textId="77777777">
        <w:trPr>
          <w:jc w:val="center"/>
        </w:trPr>
        <w:tc>
          <w:tcPr>
            <w:tcW w:w="3312" w:type="dxa"/>
            <w:vAlign w:val="center"/>
          </w:tcPr>
          <w:p w14:paraId="30E89E4A" w14:textId="77777777" w:rsidR="006B42EB" w:rsidRDefault="00000000">
            <w:pPr>
              <w:spacing w:after="40"/>
            </w:pPr>
            <w:r>
              <w:rPr>
                <w:sz w:val="19"/>
              </w:rPr>
              <w:t>Treatment heterogeneity across subjects</w:t>
            </w:r>
          </w:p>
        </w:tc>
        <w:tc>
          <w:tcPr>
            <w:tcW w:w="3312" w:type="dxa"/>
            <w:vAlign w:val="center"/>
          </w:tcPr>
          <w:p w14:paraId="670D4809" w14:textId="77777777" w:rsidR="006B42EB" w:rsidRDefault="00000000">
            <w:pPr>
              <w:spacing w:after="40"/>
            </w:pPr>
            <m:oMath>
              <m:r>
                <w:rPr>
                  <w:rFonts w:ascii="Cambria Math" w:hAnsi="Cambria Math"/>
                </w:rPr>
                <m:t>Treatment × Subject</m:t>
              </m:r>
            </m:oMath>
            <w:r>
              <w:rPr>
                <w:sz w:val="19"/>
              </w:rPr>
              <w:t>interaction and intervals.</w:t>
            </w:r>
          </w:p>
        </w:tc>
        <w:tc>
          <w:tcPr>
            <w:tcW w:w="3312" w:type="dxa"/>
            <w:vAlign w:val="center"/>
          </w:tcPr>
          <w:p w14:paraId="0391623B" w14:textId="77777777" w:rsidR="006B42EB" w:rsidRDefault="00000000">
            <w:pPr>
              <w:spacing w:after="40"/>
            </w:pPr>
            <w:r>
              <w:rPr>
                <w:sz w:val="19"/>
              </w:rPr>
              <w:t>Report heterogeneity; do not collapse it into a false homogeneous conclusion.</w:t>
            </w:r>
          </w:p>
        </w:tc>
      </w:tr>
      <w:tr w:rsidR="006B42EB" w14:paraId="50D0B20A" w14:textId="77777777">
        <w:trPr>
          <w:jc w:val="center"/>
        </w:trPr>
        <w:tc>
          <w:tcPr>
            <w:tcW w:w="3312" w:type="dxa"/>
            <w:vAlign w:val="center"/>
          </w:tcPr>
          <w:p w14:paraId="653E0D78" w14:textId="77777777" w:rsidR="006B42EB" w:rsidRDefault="00000000">
            <w:pPr>
              <w:spacing w:after="40"/>
            </w:pPr>
            <w:r>
              <w:rPr>
                <w:sz w:val="19"/>
              </w:rPr>
              <w:t>Missingness MAR</w:t>
            </w:r>
          </w:p>
        </w:tc>
        <w:tc>
          <w:tcPr>
            <w:tcW w:w="3312" w:type="dxa"/>
            <w:vAlign w:val="center"/>
          </w:tcPr>
          <w:p w14:paraId="1897A66A" w14:textId="77777777" w:rsidR="006B42EB" w:rsidRDefault="00000000">
            <w:pPr>
              <w:spacing w:after="40"/>
            </w:pPr>
            <w:r>
              <w:rPr>
                <w:sz w:val="19"/>
              </w:rPr>
              <w:t>Missingness by condition/subject and reason; MNAR sensitivity.</w:t>
            </w:r>
          </w:p>
        </w:tc>
        <w:tc>
          <w:tcPr>
            <w:tcW w:w="3312" w:type="dxa"/>
            <w:vAlign w:val="center"/>
          </w:tcPr>
          <w:p w14:paraId="0CD7E09D" w14:textId="77777777" w:rsidR="006B42EB" w:rsidRDefault="00000000">
            <w:pPr>
              <w:spacing w:after="40"/>
            </w:pPr>
            <w:r>
              <w:rPr>
                <w:sz w:val="19"/>
              </w:rPr>
              <w:t>Report tipping-point/pattern-mixture results.</w:t>
            </w:r>
          </w:p>
        </w:tc>
      </w:tr>
      <w:tr w:rsidR="006B42EB" w14:paraId="03F83263" w14:textId="77777777">
        <w:trPr>
          <w:jc w:val="center"/>
        </w:trPr>
        <w:tc>
          <w:tcPr>
            <w:tcW w:w="3312" w:type="dxa"/>
            <w:vAlign w:val="center"/>
          </w:tcPr>
          <w:p w14:paraId="714AFCA7" w14:textId="77777777" w:rsidR="006B42EB" w:rsidRDefault="00000000">
            <w:pPr>
              <w:spacing w:after="40"/>
            </w:pPr>
            <w:r>
              <w:rPr>
                <w:sz w:val="19"/>
              </w:rPr>
              <w:t>Assessment quality</w:t>
            </w:r>
          </w:p>
        </w:tc>
        <w:tc>
          <w:tcPr>
            <w:tcW w:w="3312" w:type="dxa"/>
            <w:vAlign w:val="center"/>
          </w:tcPr>
          <w:p w14:paraId="64CB7665" w14:textId="77777777" w:rsidR="006B42EB" w:rsidRDefault="00000000">
            <w:pPr>
              <w:spacing w:after="40"/>
            </w:pPr>
            <w:r>
              <w:rPr>
                <w:sz w:val="19"/>
              </w:rPr>
              <w:t>Pilot item statistics and expert review.</w:t>
            </w:r>
          </w:p>
        </w:tc>
        <w:tc>
          <w:tcPr>
            <w:tcW w:w="3312" w:type="dxa"/>
            <w:vAlign w:val="center"/>
          </w:tcPr>
          <w:p w14:paraId="6C89F7E6" w14:textId="77777777" w:rsidR="006B42EB" w:rsidRDefault="00000000">
            <w:pPr>
              <w:spacing w:after="40"/>
            </w:pPr>
            <w:r>
              <w:rPr>
                <w:sz w:val="19"/>
              </w:rPr>
              <w:t>Revise before assessment freeze.</w:t>
            </w:r>
          </w:p>
        </w:tc>
      </w:tr>
      <w:tr w:rsidR="006B42EB" w14:paraId="091638A5" w14:textId="77777777">
        <w:trPr>
          <w:jc w:val="center"/>
        </w:trPr>
        <w:tc>
          <w:tcPr>
            <w:tcW w:w="3312" w:type="dxa"/>
            <w:vAlign w:val="center"/>
          </w:tcPr>
          <w:p w14:paraId="63B1AEF1" w14:textId="77777777" w:rsidR="006B42EB" w:rsidRDefault="00000000">
            <w:pPr>
              <w:spacing w:after="40"/>
            </w:pPr>
            <w:r>
              <w:rPr>
                <w:sz w:val="19"/>
              </w:rPr>
              <w:t>Comparator independence</w:t>
            </w:r>
          </w:p>
        </w:tc>
        <w:tc>
          <w:tcPr>
            <w:tcW w:w="3312" w:type="dxa"/>
            <w:vAlign w:val="center"/>
          </w:tcPr>
          <w:p w14:paraId="32914F7C" w14:textId="77777777" w:rsidR="006B42EB" w:rsidRDefault="00000000">
            <w:pPr>
              <w:spacing w:after="40"/>
            </w:pPr>
            <w:r>
              <w:rPr>
                <w:sz w:val="19"/>
              </w:rPr>
              <w:t>Protocol audit of source construction.</w:t>
            </w:r>
          </w:p>
        </w:tc>
        <w:tc>
          <w:tcPr>
            <w:tcW w:w="3312" w:type="dxa"/>
            <w:vAlign w:val="center"/>
          </w:tcPr>
          <w:p w14:paraId="0BA30C29" w14:textId="77777777" w:rsidR="006B42EB" w:rsidRDefault="00000000">
            <w:pPr>
              <w:spacing w:after="40"/>
            </w:pPr>
            <w:r>
              <w:rPr>
                <w:sz w:val="19"/>
              </w:rPr>
              <w:t>Do not use Step Zero graph to repair comparator ordering.</w:t>
            </w:r>
          </w:p>
        </w:tc>
      </w:tr>
      <w:tr w:rsidR="006B42EB" w14:paraId="17B73D4B" w14:textId="77777777">
        <w:trPr>
          <w:jc w:val="center"/>
        </w:trPr>
        <w:tc>
          <w:tcPr>
            <w:tcW w:w="3312" w:type="dxa"/>
            <w:vAlign w:val="center"/>
          </w:tcPr>
          <w:p w14:paraId="3487CAD0" w14:textId="77777777" w:rsidR="006B42EB" w:rsidRDefault="00000000">
            <w:pPr>
              <w:spacing w:after="40"/>
            </w:pPr>
            <w:r>
              <w:rPr>
                <w:sz w:val="19"/>
              </w:rPr>
              <w:t>Engine reproducibility</w:t>
            </w:r>
          </w:p>
        </w:tc>
        <w:tc>
          <w:tcPr>
            <w:tcW w:w="3312" w:type="dxa"/>
            <w:vAlign w:val="center"/>
          </w:tcPr>
          <w:p w14:paraId="587C623B" w14:textId="77777777" w:rsidR="006B42EB" w:rsidRDefault="00000000">
            <w:pPr>
              <w:spacing w:after="40"/>
            </w:pPr>
            <w:r>
              <w:rPr>
                <w:sz w:val="19"/>
              </w:rPr>
              <w:t>Commit/configuration audit.</w:t>
            </w:r>
          </w:p>
        </w:tc>
        <w:tc>
          <w:tcPr>
            <w:tcW w:w="3312" w:type="dxa"/>
            <w:vAlign w:val="center"/>
          </w:tcPr>
          <w:p w14:paraId="36D15504" w14:textId="77777777" w:rsidR="006B42EB" w:rsidRDefault="00000000">
            <w:pPr>
              <w:spacing w:after="40"/>
            </w:pPr>
            <w:r>
              <w:rPr>
                <w:sz w:val="19"/>
              </w:rPr>
              <w:t>No confirmatory enrollment until frozen configuration is archived.</w:t>
            </w:r>
          </w:p>
        </w:tc>
      </w:tr>
    </w:tbl>
    <w:p w14:paraId="6BB71A9E" w14:textId="77777777" w:rsidR="006B42EB" w:rsidRDefault="006B42EB"/>
    <w:p w14:paraId="6A851E53" w14:textId="77777777" w:rsidR="006B42EB" w:rsidRDefault="00000000">
      <w:pPr>
        <w:pStyle w:val="Heading1"/>
      </w:pPr>
      <w:r>
        <w:rPr>
          <w:rFonts w:ascii="Times New Roman" w:hAnsi="Times New Roman"/>
        </w:rPr>
        <w:t>23. Causal interpretation and limits</w:t>
      </w:r>
    </w:p>
    <w:p w14:paraId="0FE94AF8" w14:textId="77777777" w:rsidR="006B42EB" w:rsidRDefault="00000000">
      <w:r>
        <w:t>A positive primary result supports a causal effect estimate for assignment to the balanced Step Zero recommendation policy relative to the standardized conventional comparator, under the assumptions and implementation conditions of the randomized study.</w:t>
      </w:r>
    </w:p>
    <w:p w14:paraId="03EDC664" w14:textId="77777777" w:rsidR="006B42EB" w:rsidRDefault="00000000">
      <w:pPr>
        <w:pStyle w:val="ListBullet"/>
      </w:pPr>
      <w:r>
        <w:t>The study does not identify the isolated causal contribution of graph structure.</w:t>
      </w:r>
    </w:p>
    <w:p w14:paraId="53E0A9F1" w14:textId="77777777" w:rsidR="006B42EB" w:rsidRDefault="00000000">
      <w:pPr>
        <w:pStyle w:val="ListBullet"/>
      </w:pPr>
      <w:r>
        <w:t>The study does not separately identify graph validity, weighting, adaptivity, or recommendation presentation as independent causal mechanisms.</w:t>
      </w:r>
    </w:p>
    <w:p w14:paraId="6CE4648E" w14:textId="77777777" w:rsidR="006B42EB" w:rsidRDefault="00000000">
      <w:pPr>
        <w:pStyle w:val="ListBullet"/>
      </w:pPr>
      <w:r>
        <w:t>The primary causal object is the bundled Step Zero recommendation policy.</w:t>
      </w:r>
    </w:p>
    <w:p w14:paraId="10F28BE8" w14:textId="77777777" w:rsidR="006B42EB" w:rsidRDefault="00000000">
      <w:pPr>
        <w:pStyle w:val="ListBullet"/>
      </w:pPr>
      <w:r>
        <w:t>Subject-specific effects are estimated with potentially different precision.</w:t>
      </w:r>
    </w:p>
    <w:p w14:paraId="43EE018C" w14:textId="77777777" w:rsidR="006B42EB" w:rsidRDefault="00000000">
      <w:pPr>
        <w:pStyle w:val="ListBullet"/>
      </w:pPr>
      <w:r>
        <w:t>The five subjects are a deliberately selected case set, not a random sample of all STEM curricula.</w:t>
      </w:r>
    </w:p>
    <w:p w14:paraId="1CBE2F87" w14:textId="77777777" w:rsidR="006B42EB" w:rsidRDefault="00000000">
      <w:pPr>
        <w:pStyle w:val="ListBullet"/>
      </w:pPr>
      <w:r>
        <w:lastRenderedPageBreak/>
        <w:t>The results do not automatically generalize to other grade levels, curricula, educational systems, student populations, or subjects outside the five studied.</w:t>
      </w:r>
    </w:p>
    <w:p w14:paraId="47321573" w14:textId="77777777" w:rsidR="006B42EB" w:rsidRDefault="00000000">
      <w:pPr>
        <w:pStyle w:val="ListBullet"/>
      </w:pPr>
      <w:r>
        <w:t>SQ2-to-SQ3 structural comparisons are hypothesis-generating only.</w:t>
      </w:r>
    </w:p>
    <w:p w14:paraId="676DBA96" w14:textId="77777777" w:rsidR="006B42EB" w:rsidRDefault="00000000">
      <w:pPr>
        <w:pStyle w:val="ListBullet"/>
      </w:pPr>
      <w:r>
        <w:t>Computational simulation results are not empirical evidence about real students.</w:t>
      </w:r>
    </w:p>
    <w:tbl>
      <w:tblPr>
        <w:tblStyle w:val="TableGrid"/>
        <w:tblW w:w="0" w:type="auto"/>
        <w:jc w:val="center"/>
        <w:tblLook w:val="04A0" w:firstRow="1" w:lastRow="0" w:firstColumn="1" w:lastColumn="0" w:noHBand="0" w:noVBand="1"/>
      </w:tblPr>
      <w:tblGrid>
        <w:gridCol w:w="2866"/>
        <w:gridCol w:w="1878"/>
        <w:gridCol w:w="1990"/>
        <w:gridCol w:w="2842"/>
      </w:tblGrid>
      <w:tr w:rsidR="006B42EB" w14:paraId="2D03D796" w14:textId="77777777">
        <w:trPr>
          <w:jc w:val="center"/>
        </w:trPr>
        <w:tc>
          <w:tcPr>
            <w:tcW w:w="4968" w:type="dxa"/>
            <w:gridSpan w:val="2"/>
            <w:vAlign w:val="center"/>
          </w:tcPr>
          <w:p w14:paraId="779BF637" w14:textId="77777777" w:rsidR="006B42EB" w:rsidRDefault="00000000">
            <w:pPr>
              <w:spacing w:after="40"/>
            </w:pPr>
            <w:r>
              <w:rPr>
                <w:b/>
                <w:sz w:val="19"/>
              </w:rPr>
              <w:t>Reviewer question</w:t>
            </w:r>
          </w:p>
        </w:tc>
        <w:tc>
          <w:tcPr>
            <w:tcW w:w="4968" w:type="dxa"/>
            <w:gridSpan w:val="2"/>
            <w:vAlign w:val="center"/>
          </w:tcPr>
          <w:p w14:paraId="35418122" w14:textId="77777777" w:rsidR="006B42EB" w:rsidRDefault="00000000">
            <w:pPr>
              <w:spacing w:after="40"/>
            </w:pPr>
            <w:r>
              <w:rPr>
                <w:b/>
                <w:sz w:val="19"/>
              </w:rPr>
              <w:t>Protocol answer</w:t>
            </w:r>
          </w:p>
        </w:tc>
      </w:tr>
      <w:tr w:rsidR="006B42EB" w14:paraId="33E4A645" w14:textId="77777777">
        <w:trPr>
          <w:jc w:val="center"/>
        </w:trPr>
        <w:tc>
          <w:tcPr>
            <w:tcW w:w="4968" w:type="dxa"/>
            <w:gridSpan w:val="2"/>
            <w:vAlign w:val="center"/>
          </w:tcPr>
          <w:p w14:paraId="07724DFE" w14:textId="77777777" w:rsidR="006B42EB" w:rsidRDefault="00000000">
            <w:pPr>
              <w:spacing w:after="40"/>
            </w:pPr>
            <w:r>
              <w:rPr>
                <w:sz w:val="19"/>
              </w:rPr>
              <w:t>What exactly is randomized?</w:t>
            </w:r>
          </w:p>
        </w:tc>
        <w:tc>
          <w:tcPr>
            <w:tcW w:w="4968" w:type="dxa"/>
            <w:gridSpan w:val="2"/>
            <w:vAlign w:val="center"/>
          </w:tcPr>
          <w:p w14:paraId="4726BB1A" w14:textId="77777777" w:rsidR="006B42EB" w:rsidRDefault="00000000">
            <w:pPr>
              <w:spacing w:after="40"/>
            </w:pPr>
            <w:r>
              <w:rPr>
                <w:sz w:val="19"/>
              </w:rPr>
              <w:t>Individual students within tutor group and subject.</w:t>
            </w:r>
          </w:p>
        </w:tc>
      </w:tr>
      <w:tr w:rsidR="006B42EB" w14:paraId="33132555" w14:textId="77777777">
        <w:trPr>
          <w:jc w:val="center"/>
        </w:trPr>
        <w:tc>
          <w:tcPr>
            <w:tcW w:w="4968" w:type="dxa"/>
            <w:gridSpan w:val="2"/>
            <w:vAlign w:val="center"/>
          </w:tcPr>
          <w:p w14:paraId="65CB6607" w14:textId="77777777" w:rsidR="006B42EB" w:rsidRDefault="00000000">
            <w:pPr>
              <w:spacing w:after="40"/>
            </w:pPr>
            <w:r>
              <w:rPr>
                <w:sz w:val="19"/>
              </w:rPr>
              <w:t>What exactly is the primary treatment?</w:t>
            </w:r>
          </w:p>
        </w:tc>
        <w:tc>
          <w:tcPr>
            <w:tcW w:w="4968" w:type="dxa"/>
            <w:gridSpan w:val="2"/>
            <w:vAlign w:val="center"/>
          </w:tcPr>
          <w:p w14:paraId="471606E4" w14:textId="77777777" w:rsidR="006B42EB" w:rsidRDefault="00000000">
            <w:pPr>
              <w:spacing w:after="40"/>
            </w:pPr>
            <w:r>
              <w:rPr>
                <w:sz w:val="19"/>
              </w:rPr>
              <w:t>Balanced Step Zero recommendation policy only.</w:t>
            </w:r>
          </w:p>
        </w:tc>
      </w:tr>
      <w:tr w:rsidR="006B42EB" w14:paraId="51040CD9" w14:textId="77777777">
        <w:trPr>
          <w:jc w:val="center"/>
        </w:trPr>
        <w:tc>
          <w:tcPr>
            <w:tcW w:w="4968" w:type="dxa"/>
            <w:gridSpan w:val="2"/>
            <w:vAlign w:val="center"/>
          </w:tcPr>
          <w:p w14:paraId="008BF2D1" w14:textId="77777777" w:rsidR="006B42EB" w:rsidRDefault="00000000">
            <w:pPr>
              <w:spacing w:after="40"/>
            </w:pPr>
            <w:r>
              <w:rPr>
                <w:sz w:val="19"/>
              </w:rPr>
              <w:t>Can alternative profiles contaminate the primary treatment definition?</w:t>
            </w:r>
          </w:p>
        </w:tc>
        <w:tc>
          <w:tcPr>
            <w:tcW w:w="4968" w:type="dxa"/>
            <w:gridSpan w:val="2"/>
            <w:vAlign w:val="center"/>
          </w:tcPr>
          <w:p w14:paraId="13EEF39A" w14:textId="77777777" w:rsidR="006B42EB" w:rsidRDefault="00000000">
            <w:pPr>
              <w:spacing w:after="40"/>
            </w:pPr>
            <w:r>
              <w:rPr>
                <w:sz w:val="19"/>
              </w:rPr>
              <w:t>No. They are computational robustness analyses, not primary randomized arms.</w:t>
            </w:r>
          </w:p>
        </w:tc>
      </w:tr>
      <w:tr w:rsidR="006B42EB" w14:paraId="63813D9A" w14:textId="77777777">
        <w:trPr>
          <w:jc w:val="center"/>
        </w:trPr>
        <w:tc>
          <w:tcPr>
            <w:tcW w:w="4968" w:type="dxa"/>
            <w:gridSpan w:val="2"/>
            <w:vAlign w:val="center"/>
          </w:tcPr>
          <w:p w14:paraId="236DC520" w14:textId="77777777" w:rsidR="006B42EB" w:rsidRDefault="00000000">
            <w:pPr>
              <w:spacing w:after="40"/>
            </w:pPr>
            <w:r>
              <w:rPr>
                <w:sz w:val="19"/>
              </w:rPr>
              <w:t>What is the primary population?</w:t>
            </w:r>
          </w:p>
        </w:tc>
        <w:tc>
          <w:tcPr>
            <w:tcW w:w="4968" w:type="dxa"/>
            <w:gridSpan w:val="2"/>
            <w:vAlign w:val="center"/>
          </w:tcPr>
          <w:p w14:paraId="45302827" w14:textId="77777777" w:rsidR="006B42EB" w:rsidRDefault="00000000">
            <w:pPr>
              <w:spacing w:after="40"/>
            </w:pPr>
            <w:r>
              <w:rPr>
                <w:sz w:val="19"/>
              </w:rPr>
              <w:t>The actually randomized student population across the five subject cohorts.</w:t>
            </w:r>
          </w:p>
        </w:tc>
      </w:tr>
      <w:tr w:rsidR="006B42EB" w14:paraId="42F9F772" w14:textId="77777777">
        <w:trPr>
          <w:jc w:val="center"/>
        </w:trPr>
        <w:tc>
          <w:tcPr>
            <w:tcW w:w="4968" w:type="dxa"/>
            <w:gridSpan w:val="2"/>
            <w:vAlign w:val="center"/>
          </w:tcPr>
          <w:p w14:paraId="70252A30" w14:textId="77777777" w:rsidR="006B42EB" w:rsidRDefault="00000000">
            <w:pPr>
              <w:spacing w:after="40"/>
            </w:pPr>
            <w:r>
              <w:rPr>
                <w:sz w:val="19"/>
              </w:rPr>
              <w:t>What determines cross-subject weights?</w:t>
            </w:r>
          </w:p>
        </w:tc>
        <w:tc>
          <w:tcPr>
            <w:tcW w:w="4968" w:type="dxa"/>
            <w:gridSpan w:val="2"/>
            <w:vAlign w:val="center"/>
          </w:tcPr>
          <w:p w14:paraId="5CD06D32" w14:textId="77777777" w:rsidR="006B42EB" w:rsidRDefault="00000000">
            <w:pPr>
              <w:spacing w:after="40"/>
            </w:pPr>
            <w:r>
              <w:rPr>
                <w:sz w:val="19"/>
              </w:rPr>
              <w:t>Pre-outcome randomized counts</w:t>
            </w:r>
            <m:oMath>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s</m:t>
                      </m:r>
                    </m:sub>
                  </m:sSub>
                </m:num>
                <m:den>
                  <m:r>
                    <w:rPr>
                      <w:rFonts w:ascii="Cambria Math" w:hAnsi="Cambria Math"/>
                    </w:rPr>
                    <m:t>N</m:t>
                  </m:r>
                </m:den>
              </m:f>
            </m:oMath>
            <w:r>
              <w:rPr>
                <w:sz w:val="19"/>
              </w:rPr>
              <w:t>.</w:t>
            </w:r>
          </w:p>
        </w:tc>
      </w:tr>
      <w:tr w:rsidR="006B42EB" w14:paraId="34CDAA0F" w14:textId="77777777">
        <w:trPr>
          <w:jc w:val="center"/>
        </w:trPr>
        <w:tc>
          <w:tcPr>
            <w:tcW w:w="4968" w:type="dxa"/>
            <w:gridSpan w:val="2"/>
            <w:vAlign w:val="center"/>
          </w:tcPr>
          <w:p w14:paraId="0A96B9EB" w14:textId="77777777" w:rsidR="006B42EB" w:rsidRDefault="00000000">
            <w:pPr>
              <w:spacing w:after="40"/>
            </w:pPr>
            <w:r>
              <w:rPr>
                <w:sz w:val="19"/>
              </w:rPr>
              <w:t>Why is</w:t>
            </w:r>
            <m:oMath>
              <m:r>
                <w:rPr>
                  <w:rFonts w:ascii="Cambria Math" w:hAnsi="Cambria Math"/>
                </w:rPr>
                <m:t>Treatment × Subject</m:t>
              </m:r>
            </m:oMath>
            <w:r>
              <w:rPr>
                <w:sz w:val="19"/>
              </w:rPr>
              <w:t>retained?</w:t>
            </w:r>
          </w:p>
        </w:tc>
        <w:tc>
          <w:tcPr>
            <w:tcW w:w="4968" w:type="dxa"/>
            <w:gridSpan w:val="2"/>
            <w:vAlign w:val="center"/>
          </w:tcPr>
          <w:p w14:paraId="53671641" w14:textId="77777777" w:rsidR="006B42EB" w:rsidRDefault="00000000">
            <w:pPr>
              <w:spacing w:after="40"/>
            </w:pPr>
            <w:r>
              <w:rPr>
                <w:sz w:val="19"/>
              </w:rPr>
              <w:t>To estimate the five subject-specific effects required for the pre-specified student-weighted contrast.</w:t>
            </w:r>
          </w:p>
        </w:tc>
      </w:tr>
      <w:tr w:rsidR="006B42EB" w14:paraId="2489EEA1" w14:textId="77777777">
        <w:trPr>
          <w:jc w:val="center"/>
        </w:trPr>
        <w:tc>
          <w:tcPr>
            <w:tcW w:w="4968" w:type="dxa"/>
            <w:gridSpan w:val="2"/>
            <w:vAlign w:val="center"/>
          </w:tcPr>
          <w:p w14:paraId="5101D13F" w14:textId="77777777" w:rsidR="006B42EB" w:rsidRDefault="00000000">
            <w:pPr>
              <w:spacing w:after="40"/>
            </w:pPr>
            <w:r>
              <w:rPr>
                <w:sz w:val="19"/>
              </w:rPr>
              <w:t>What is the primary outcome?</w:t>
            </w:r>
          </w:p>
        </w:tc>
        <w:tc>
          <w:tcPr>
            <w:tcW w:w="4968" w:type="dxa"/>
            <w:gridSpan w:val="2"/>
            <w:vAlign w:val="center"/>
          </w:tcPr>
          <w:p w14:paraId="4DC548E2" w14:textId="77777777" w:rsidR="006B42EB" w:rsidRDefault="00000000">
            <w:pPr>
              <w:spacing w:after="40"/>
            </w:pPr>
            <w:r>
              <w:rPr>
                <w:sz w:val="19"/>
              </w:rPr>
              <w:t>Control-arm-referenced standardized posttest score.</w:t>
            </w:r>
          </w:p>
        </w:tc>
      </w:tr>
      <w:tr w:rsidR="006B42EB" w14:paraId="29E34B0D" w14:textId="77777777">
        <w:trPr>
          <w:jc w:val="center"/>
        </w:trPr>
        <w:tc>
          <w:tcPr>
            <w:tcW w:w="4968" w:type="dxa"/>
            <w:gridSpan w:val="2"/>
            <w:vAlign w:val="center"/>
          </w:tcPr>
          <w:p w14:paraId="5A9458E0" w14:textId="77777777" w:rsidR="006B42EB" w:rsidRDefault="00000000">
            <w:pPr>
              <w:spacing w:after="40"/>
            </w:pPr>
            <w:r>
              <w:rPr>
                <w:sz w:val="19"/>
              </w:rPr>
              <w:t>Why not pool raw percentages?</w:t>
            </w:r>
          </w:p>
        </w:tc>
        <w:tc>
          <w:tcPr>
            <w:tcW w:w="4968" w:type="dxa"/>
            <w:gridSpan w:val="2"/>
            <w:vAlign w:val="center"/>
          </w:tcPr>
          <w:p w14:paraId="082260AC" w14:textId="77777777" w:rsidR="006B42EB" w:rsidRDefault="00000000">
            <w:pPr>
              <w:spacing w:after="40"/>
            </w:pPr>
            <w:r>
              <w:rPr>
                <w:sz w:val="19"/>
              </w:rPr>
              <w:t>Subject assessments are not assumed commensurate.</w:t>
            </w:r>
          </w:p>
        </w:tc>
      </w:tr>
      <w:tr w:rsidR="006B42EB" w14:paraId="6355D50D" w14:textId="77777777">
        <w:trPr>
          <w:jc w:val="center"/>
        </w:trPr>
        <w:tc>
          <w:tcPr>
            <w:tcW w:w="4968" w:type="dxa"/>
            <w:gridSpan w:val="2"/>
            <w:vAlign w:val="center"/>
          </w:tcPr>
          <w:p w14:paraId="0FC2FDC7" w14:textId="77777777" w:rsidR="006B42EB" w:rsidRDefault="00000000">
            <w:pPr>
              <w:spacing w:after="40"/>
            </w:pPr>
            <w:r>
              <w:rPr>
                <w:sz w:val="19"/>
              </w:rPr>
              <w:t>How is denominator uncertainty handled?</w:t>
            </w:r>
          </w:p>
        </w:tc>
        <w:tc>
          <w:tcPr>
            <w:tcW w:w="4968" w:type="dxa"/>
            <w:gridSpan w:val="2"/>
            <w:vAlign w:val="center"/>
          </w:tcPr>
          <w:p w14:paraId="468E7CC8" w14:textId="77777777" w:rsidR="006B42EB" w:rsidRDefault="00000000">
            <w:pPr>
              <w:spacing w:after="40"/>
            </w:pPr>
            <w:r>
              <w:rPr>
                <w:sz w:val="19"/>
              </w:rPr>
              <w:t>Tutor-group-aware bootstrap recomputes control means/SDs in each replicate.</w:t>
            </w:r>
          </w:p>
        </w:tc>
      </w:tr>
      <w:tr w:rsidR="006B42EB" w14:paraId="13CB529C" w14:textId="77777777">
        <w:trPr>
          <w:jc w:val="center"/>
        </w:trPr>
        <w:tc>
          <w:tcPr>
            <w:tcW w:w="4968" w:type="dxa"/>
            <w:gridSpan w:val="2"/>
            <w:vAlign w:val="center"/>
          </w:tcPr>
          <w:p w14:paraId="6EDB501A" w14:textId="77777777" w:rsidR="006B42EB" w:rsidRDefault="00000000">
            <w:pPr>
              <w:spacing w:after="40"/>
            </w:pPr>
            <w:r>
              <w:rPr>
                <w:sz w:val="19"/>
              </w:rPr>
              <w:t>How is clustering handled?</w:t>
            </w:r>
          </w:p>
        </w:tc>
        <w:tc>
          <w:tcPr>
            <w:tcW w:w="4968" w:type="dxa"/>
            <w:gridSpan w:val="2"/>
            <w:vAlign w:val="center"/>
          </w:tcPr>
          <w:p w14:paraId="6E9CE35D" w14:textId="77777777" w:rsidR="006B42EB" w:rsidRDefault="00000000">
            <w:pPr>
              <w:spacing w:after="40"/>
            </w:pPr>
            <w:r>
              <w:rPr>
                <w:sz w:val="19"/>
              </w:rPr>
              <w:t>Tutor-group fixed effects in the primary model plus tutor-group-aware bootstrap.</w:t>
            </w:r>
          </w:p>
        </w:tc>
      </w:tr>
      <w:tr w:rsidR="006B42EB" w14:paraId="4D54196E" w14:textId="77777777">
        <w:trPr>
          <w:jc w:val="center"/>
        </w:trPr>
        <w:tc>
          <w:tcPr>
            <w:tcW w:w="4968" w:type="dxa"/>
            <w:gridSpan w:val="2"/>
            <w:vAlign w:val="center"/>
          </w:tcPr>
          <w:p w14:paraId="7A2CECD5" w14:textId="77777777" w:rsidR="006B42EB" w:rsidRDefault="00000000">
            <w:pPr>
              <w:spacing w:after="40"/>
            </w:pPr>
            <w:r>
              <w:rPr>
                <w:sz w:val="19"/>
              </w:rPr>
              <w:t>Can the comparator be influenced by Step Zero?</w:t>
            </w:r>
          </w:p>
        </w:tc>
        <w:tc>
          <w:tcPr>
            <w:tcW w:w="4968" w:type="dxa"/>
            <w:gridSpan w:val="2"/>
            <w:vAlign w:val="center"/>
          </w:tcPr>
          <w:p w14:paraId="28869021" w14:textId="77777777" w:rsidR="006B42EB" w:rsidRDefault="00000000">
            <w:pPr>
              <w:spacing w:after="40"/>
            </w:pPr>
            <w:r>
              <w:rPr>
                <w:sz w:val="19"/>
              </w:rPr>
              <w:t>No. External rank aggregation determines the comparator; graph checks are diagnostic only.</w:t>
            </w:r>
          </w:p>
        </w:tc>
      </w:tr>
      <w:tr w:rsidR="006B42EB" w14:paraId="04C16042" w14:textId="77777777">
        <w:trPr>
          <w:jc w:val="center"/>
        </w:trPr>
        <w:tc>
          <w:tcPr>
            <w:tcW w:w="4968" w:type="dxa"/>
            <w:gridSpan w:val="2"/>
            <w:vAlign w:val="center"/>
          </w:tcPr>
          <w:p w14:paraId="2E6069D4" w14:textId="77777777" w:rsidR="006B42EB" w:rsidRDefault="00000000">
            <w:pPr>
              <w:spacing w:after="40"/>
            </w:pPr>
            <w:r>
              <w:rPr>
                <w:sz w:val="19"/>
              </w:rPr>
              <w:t>Can assessment targets change after seeing outcomes?</w:t>
            </w:r>
          </w:p>
        </w:tc>
        <w:tc>
          <w:tcPr>
            <w:tcW w:w="4968" w:type="dxa"/>
            <w:gridSpan w:val="2"/>
            <w:vAlign w:val="center"/>
          </w:tcPr>
          <w:p w14:paraId="43C8ADD3" w14:textId="77777777" w:rsidR="006B42EB" w:rsidRDefault="00000000">
            <w:pPr>
              <w:spacing w:after="40"/>
            </w:pPr>
            <w:r>
              <w:rPr>
                <w:sz w:val="19"/>
              </w:rPr>
              <w:t>No.</w:t>
            </w:r>
            <m:oMath>
              <m:sSub>
                <m:sSubPr>
                  <m:ctrlPr>
                    <w:rPr>
                      <w:rFonts w:ascii="Cambria Math" w:hAnsi="Cambria Math"/>
                    </w:rPr>
                  </m:ctrlPr>
                </m:sSubPr>
                <m:e>
                  <m:r>
                    <w:rPr>
                      <w:rFonts w:ascii="Cambria Math" w:hAnsi="Cambria Math"/>
                    </w:rPr>
                    <m:t>K</m:t>
                  </m:r>
                </m:e>
                <m:sub>
                  <m:r>
                    <w:rPr>
                      <w:rFonts w:ascii="Cambria Math" w:hAnsi="Cambria Math"/>
                    </w:rPr>
                    <m:t>s</m:t>
                  </m:r>
                </m:sub>
              </m:sSub>
            </m:oMath>
            <w:r>
              <w:rPr>
                <w:sz w:val="19"/>
              </w:rPr>
              <w:t>is frozen before confirmatory recruitment.</w:t>
            </w:r>
          </w:p>
        </w:tc>
      </w:tr>
      <w:tr w:rsidR="006B42EB" w14:paraId="1231FB02" w14:textId="77777777">
        <w:trPr>
          <w:jc w:val="center"/>
        </w:trPr>
        <w:tc>
          <w:tcPr>
            <w:tcW w:w="4968" w:type="dxa"/>
            <w:gridSpan w:val="2"/>
            <w:vAlign w:val="center"/>
          </w:tcPr>
          <w:p w14:paraId="099666F9" w14:textId="77777777" w:rsidR="006B42EB" w:rsidRDefault="00000000">
            <w:pPr>
              <w:spacing w:after="40"/>
            </w:pPr>
            <w:r>
              <w:rPr>
                <w:sz w:val="19"/>
              </w:rPr>
              <w:t>Can the primary model change after seeing heterogeneity?</w:t>
            </w:r>
          </w:p>
        </w:tc>
        <w:tc>
          <w:tcPr>
            <w:tcW w:w="4968" w:type="dxa"/>
            <w:gridSpan w:val="2"/>
            <w:vAlign w:val="center"/>
          </w:tcPr>
          <w:p w14:paraId="69F90B43" w14:textId="77777777" w:rsidR="006B42EB" w:rsidRDefault="00000000">
            <w:pPr>
              <w:spacing w:after="40"/>
            </w:pPr>
            <w:r>
              <w:rPr>
                <w:sz w:val="19"/>
              </w:rPr>
              <w:t>No.</w:t>
            </w:r>
            <m:oMath>
              <m:r>
                <w:rPr>
                  <w:rFonts w:ascii="Cambria Math" w:hAnsi="Cambria Math"/>
                </w:rPr>
                <m:t>Treatment × Subject</m:t>
              </m:r>
            </m:oMath>
            <w:r>
              <w:rPr>
                <w:sz w:val="19"/>
              </w:rPr>
              <w:t>and the primary linear contrast are locked.</w:t>
            </w:r>
          </w:p>
        </w:tc>
      </w:tr>
      <w:tr w:rsidR="006B42EB" w14:paraId="2A583BFB" w14:textId="77777777">
        <w:trPr>
          <w:jc w:val="center"/>
        </w:trPr>
        <w:tc>
          <w:tcPr>
            <w:tcW w:w="4968" w:type="dxa"/>
            <w:gridSpan w:val="2"/>
            <w:vAlign w:val="center"/>
          </w:tcPr>
          <w:p w14:paraId="22774442" w14:textId="77777777" w:rsidR="006B42EB" w:rsidRDefault="00000000">
            <w:pPr>
              <w:spacing w:after="40"/>
            </w:pPr>
            <w:r>
              <w:rPr>
                <w:sz w:val="19"/>
              </w:rPr>
              <w:t>Can missing posttests be imputed ad hoc?</w:t>
            </w:r>
          </w:p>
        </w:tc>
        <w:tc>
          <w:tcPr>
            <w:tcW w:w="4968" w:type="dxa"/>
            <w:gridSpan w:val="2"/>
            <w:vAlign w:val="center"/>
          </w:tcPr>
          <w:p w14:paraId="54826B39" w14:textId="77777777" w:rsidR="006B42EB" w:rsidRDefault="00000000">
            <w:pPr>
              <w:spacing w:after="40"/>
            </w:pPr>
            <w:r>
              <w:rPr>
                <w:sz w:val="19"/>
              </w:rPr>
              <w:t>No. The primary complete-case outcome analysis and MNAR sensitivity are pre-specified.</w:t>
            </w:r>
          </w:p>
        </w:tc>
      </w:tr>
      <w:tr w:rsidR="006B42EB" w14:paraId="0DF448DC" w14:textId="77777777">
        <w:trPr>
          <w:jc w:val="center"/>
        </w:trPr>
        <w:tc>
          <w:tcPr>
            <w:tcW w:w="4968" w:type="dxa"/>
            <w:gridSpan w:val="2"/>
            <w:vAlign w:val="center"/>
          </w:tcPr>
          <w:p w14:paraId="1601D099" w14:textId="77777777" w:rsidR="006B42EB" w:rsidRDefault="00000000">
            <w:pPr>
              <w:spacing w:after="40"/>
            </w:pPr>
            <w:r>
              <w:rPr>
                <w:sz w:val="19"/>
              </w:rPr>
              <w:t>Can contaminated students be removed from ITT?</w:t>
            </w:r>
          </w:p>
        </w:tc>
        <w:tc>
          <w:tcPr>
            <w:tcW w:w="4968" w:type="dxa"/>
            <w:gridSpan w:val="2"/>
            <w:vAlign w:val="center"/>
          </w:tcPr>
          <w:p w14:paraId="5EAC2AD6" w14:textId="77777777" w:rsidR="006B42EB" w:rsidRDefault="00000000">
            <w:pPr>
              <w:spacing w:after="40"/>
            </w:pPr>
            <w:r>
              <w:rPr>
                <w:sz w:val="19"/>
              </w:rPr>
              <w:t>No.</w:t>
            </w:r>
          </w:p>
        </w:tc>
      </w:tr>
      <w:tr w:rsidR="006B42EB" w14:paraId="1DDF9165" w14:textId="77777777">
        <w:trPr>
          <w:jc w:val="center"/>
        </w:trPr>
        <w:tc>
          <w:tcPr>
            <w:tcW w:w="4968" w:type="dxa"/>
            <w:gridSpan w:val="2"/>
            <w:vAlign w:val="center"/>
          </w:tcPr>
          <w:p w14:paraId="6F9BCFB9" w14:textId="77777777" w:rsidR="006B42EB" w:rsidRDefault="00000000">
            <w:pPr>
              <w:spacing w:after="40"/>
            </w:pPr>
            <w:r>
              <w:rPr>
                <w:sz w:val="19"/>
              </w:rPr>
              <w:t>Can an interesting SQ4 result become the main finding?</w:t>
            </w:r>
          </w:p>
        </w:tc>
        <w:tc>
          <w:tcPr>
            <w:tcW w:w="4968" w:type="dxa"/>
            <w:gridSpan w:val="2"/>
            <w:vAlign w:val="center"/>
          </w:tcPr>
          <w:p w14:paraId="477CE810" w14:textId="77777777" w:rsidR="006B42EB" w:rsidRDefault="00000000">
            <w:pPr>
              <w:spacing w:after="40"/>
            </w:pPr>
            <w:r>
              <w:rPr>
                <w:sz w:val="19"/>
              </w:rPr>
              <w:t>No. SQ4 is exploratory by design.</w:t>
            </w:r>
          </w:p>
        </w:tc>
      </w:tr>
      <w:tr w:rsidR="006B42EB" w14:paraId="5CEB1438" w14:textId="77777777">
        <w:trPr>
          <w:jc w:val="center"/>
        </w:trPr>
        <w:tc>
          <w:tcPr>
            <w:tcW w:w="4968" w:type="dxa"/>
            <w:gridSpan w:val="2"/>
            <w:vAlign w:val="center"/>
          </w:tcPr>
          <w:p w14:paraId="24D99288" w14:textId="77777777" w:rsidR="006B42EB" w:rsidRDefault="00000000">
            <w:pPr>
              <w:spacing w:after="40"/>
            </w:pPr>
            <w:r>
              <w:rPr>
                <w:sz w:val="19"/>
              </w:rPr>
              <w:t>Can the study claim that the graph itself caused improvement?</w:t>
            </w:r>
          </w:p>
        </w:tc>
        <w:tc>
          <w:tcPr>
            <w:tcW w:w="4968" w:type="dxa"/>
            <w:gridSpan w:val="2"/>
            <w:vAlign w:val="center"/>
          </w:tcPr>
          <w:p w14:paraId="49D71FC8" w14:textId="77777777" w:rsidR="006B42EB" w:rsidRDefault="00000000">
            <w:pPr>
              <w:spacing w:after="40"/>
            </w:pPr>
            <w:r>
              <w:rPr>
                <w:sz w:val="19"/>
              </w:rPr>
              <w:t>No. It estimates the bundled recommendation-policy effect.</w:t>
            </w:r>
          </w:p>
        </w:tc>
      </w:tr>
      <w:tr w:rsidR="006B42EB" w14:paraId="432B8BA2" w14:textId="77777777">
        <w:trPr>
          <w:jc w:val="center"/>
        </w:trPr>
        <w:tc>
          <w:tcPr>
            <w:tcW w:w="4968" w:type="dxa"/>
            <w:gridSpan w:val="2"/>
            <w:vAlign w:val="center"/>
          </w:tcPr>
          <w:p w14:paraId="41739D02" w14:textId="77777777" w:rsidR="006B42EB" w:rsidRDefault="00000000">
            <w:pPr>
              <w:spacing w:after="40"/>
            </w:pPr>
            <w:r>
              <w:rPr>
                <w:sz w:val="19"/>
              </w:rPr>
              <w:t>Can five subjects support universal STEM claims?</w:t>
            </w:r>
          </w:p>
        </w:tc>
        <w:tc>
          <w:tcPr>
            <w:tcW w:w="4968" w:type="dxa"/>
            <w:gridSpan w:val="2"/>
            <w:vAlign w:val="center"/>
          </w:tcPr>
          <w:p w14:paraId="0B5B2873" w14:textId="77777777" w:rsidR="006B42EB" w:rsidRDefault="00000000">
            <w:pPr>
              <w:spacing w:after="40"/>
            </w:pPr>
            <w:r>
              <w:rPr>
                <w:sz w:val="19"/>
              </w:rPr>
              <w:t>No.</w:t>
            </w:r>
          </w:p>
        </w:tc>
      </w:tr>
      <w:tr w:rsidR="006B42EB" w14:paraId="72D98F18" w14:textId="77777777">
        <w:trPr>
          <w:jc w:val="center"/>
        </w:trPr>
        <w:tc>
          <w:tcPr>
            <w:tcW w:w="4968" w:type="dxa"/>
            <w:gridSpan w:val="2"/>
            <w:vAlign w:val="center"/>
          </w:tcPr>
          <w:p w14:paraId="7898A71B" w14:textId="77777777" w:rsidR="006B42EB" w:rsidRDefault="00000000">
            <w:pPr>
              <w:spacing w:after="40"/>
            </w:pPr>
            <w:r>
              <w:rPr>
                <w:sz w:val="19"/>
              </w:rPr>
              <w:t>Can the power calculation be replaced by a simple cluster design effect?</w:t>
            </w:r>
          </w:p>
        </w:tc>
        <w:tc>
          <w:tcPr>
            <w:tcW w:w="4968" w:type="dxa"/>
            <w:gridSpan w:val="2"/>
            <w:vAlign w:val="center"/>
          </w:tcPr>
          <w:p w14:paraId="134FAE2C" w14:textId="77777777" w:rsidR="006B42EB" w:rsidRDefault="00000000">
            <w:pPr>
              <w:spacing w:after="40"/>
            </w:pPr>
            <w:r>
              <w:rPr>
                <w:sz w:val="19"/>
              </w:rPr>
              <w:t>No. The final target comes from Monte Carlo simulation of the actual individual-within-tutor design.</w:t>
            </w:r>
          </w:p>
        </w:tc>
      </w:tr>
      <w:tr w:rsidR="006B42EB" w14:paraId="17169732" w14:textId="77777777">
        <w:trPr>
          <w:jc w:val="center"/>
        </w:trPr>
        <w:tc>
          <w:tcPr>
            <w:tcW w:w="3312" w:type="dxa"/>
            <w:vAlign w:val="center"/>
          </w:tcPr>
          <w:p w14:paraId="1F538601" w14:textId="77777777" w:rsidR="006B42EB" w:rsidRDefault="00000000">
            <w:pPr>
              <w:spacing w:after="40"/>
            </w:pPr>
            <w:r>
              <w:rPr>
                <w:b/>
                <w:sz w:val="19"/>
              </w:rPr>
              <w:t>Parameter</w:t>
            </w:r>
          </w:p>
        </w:tc>
        <w:tc>
          <w:tcPr>
            <w:tcW w:w="3312" w:type="dxa"/>
            <w:gridSpan w:val="2"/>
            <w:vAlign w:val="center"/>
          </w:tcPr>
          <w:p w14:paraId="6248989F" w14:textId="77777777" w:rsidR="006B42EB" w:rsidRDefault="00000000">
            <w:pPr>
              <w:spacing w:after="40"/>
            </w:pPr>
            <w:r>
              <w:rPr>
                <w:b/>
                <w:sz w:val="19"/>
              </w:rPr>
              <w:t>Value to freeze</w:t>
            </w:r>
          </w:p>
        </w:tc>
        <w:tc>
          <w:tcPr>
            <w:tcW w:w="3312" w:type="dxa"/>
            <w:vAlign w:val="center"/>
          </w:tcPr>
          <w:p w14:paraId="1613F7D0" w14:textId="77777777" w:rsidR="006B42EB" w:rsidRDefault="00000000">
            <w:pPr>
              <w:spacing w:after="40"/>
            </w:pPr>
            <w:r>
              <w:rPr>
                <w:b/>
                <w:sz w:val="19"/>
              </w:rPr>
              <w:t>Freeze gate</w:t>
            </w:r>
          </w:p>
        </w:tc>
      </w:tr>
      <w:tr w:rsidR="006B42EB" w14:paraId="4C221ED7" w14:textId="77777777">
        <w:trPr>
          <w:jc w:val="center"/>
        </w:trPr>
        <w:tc>
          <w:tcPr>
            <w:tcW w:w="3312" w:type="dxa"/>
            <w:vAlign w:val="center"/>
          </w:tcPr>
          <w:p w14:paraId="58B30838" w14:textId="77777777" w:rsidR="006B42EB" w:rsidRDefault="00000000">
            <w:pPr>
              <w:spacing w:after="40"/>
            </w:pPr>
            <w:r>
              <w:rPr>
                <w:sz w:val="19"/>
              </w:rPr>
              <w:t>v1.0 engine commit</w:t>
            </w:r>
          </w:p>
        </w:tc>
        <w:tc>
          <w:tcPr>
            <w:tcW w:w="3312" w:type="dxa"/>
            <w:gridSpan w:val="2"/>
            <w:vAlign w:val="center"/>
          </w:tcPr>
          <w:p w14:paraId="674F28E1" w14:textId="77777777" w:rsidR="006B42EB" w:rsidRDefault="00000000">
            <w:pPr>
              <w:spacing w:after="40"/>
            </w:pPr>
            <w:r>
              <w:rPr>
                <w:sz w:val="19"/>
              </w:rPr>
              <w:t>f3460b19d61429d7766a765a7141fa80815ecf88</w:t>
            </w:r>
          </w:p>
        </w:tc>
        <w:tc>
          <w:tcPr>
            <w:tcW w:w="3312" w:type="dxa"/>
            <w:vAlign w:val="center"/>
          </w:tcPr>
          <w:p w14:paraId="62E02617" w14:textId="77777777" w:rsidR="006B42EB" w:rsidRDefault="00000000">
            <w:pPr>
              <w:spacing w:after="40"/>
            </w:pPr>
            <w:r>
              <w:rPr>
                <w:sz w:val="19"/>
              </w:rPr>
              <w:t>Before confirmatory recruitment</w:t>
            </w:r>
          </w:p>
        </w:tc>
      </w:tr>
      <w:tr w:rsidR="006B42EB" w14:paraId="2AE9F866" w14:textId="77777777">
        <w:trPr>
          <w:jc w:val="center"/>
        </w:trPr>
        <w:tc>
          <w:tcPr>
            <w:tcW w:w="3312" w:type="dxa"/>
            <w:vAlign w:val="center"/>
          </w:tcPr>
          <w:p w14:paraId="5405F9D1" w14:textId="77777777" w:rsidR="006B42EB" w:rsidRDefault="00000000">
            <w:pPr>
              <w:spacing w:after="40"/>
            </w:pPr>
            <w:r>
              <w:rPr>
                <w:sz w:val="19"/>
              </w:rPr>
              <w:t>Balanced profile weights</w:t>
            </w:r>
          </w:p>
        </w:tc>
        <w:tc>
          <w:tcPr>
            <w:tcW w:w="3312" w:type="dxa"/>
            <w:gridSpan w:val="2"/>
            <w:vAlign w:val="center"/>
          </w:tcPr>
          <w:p w14:paraId="044DAD5B" w14:textId="77777777" w:rsidR="006B42EB" w:rsidRDefault="00000000">
            <w:pPr>
              <w:spacing w:after="40"/>
            </w:pPr>
            <w:r>
              <w:rPr>
                <w:sz w:val="19"/>
              </w:rPr>
              <w:t>conceptual_importance 0.25; prerequisite_readiness 0.40; difficulty 0.20; study_time 0.15; unlocks_future_concepts 0.00</w:t>
            </w:r>
          </w:p>
        </w:tc>
        <w:tc>
          <w:tcPr>
            <w:tcW w:w="3312" w:type="dxa"/>
            <w:vAlign w:val="center"/>
          </w:tcPr>
          <w:p w14:paraId="33003B26" w14:textId="77777777" w:rsidR="006B42EB" w:rsidRDefault="00000000">
            <w:pPr>
              <w:spacing w:after="40"/>
            </w:pPr>
            <w:r>
              <w:rPr>
                <w:sz w:val="19"/>
              </w:rPr>
              <w:t>Before confirmatory recruitment</w:t>
            </w:r>
          </w:p>
        </w:tc>
      </w:tr>
      <w:tr w:rsidR="006B42EB" w14:paraId="257BF535" w14:textId="77777777">
        <w:trPr>
          <w:jc w:val="center"/>
        </w:trPr>
        <w:tc>
          <w:tcPr>
            <w:tcW w:w="3312" w:type="dxa"/>
            <w:vAlign w:val="center"/>
          </w:tcPr>
          <w:p w14:paraId="6CEB217E" w14:textId="77777777" w:rsidR="006B42EB" w:rsidRDefault="00000000">
            <w:pPr>
              <w:spacing w:after="40"/>
            </w:pPr>
            <w:r>
              <w:rPr>
                <w:sz w:val="19"/>
              </w:rPr>
              <w:t>Signal normalization</w:t>
            </w:r>
          </w:p>
        </w:tc>
        <w:tc>
          <w:tcPr>
            <w:tcW w:w="3312" w:type="dxa"/>
            <w:gridSpan w:val="2"/>
            <w:vAlign w:val="center"/>
          </w:tcPr>
          <w:p w14:paraId="1370C0B5" w14:textId="77777777" w:rsidR="006B42EB" w:rsidRDefault="00000000">
            <w:pPr>
              <w:spacing w:after="40"/>
            </w:pPr>
            <w:r>
              <w:rPr>
                <w:sz w:val="19"/>
              </w:rPr>
              <w:t>Importance: fixed [0,1]; prerequisite readiness: root 1.0, otherwise mean direct-prerequisite mastery; difficulty: fixed [1,5], inverse; study time: candidate-relative min-max, existing constant-value behavior; future unlocking: candidate-relative direct out-degree, primary weight 0.00.</w:t>
            </w:r>
          </w:p>
        </w:tc>
        <w:tc>
          <w:tcPr>
            <w:tcW w:w="3312" w:type="dxa"/>
            <w:vAlign w:val="center"/>
          </w:tcPr>
          <w:p w14:paraId="679DA2D0" w14:textId="77777777" w:rsidR="006B42EB" w:rsidRDefault="00000000">
            <w:pPr>
              <w:spacing w:after="40"/>
            </w:pPr>
            <w:r>
              <w:rPr>
                <w:sz w:val="19"/>
              </w:rPr>
              <w:t>Before confirmatory recruitment</w:t>
            </w:r>
          </w:p>
        </w:tc>
      </w:tr>
      <w:tr w:rsidR="006B42EB" w14:paraId="628CF32A" w14:textId="77777777">
        <w:trPr>
          <w:jc w:val="center"/>
        </w:trPr>
        <w:tc>
          <w:tcPr>
            <w:tcW w:w="3312" w:type="dxa"/>
            <w:vAlign w:val="center"/>
          </w:tcPr>
          <w:p w14:paraId="1F7ABE75" w14:textId="77777777" w:rsidR="006B42EB" w:rsidRDefault="00000000">
            <w:pPr>
              <w:spacing w:after="40"/>
            </w:pPr>
            <w:r>
              <w:rPr>
                <w:sz w:val="19"/>
              </w:rPr>
              <w:t>Candidate eligibility rule</w:t>
            </w:r>
          </w:p>
        </w:tc>
        <w:tc>
          <w:tcPr>
            <w:tcW w:w="3312" w:type="dxa"/>
            <w:gridSpan w:val="2"/>
            <w:vAlign w:val="center"/>
          </w:tcPr>
          <w:p w14:paraId="42E95DEE" w14:textId="77777777" w:rsidR="006B42EB" w:rsidRDefault="00000000">
            <w:pPr>
              <w:spacing w:after="40"/>
            </w:pPr>
            <w:r>
              <w:rPr>
                <w:sz w:val="19"/>
              </w:rPr>
              <w:t>Unmastered concepts whose direct prerequisites are all mastered.</w:t>
            </w:r>
          </w:p>
        </w:tc>
        <w:tc>
          <w:tcPr>
            <w:tcW w:w="3312" w:type="dxa"/>
            <w:vAlign w:val="center"/>
          </w:tcPr>
          <w:p w14:paraId="0DC53B9F" w14:textId="77777777" w:rsidR="006B42EB" w:rsidRDefault="00000000">
            <w:pPr>
              <w:spacing w:after="40"/>
            </w:pPr>
            <w:r>
              <w:rPr>
                <w:sz w:val="19"/>
              </w:rPr>
              <w:t>Before confirmatory recruitment</w:t>
            </w:r>
          </w:p>
        </w:tc>
      </w:tr>
      <w:tr w:rsidR="006B42EB" w14:paraId="5AD9635E" w14:textId="77777777">
        <w:trPr>
          <w:jc w:val="center"/>
        </w:trPr>
        <w:tc>
          <w:tcPr>
            <w:tcW w:w="3312" w:type="dxa"/>
            <w:vAlign w:val="center"/>
          </w:tcPr>
          <w:p w14:paraId="54597922" w14:textId="77777777" w:rsidR="006B42EB" w:rsidRDefault="00000000">
            <w:pPr>
              <w:spacing w:after="40"/>
            </w:pPr>
            <w:r>
              <w:rPr>
                <w:sz w:val="19"/>
              </w:rPr>
              <w:t>Recommendation tie-break</w:t>
            </w:r>
          </w:p>
        </w:tc>
        <w:tc>
          <w:tcPr>
            <w:tcW w:w="3312" w:type="dxa"/>
            <w:gridSpan w:val="2"/>
            <w:vAlign w:val="center"/>
          </w:tcPr>
          <w:p w14:paraId="0788F641" w14:textId="77777777" w:rsidR="006B42EB" w:rsidRDefault="00000000">
            <w:pPr>
              <w:spacing w:after="40"/>
            </w:pPr>
            <w:r>
              <w:rPr>
                <w:sz w:val="19"/>
              </w:rPr>
              <w:t>Descending score, then lexicographic concept_id.</w:t>
            </w:r>
          </w:p>
        </w:tc>
        <w:tc>
          <w:tcPr>
            <w:tcW w:w="3312" w:type="dxa"/>
            <w:vAlign w:val="center"/>
          </w:tcPr>
          <w:p w14:paraId="2C5BDA7B" w14:textId="77777777" w:rsidR="006B42EB" w:rsidRDefault="00000000">
            <w:pPr>
              <w:spacing w:after="40"/>
            </w:pPr>
            <w:r>
              <w:rPr>
                <w:sz w:val="19"/>
              </w:rPr>
              <w:t>Before confirmatory recruitment</w:t>
            </w:r>
          </w:p>
        </w:tc>
      </w:tr>
      <w:tr w:rsidR="006B42EB" w14:paraId="6FC94B13" w14:textId="77777777">
        <w:trPr>
          <w:jc w:val="center"/>
        </w:trPr>
        <w:tc>
          <w:tcPr>
            <w:tcW w:w="3312" w:type="dxa"/>
            <w:vAlign w:val="center"/>
          </w:tcPr>
          <w:p w14:paraId="60C60050" w14:textId="77777777" w:rsidR="006B42EB" w:rsidRDefault="00000000">
            <w:pPr>
              <w:spacing w:after="40"/>
            </w:pPr>
            <w:r>
              <w:rPr>
                <w:sz w:val="19"/>
              </w:rPr>
              <w:t xml:space="preserve">Recommendation recomputation </w:t>
            </w:r>
            <w:r>
              <w:rPr>
                <w:sz w:val="19"/>
              </w:rPr>
              <w:lastRenderedPageBreak/>
              <w:t>cadence</w:t>
            </w:r>
          </w:p>
        </w:tc>
        <w:tc>
          <w:tcPr>
            <w:tcW w:w="3312" w:type="dxa"/>
            <w:gridSpan w:val="2"/>
            <w:vAlign w:val="center"/>
          </w:tcPr>
          <w:p w14:paraId="2706DDDF" w14:textId="77777777" w:rsidR="006B42EB" w:rsidRDefault="00000000">
            <w:pPr>
              <w:spacing w:after="40"/>
            </w:pPr>
            <w:r>
              <w:rPr>
                <w:sz w:val="19"/>
              </w:rPr>
              <w:lastRenderedPageBreak/>
              <w:t xml:space="preserve">Every recommendation opportunity, using </w:t>
            </w:r>
            <w:r>
              <w:rPr>
                <w:sz w:val="19"/>
              </w:rPr>
              <w:lastRenderedPageBreak/>
              <w:t>current learner state.</w:t>
            </w:r>
          </w:p>
        </w:tc>
        <w:tc>
          <w:tcPr>
            <w:tcW w:w="3312" w:type="dxa"/>
            <w:vAlign w:val="center"/>
          </w:tcPr>
          <w:p w14:paraId="4D7A8190" w14:textId="77777777" w:rsidR="006B42EB" w:rsidRDefault="00000000">
            <w:pPr>
              <w:spacing w:after="40"/>
            </w:pPr>
            <w:r>
              <w:rPr>
                <w:sz w:val="19"/>
              </w:rPr>
              <w:lastRenderedPageBreak/>
              <w:t>Before confirmatory recruitment</w:t>
            </w:r>
          </w:p>
        </w:tc>
      </w:tr>
      <w:tr w:rsidR="006B42EB" w14:paraId="68ECED0F" w14:textId="77777777">
        <w:trPr>
          <w:jc w:val="center"/>
        </w:trPr>
        <w:tc>
          <w:tcPr>
            <w:tcW w:w="3312" w:type="dxa"/>
            <w:vAlign w:val="center"/>
          </w:tcPr>
          <w:p w14:paraId="185208F9" w14:textId="77777777" w:rsidR="006B42EB" w:rsidRDefault="00000000">
            <w:pPr>
              <w:spacing w:after="40"/>
            </w:pPr>
            <w:r>
              <w:rPr>
                <w:sz w:val="19"/>
              </w:rPr>
              <w:t>Subject-specific</w:t>
            </w:r>
            <m:oMath>
              <m:sSub>
                <m:sSubPr>
                  <m:ctrlPr>
                    <w:rPr>
                      <w:rFonts w:ascii="Cambria Math" w:hAnsi="Cambria Math"/>
                    </w:rPr>
                  </m:ctrlPr>
                </m:sSubPr>
                <m:e>
                  <m:r>
                    <w:rPr>
                      <w:rFonts w:ascii="Cambria Math" w:hAnsi="Cambria Math"/>
                    </w:rPr>
                    <m:t>K</m:t>
                  </m:r>
                </m:e>
                <m:sub>
                  <m:r>
                    <w:rPr>
                      <w:rFonts w:ascii="Cambria Math" w:hAnsi="Cambria Math"/>
                    </w:rPr>
                    <m:t>s</m:t>
                  </m:r>
                </m:sub>
              </m:sSub>
            </m:oMath>
          </w:p>
        </w:tc>
        <w:tc>
          <w:tcPr>
            <w:tcW w:w="3312" w:type="dxa"/>
            <w:gridSpan w:val="2"/>
            <w:vAlign w:val="center"/>
          </w:tcPr>
          <w:p w14:paraId="1E2EEFAE" w14:textId="77777777" w:rsidR="006B42EB" w:rsidRDefault="00000000">
            <w:pPr>
              <w:spacing w:after="40"/>
            </w:pPr>
            <w:r>
              <w:rPr>
                <w:sz w:val="19"/>
              </w:rPr>
              <w:t>Pilot-determined under fixed rule</w:t>
            </w:r>
          </w:p>
        </w:tc>
        <w:tc>
          <w:tcPr>
            <w:tcW w:w="3312" w:type="dxa"/>
            <w:vAlign w:val="center"/>
          </w:tcPr>
          <w:p w14:paraId="09ADBB09" w14:textId="77777777" w:rsidR="006B42EB" w:rsidRDefault="00000000">
            <w:pPr>
              <w:spacing w:after="40"/>
            </w:pPr>
            <w:r>
              <w:rPr>
                <w:sz w:val="19"/>
              </w:rPr>
              <w:t>Before subject confirmatory recruitment</w:t>
            </w:r>
          </w:p>
        </w:tc>
      </w:tr>
      <w:tr w:rsidR="006B42EB" w14:paraId="4F52CA4F" w14:textId="77777777">
        <w:trPr>
          <w:jc w:val="center"/>
        </w:trPr>
        <w:tc>
          <w:tcPr>
            <w:tcW w:w="3312" w:type="dxa"/>
            <w:vAlign w:val="center"/>
          </w:tcPr>
          <w:p w14:paraId="644F3968" w14:textId="77777777" w:rsidR="006B42EB" w:rsidRDefault="00000000">
            <w:pPr>
              <w:spacing w:after="40"/>
            </w:pPr>
            <w:r>
              <w:rPr>
                <w:sz w:val="19"/>
              </w:rPr>
              <w:t>Subject intervention duration</w:t>
            </w:r>
          </w:p>
        </w:tc>
        <w:tc>
          <w:tcPr>
            <w:tcW w:w="3312" w:type="dxa"/>
            <w:gridSpan w:val="2"/>
            <w:vAlign w:val="center"/>
          </w:tcPr>
          <w:p w14:paraId="4E5A2645" w14:textId="77777777" w:rsidR="006B42EB" w:rsidRDefault="00000000">
            <w:pPr>
              <w:spacing w:after="40"/>
            </w:pPr>
            <w:r>
              <w:rPr>
                <w:sz w:val="19"/>
              </w:rPr>
              <w:t>Pilot-determined under fixed rule</w:t>
            </w:r>
          </w:p>
        </w:tc>
        <w:tc>
          <w:tcPr>
            <w:tcW w:w="3312" w:type="dxa"/>
            <w:vAlign w:val="center"/>
          </w:tcPr>
          <w:p w14:paraId="737AF696" w14:textId="77777777" w:rsidR="006B42EB" w:rsidRDefault="00000000">
            <w:pPr>
              <w:spacing w:after="40"/>
            </w:pPr>
            <w:r>
              <w:rPr>
                <w:sz w:val="19"/>
              </w:rPr>
              <w:t>Before subject confirmatory recruitment</w:t>
            </w:r>
          </w:p>
        </w:tc>
      </w:tr>
      <w:tr w:rsidR="006B42EB" w14:paraId="62119F5F" w14:textId="77777777">
        <w:trPr>
          <w:jc w:val="center"/>
        </w:trPr>
        <w:tc>
          <w:tcPr>
            <w:tcW w:w="3312" w:type="dxa"/>
            <w:vAlign w:val="center"/>
          </w:tcPr>
          <w:p w14:paraId="36280F3E" w14:textId="77777777" w:rsidR="006B42EB" w:rsidRDefault="00000000">
            <w:pPr>
              <w:spacing w:after="40"/>
            </w:pPr>
            <w:r>
              <w:rPr>
                <w:sz w:val="19"/>
              </w:rPr>
              <w:t>Comparator sources</w:t>
            </w:r>
          </w:p>
        </w:tc>
        <w:tc>
          <w:tcPr>
            <w:tcW w:w="3312" w:type="dxa"/>
            <w:gridSpan w:val="2"/>
            <w:vAlign w:val="center"/>
          </w:tcPr>
          <w:p w14:paraId="39DD8F7F" w14:textId="77777777" w:rsidR="006B42EB" w:rsidRDefault="00000000">
            <w:pPr>
              <w:spacing w:after="40"/>
            </w:pPr>
            <w:r>
              <w:rPr>
                <w:sz w:val="19"/>
              </w:rPr>
              <w:t>Frozen external source set per subject</w:t>
            </w:r>
          </w:p>
        </w:tc>
        <w:tc>
          <w:tcPr>
            <w:tcW w:w="3312" w:type="dxa"/>
            <w:vAlign w:val="center"/>
          </w:tcPr>
          <w:p w14:paraId="03D6CA0A" w14:textId="77777777" w:rsidR="006B42EB" w:rsidRDefault="00000000">
            <w:pPr>
              <w:spacing w:after="40"/>
            </w:pPr>
            <w:r>
              <w:rPr>
                <w:sz w:val="19"/>
              </w:rPr>
              <w:t>Before subject confirmatory recruitment</w:t>
            </w:r>
          </w:p>
        </w:tc>
      </w:tr>
      <w:tr w:rsidR="006B42EB" w14:paraId="2140901D" w14:textId="77777777">
        <w:trPr>
          <w:jc w:val="center"/>
        </w:trPr>
        <w:tc>
          <w:tcPr>
            <w:tcW w:w="3312" w:type="dxa"/>
            <w:vAlign w:val="center"/>
          </w:tcPr>
          <w:p w14:paraId="591BF320" w14:textId="77777777" w:rsidR="006B42EB" w:rsidRDefault="00000000">
            <w:pPr>
              <w:spacing w:after="40"/>
            </w:pPr>
            <w:r>
              <w:rPr>
                <w:sz w:val="19"/>
              </w:rPr>
              <w:t>Comparator sequence</w:t>
            </w:r>
          </w:p>
        </w:tc>
        <w:tc>
          <w:tcPr>
            <w:tcW w:w="3312" w:type="dxa"/>
            <w:gridSpan w:val="2"/>
            <w:vAlign w:val="center"/>
          </w:tcPr>
          <w:p w14:paraId="204AF6E2" w14:textId="77777777" w:rsidR="006B42EB" w:rsidRDefault="00000000">
            <w:pPr>
              <w:spacing w:after="40"/>
            </w:pPr>
            <w:r>
              <w:rPr>
                <w:sz w:val="19"/>
              </w:rPr>
              <w:t>Frozen rank-aggregated sequence per subject</w:t>
            </w:r>
          </w:p>
        </w:tc>
        <w:tc>
          <w:tcPr>
            <w:tcW w:w="3312" w:type="dxa"/>
            <w:vAlign w:val="center"/>
          </w:tcPr>
          <w:p w14:paraId="76EDF0EC" w14:textId="77777777" w:rsidR="006B42EB" w:rsidRDefault="00000000">
            <w:pPr>
              <w:spacing w:after="40"/>
            </w:pPr>
            <w:r>
              <w:rPr>
                <w:sz w:val="19"/>
              </w:rPr>
              <w:t>Before subject confirmatory recruitment</w:t>
            </w:r>
          </w:p>
        </w:tc>
      </w:tr>
      <w:tr w:rsidR="006B42EB" w14:paraId="355C2556" w14:textId="77777777">
        <w:trPr>
          <w:jc w:val="center"/>
        </w:trPr>
        <w:tc>
          <w:tcPr>
            <w:tcW w:w="3312" w:type="dxa"/>
            <w:vAlign w:val="center"/>
          </w:tcPr>
          <w:p w14:paraId="44E55E1C" w14:textId="77777777" w:rsidR="006B42EB" w:rsidRDefault="00000000">
            <w:pPr>
              <w:spacing w:after="40"/>
            </w:pPr>
            <w:r>
              <w:rPr>
                <w:sz w:val="19"/>
              </w:rPr>
              <w:t>Expert panel realized N</w:t>
            </w:r>
          </w:p>
        </w:tc>
        <w:tc>
          <w:tcPr>
            <w:tcW w:w="3312" w:type="dxa"/>
            <w:gridSpan w:val="2"/>
            <w:vAlign w:val="center"/>
          </w:tcPr>
          <w:p w14:paraId="2E582D24" w14:textId="77777777" w:rsidR="006B42EB" w:rsidRDefault="00000000">
            <w:pPr>
              <w:spacing w:after="40"/>
            </w:pPr>
            <w:r>
              <w:rPr>
                <w:sz w:val="19"/>
              </w:rPr>
              <w:t>Recorded after recruitment</w:t>
            </w:r>
          </w:p>
        </w:tc>
        <w:tc>
          <w:tcPr>
            <w:tcW w:w="3312" w:type="dxa"/>
            <w:vAlign w:val="center"/>
          </w:tcPr>
          <w:p w14:paraId="07C8972C" w14:textId="77777777" w:rsidR="006B42EB" w:rsidRDefault="00000000">
            <w:pPr>
              <w:spacing w:after="40"/>
            </w:pPr>
            <w:r>
              <w:rPr>
                <w:sz w:val="19"/>
              </w:rPr>
              <w:t>Before SQ1 analysis</w:t>
            </w:r>
          </w:p>
        </w:tc>
      </w:tr>
      <w:tr w:rsidR="006B42EB" w14:paraId="7A5C907F" w14:textId="77777777">
        <w:trPr>
          <w:jc w:val="center"/>
        </w:trPr>
        <w:tc>
          <w:tcPr>
            <w:tcW w:w="3312" w:type="dxa"/>
            <w:vAlign w:val="center"/>
          </w:tcPr>
          <w:p w14:paraId="2B11307B" w14:textId="77777777" w:rsidR="006B42EB" w:rsidRDefault="00000000">
            <w:pPr>
              <w:spacing w:after="40"/>
            </w:pPr>
            <w:r>
              <w:rPr>
                <w:sz w:val="19"/>
              </w:rPr>
              <w:t>Final sample size</w:t>
            </w:r>
          </w:p>
        </w:tc>
        <w:tc>
          <w:tcPr>
            <w:tcW w:w="3312" w:type="dxa"/>
            <w:gridSpan w:val="2"/>
            <w:vAlign w:val="center"/>
          </w:tcPr>
          <w:p w14:paraId="4D7DA929" w14:textId="77777777" w:rsidR="006B42EB" w:rsidRDefault="00000000">
            <w:pPr>
              <w:spacing w:after="40"/>
            </w:pPr>
            <w:r>
              <w:rPr>
                <w:sz w:val="19"/>
              </w:rPr>
              <w:t>Monte Carlo robust-region selection</w:t>
            </w:r>
          </w:p>
        </w:tc>
        <w:tc>
          <w:tcPr>
            <w:tcW w:w="3312" w:type="dxa"/>
            <w:vAlign w:val="center"/>
          </w:tcPr>
          <w:p w14:paraId="68CF78DC" w14:textId="77777777" w:rsidR="006B42EB" w:rsidRDefault="00000000">
            <w:pPr>
              <w:spacing w:after="40"/>
            </w:pPr>
            <w:r>
              <w:rPr>
                <w:sz w:val="19"/>
              </w:rPr>
              <w:t>Before confirmatory recruitment</w:t>
            </w:r>
          </w:p>
        </w:tc>
      </w:tr>
      <w:tr w:rsidR="006B42EB" w14:paraId="674D778E" w14:textId="77777777">
        <w:trPr>
          <w:jc w:val="center"/>
        </w:trPr>
        <w:tc>
          <w:tcPr>
            <w:tcW w:w="3312" w:type="dxa"/>
            <w:vAlign w:val="center"/>
          </w:tcPr>
          <w:p w14:paraId="4C204CA6" w14:textId="77777777" w:rsidR="006B42EB" w:rsidRDefault="00000000">
            <w:pPr>
              <w:spacing w:after="40"/>
            </w:pPr>
            <w:r>
              <w:rPr>
                <w:sz w:val="19"/>
              </w:rPr>
              <w:t>Randomization seed</w:t>
            </w:r>
          </w:p>
        </w:tc>
        <w:tc>
          <w:tcPr>
            <w:tcW w:w="3312" w:type="dxa"/>
            <w:gridSpan w:val="2"/>
            <w:vAlign w:val="center"/>
          </w:tcPr>
          <w:p w14:paraId="0E296788" w14:textId="77777777" w:rsidR="006B42EB" w:rsidRDefault="00000000">
            <w:pPr>
              <w:spacing w:after="40"/>
            </w:pPr>
            <w:r>
              <w:rPr>
                <w:sz w:val="19"/>
              </w:rPr>
              <w:t>Archived seed</w:t>
            </w:r>
          </w:p>
        </w:tc>
        <w:tc>
          <w:tcPr>
            <w:tcW w:w="3312" w:type="dxa"/>
            <w:vAlign w:val="center"/>
          </w:tcPr>
          <w:p w14:paraId="65757D1C" w14:textId="77777777" w:rsidR="006B42EB" w:rsidRDefault="00000000">
            <w:pPr>
              <w:spacing w:after="40"/>
            </w:pPr>
            <w:r>
              <w:rPr>
                <w:sz w:val="19"/>
              </w:rPr>
              <w:t>Before confirmatory recruitment</w:t>
            </w:r>
          </w:p>
        </w:tc>
      </w:tr>
    </w:tbl>
    <w:p w14:paraId="21F0815E" w14:textId="77777777" w:rsidR="006B42EB" w:rsidRDefault="00000000">
      <w:pPr>
        <w:pStyle w:val="Heading1"/>
      </w:pPr>
      <w:r>
        <w:t>24. Methodological references</w:t>
      </w:r>
    </w:p>
    <w:p w14:paraId="229FB384" w14:textId="77777777" w:rsidR="006B42EB" w:rsidRDefault="00000000">
      <w:r>
        <w:t>The following methodological references support reporting transparency, clustered and blocked trial considerations, and agreement-measure selection. They do not override the study's research questions or prespecified design.</w:t>
      </w:r>
    </w:p>
    <w:p w14:paraId="63B6838D" w14:textId="77777777" w:rsidR="006B42EB" w:rsidRDefault="00000000">
      <w:pPr>
        <w:pStyle w:val="ListBullet"/>
      </w:pPr>
      <w:r>
        <w:t>Campbell MK, Elbourne DR, Altman DG. CONSORT statement: extension to cluster randomised trials. BMJ. 2004;328:702. https://www.bmj.com/content/328/7441/702</w:t>
      </w:r>
    </w:p>
    <w:p w14:paraId="6BE1A5B1" w14:textId="77777777" w:rsidR="006B42EB" w:rsidRDefault="00000000">
      <w:pPr>
        <w:pStyle w:val="ListBullet"/>
      </w:pPr>
      <w:r>
        <w:t>Campbell MK et al. CONSORT 2010 statement: extension to cluster randomised trials. BMJ. 2012;345:e5661. https://www.bmj.com/content/345/bmj.e5661</w:t>
      </w:r>
    </w:p>
    <w:p w14:paraId="4A9E5F9A" w14:textId="77777777" w:rsidR="006B42EB" w:rsidRDefault="00000000">
      <w:pPr>
        <w:pStyle w:val="ListBullet"/>
      </w:pPr>
      <w:r>
        <w:t>McKenzie JE et al. Reporting of cluster randomised crossover trials: extension of CONSORT 2010 with explanation and elaboration. BMJ. https://www.bmj.com/content/388/bmj-2024-080472</w:t>
      </w:r>
    </w:p>
    <w:p w14:paraId="38C66ACA" w14:textId="77777777" w:rsidR="006B42EB" w:rsidRDefault="00000000">
      <w:pPr>
        <w:pStyle w:val="ListBullet"/>
      </w:pPr>
      <w:r>
        <w:t>Gwet's AC1 literature on prevalence-related limitations of kappa and complementary agreement measures. https://pubmed.ncbi.nlm.nih.gov/29238424/</w:t>
      </w:r>
    </w:p>
    <w:p w14:paraId="2EFBAB0A" w14:textId="77777777" w:rsidR="006B42EB" w:rsidRDefault="00000000">
      <w:pPr>
        <w:pStyle w:val="Heading1"/>
      </w:pPr>
      <w:r>
        <w:t>25. Protocol specification</w:t>
      </w:r>
    </w:p>
    <w:p w14:paraId="07DD6871" w14:textId="14B747E8" w:rsidR="006B42EB" w:rsidRDefault="00000000">
      <w:pPr>
        <w:pStyle w:val="ProtocolBox"/>
      </w:pPr>
      <w:r>
        <w:rPr>
          <w:rFonts w:ascii="Times New Roman" w:hAnsi="Times New Roman"/>
          <w:color w:val="000000"/>
        </w:rPr>
        <w:t>Protocol specification</w:t>
      </w:r>
      <w:r>
        <w:rPr>
          <w:rFonts w:ascii="Times New Roman" w:hAnsi="Times New Roman"/>
          <w:color w:val="000000"/>
        </w:rPr>
        <w:br/>
        <w:t>The primary randomized experiment evaluates assignment to the frozen Balanced Step Zero recommendation policy versus a standardized conventional sequence. Students are individually randomized within tutor groups and subject, the primary outcome is a control-referenced standardized posttest score, and the primary treatment effect is estimated using a model that includes treatment, tutor-group fixed effects, baseline mastery, subject, and treatment-by-subject interaction, followed by the prespecified student-weighted contrast. The Balanced Step Zero policy is defined by the machine-readable intervention artifact data/interventions/balanced_step_zero.json</w:t>
      </w:r>
      <w:r w:rsidR="00073C68">
        <w:rPr>
          <w:rFonts w:ascii="Times New Roman" w:hAnsi="Times New Roman"/>
          <w:color w:val="000000"/>
        </w:rPr>
        <w:t>.</w:t>
      </w:r>
    </w:p>
    <w:p w14:paraId="53FC674E" w14:textId="77777777" w:rsidR="006B42EB" w:rsidRDefault="00000000">
      <w:r>
        <w:t>The intervention configuration, graph versions, comparator sequences, assessment specification, randomization procedure, analysis plan, and other parameters identified in the protocol freeze table must be archived before confirmatory recruitment. Any subsequent change is recorded as a protocol deviation and does not silently replace the prespecified analysis or intervention.</w:t>
      </w:r>
    </w:p>
    <w:sectPr w:rsidR="006B42EB" w:rsidSect="00034616">
      <w:footerReference w:type="default" r:id="rId8"/>
      <w:pgSz w:w="12240" w:h="15840"/>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F2EA2" w14:textId="77777777" w:rsidR="00A64EF1" w:rsidRDefault="00A64EF1">
      <w:pPr>
        <w:spacing w:after="0" w:line="240" w:lineRule="auto"/>
      </w:pPr>
      <w:r>
        <w:separator/>
      </w:r>
    </w:p>
  </w:endnote>
  <w:endnote w:type="continuationSeparator" w:id="0">
    <w:p w14:paraId="61DE381D" w14:textId="77777777" w:rsidR="00A64EF1" w:rsidRDefault="00A64E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22A60" w14:textId="77777777" w:rsidR="006B42EB" w:rsidRDefault="00000000">
    <w:pPr>
      <w:pStyle w:val="Footer"/>
      <w:jc w:val="center"/>
    </w:pPr>
    <w:r>
      <w:rPr>
        <w:sz w:val="18"/>
      </w:rPr>
      <w:t xml:space="preserve">Page </w:t>
    </w:r>
    <w:r>
      <w:rPr>
        <w:sz w:val="18"/>
      </w:rPr>
      <w:fldChar w:fldCharType="begin"/>
    </w:r>
    <w:r>
      <w:rPr>
        <w:sz w:val="18"/>
      </w:rPr>
      <w:instrText xml:space="preserve"> PAGE </w:instrText>
    </w:r>
    <w:r>
      <w:rPr>
        <w:sz w:val="18"/>
      </w:rPr>
      <w:fldChar w:fldCharType="separate"/>
    </w:r>
    <w:r w:rsidR="0020238C">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70EB42" w14:textId="77777777" w:rsidR="00A64EF1" w:rsidRDefault="00A64EF1">
      <w:pPr>
        <w:spacing w:after="0" w:line="240" w:lineRule="auto"/>
      </w:pPr>
      <w:r>
        <w:separator/>
      </w:r>
    </w:p>
  </w:footnote>
  <w:footnote w:type="continuationSeparator" w:id="0">
    <w:p w14:paraId="2EB6115A" w14:textId="77777777" w:rsidR="00A64EF1" w:rsidRDefault="00A64E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5607026">
    <w:abstractNumId w:val="8"/>
  </w:num>
  <w:num w:numId="2" w16cid:durableId="795567645">
    <w:abstractNumId w:val="6"/>
  </w:num>
  <w:num w:numId="3" w16cid:durableId="1157652542">
    <w:abstractNumId w:val="5"/>
  </w:num>
  <w:num w:numId="4" w16cid:durableId="830482231">
    <w:abstractNumId w:val="4"/>
  </w:num>
  <w:num w:numId="5" w16cid:durableId="499127173">
    <w:abstractNumId w:val="7"/>
  </w:num>
  <w:num w:numId="6" w16cid:durableId="1216816316">
    <w:abstractNumId w:val="3"/>
  </w:num>
  <w:num w:numId="7" w16cid:durableId="2024429822">
    <w:abstractNumId w:val="2"/>
  </w:num>
  <w:num w:numId="8" w16cid:durableId="176699033">
    <w:abstractNumId w:val="1"/>
  </w:num>
  <w:num w:numId="9" w16cid:durableId="20368068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A24"/>
    <w:rsid w:val="00073C68"/>
    <w:rsid w:val="00091D8E"/>
    <w:rsid w:val="0015074B"/>
    <w:rsid w:val="0020238C"/>
    <w:rsid w:val="0029639D"/>
    <w:rsid w:val="00326F90"/>
    <w:rsid w:val="0039308B"/>
    <w:rsid w:val="00561607"/>
    <w:rsid w:val="006B42EB"/>
    <w:rsid w:val="006D6A0D"/>
    <w:rsid w:val="00732762"/>
    <w:rsid w:val="00963A8D"/>
    <w:rsid w:val="009B0F45"/>
    <w:rsid w:val="00A64EF1"/>
    <w:rsid w:val="00AA1D8D"/>
    <w:rsid w:val="00B47730"/>
    <w:rsid w:val="00B64A87"/>
    <w:rsid w:val="00CB0664"/>
    <w:rsid w:val="00D307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C80D82"/>
  <w14:defaultImageDpi w14:val="300"/>
  <w15:docId w15:val="{7EA7485B-509B-41B9-BB6F-84560BAEF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after="100" w:line="240" w:lineRule="auto"/>
      <w:contextualSpacing/>
    </w:pPr>
    <w:rPr>
      <w:rFonts w:asciiTheme="majorHAnsi" w:eastAsiaTheme="majorEastAsia" w:hAnsiTheme="majorHAnsi" w:cstheme="majorBidi"/>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7"/>
    </w:rPr>
  </w:style>
  <w:style w:type="paragraph" w:customStyle="1" w:styleId="ProtocolBox">
    <w:name w:val="Protocol Box"/>
    <w:pPr>
      <w:spacing w:before="80" w:after="80"/>
    </w:pPr>
    <w:rPr>
      <w:rFonts w:ascii="Aptos" w:hAnsi="Aptos"/>
      <w:sz w:val="19"/>
    </w:rPr>
  </w:style>
  <w:style w:type="character" w:styleId="PlaceholderText">
    <w:name w:val="Placeholder Text"/>
    <w:basedOn w:val="DefaultParagraphFont"/>
    <w:uiPriority w:val="99"/>
    <w:semiHidden/>
    <w:rsid w:val="009B0F4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19</Pages>
  <Words>6948</Words>
  <Characters>39608</Characters>
  <Application>Microsoft Office Word</Application>
  <DocSecurity>0</DocSecurity>
  <Lines>330</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46464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Ritayush Dey</cp:lastModifiedBy>
  <cp:revision>10</cp:revision>
  <dcterms:created xsi:type="dcterms:W3CDTF">2013-12-23T23:15:00Z</dcterms:created>
  <dcterms:modified xsi:type="dcterms:W3CDTF">2026-09-29T09:42:00Z</dcterms:modified>
  <cp:category/>
</cp:coreProperties>
</file>