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bidi w:val="0"/>
      </w:pPr>
      <w:r>
        <w:rPr>
          <w:rtl w:val="0"/>
        </w:rPr>
        <w:t>Test Plan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Necessary cases to test will vary by problem.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As a starting point, write a test plan that looks for:</w:t>
      </w:r>
      <w:r>
        <w:rPr>
          <w:sz w:val="24"/>
          <w:szCs w:val="24"/>
        </w:rPr>
        <w:br w:type="textWrapping"/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typical cases for the problem given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the boundary conditions on all input values</w:t>
      </w:r>
    </w:p>
    <w:p>
      <w:pPr>
        <w:pStyle w:val="Body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invalid inputs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Show the input sequence for a given case, and list the expected output.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 xml:space="preserve">One example from the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Calendar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assessment from earlier this year is shown below.  You can replace this with your own test case.</w:t>
      </w:r>
    </w:p>
    <w:p>
      <w:pPr>
        <w:pStyle w:val="Body"/>
        <w:jc w:val="left"/>
        <w:rPr>
          <w:sz w:val="24"/>
          <w:szCs w:val="24"/>
        </w:rPr>
      </w:pPr>
    </w:p>
    <w:tbl>
      <w:tblPr>
        <w:tblW w:w="12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1"/>
        <w:gridCol w:w="8179"/>
      </w:tblGrid>
      <w:tr>
        <w:tblPrEx>
          <w:shd w:val="clear" w:color="auto" w:fill="bdc0bf"/>
        </w:tblPrEx>
        <w:trPr>
          <w:trHeight w:val="288" w:hRule="atLeast"/>
          <w:tblHeader/>
        </w:trPr>
        <w:tc>
          <w:tcPr>
            <w:tcW w:type="dxa" w:w="1296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9a9a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jc w:val="left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Test Cases</w:t>
            </w:r>
          </w:p>
        </w:tc>
      </w:tr>
      <w:tr>
        <w:tblPrEx>
          <w:shd w:val="clear" w:color="auto" w:fill="bdc0bf"/>
        </w:tblPrEx>
        <w:trPr>
          <w:trHeight w:val="278" w:hRule="atLeast"/>
          <w:tblHeader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Description</w:t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jc w:val="left"/>
            </w:pPr>
            <w:r>
              <w:rPr>
                <w:rFonts w:ascii="Helvetica" w:hAnsi="Helvetica"/>
                <w:b w:val="1"/>
                <w:bCs w:val="1"/>
                <w:sz w:val="18"/>
                <w:szCs w:val="18"/>
                <w:rtl w:val="0"/>
              </w:rPr>
              <w:t>Given Input (in bold) and Expected Output</w:t>
            </w:r>
          </w:p>
        </w:tc>
      </w:tr>
      <w:tr>
        <w:tblPrEx>
          <w:shd w:val="clear" w:color="auto" w:fill="auto"/>
        </w:tblPrEx>
        <w:trPr>
          <w:trHeight w:val="2868" w:hRule="atLeast"/>
        </w:trPr>
        <w:tc>
          <w:tcPr>
            <w:tcW w:type="dxa" w:w="47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 w:hint="default"/>
                <w:sz w:val="20"/>
                <w:szCs w:val="20"/>
                <w:rtl w:val="0"/>
              </w:rPr>
              <w:t>“</w:t>
            </w:r>
            <w:r>
              <w:rPr>
                <w:rFonts w:ascii="Helvetica" w:hAnsi="Helvetica"/>
                <w:sz w:val="20"/>
                <w:szCs w:val="20"/>
                <w:rtl w:val="0"/>
              </w:rPr>
              <w:t>Typical</w:t>
            </w:r>
            <w:r>
              <w:rPr>
                <w:rFonts w:ascii="Helvetica" w:hAnsi="Helvetica" w:hint="default"/>
                <w:sz w:val="20"/>
                <w:szCs w:val="20"/>
                <w:rtl w:val="0"/>
              </w:rPr>
              <w:t xml:space="preserve">” </w:t>
            </w:r>
            <w:r>
              <w:rPr>
                <w:rFonts w:ascii="Helvetica" w:hAnsi="Helvetica"/>
                <w:sz w:val="20"/>
                <w:szCs w:val="20"/>
                <w:rtl w:val="0"/>
              </w:rPr>
              <w:t>case</w:t>
            </w:r>
            <w:r>
              <w:rPr>
                <w:rFonts w:ascii="Helvetica" w:hAnsi="Helvetica" w:hint="default"/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W w:type="dxa" w:w="8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Enter day: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5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Enter the number of days in the month: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30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Enter the special day: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b w:val="1"/>
                <w:bCs w:val="1"/>
                <w:sz w:val="18"/>
                <w:szCs w:val="18"/>
              </w:rPr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15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en-US"/>
              </w:rPr>
              <w:t>Sun Mon Tue Wed Thr Fri Sat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de-DE"/>
              </w:rPr>
              <w:t xml:space="preserve">                  1   2   3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de-DE"/>
              </w:rPr>
              <w:t xml:space="preserve">  4   5   6   7   8   9  10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de-DE"/>
              </w:rPr>
              <w:t xml:space="preserve"> 11  12  13  14 *15  16  17</w:t>
            </w:r>
          </w:p>
          <w:p>
            <w:pPr>
              <w:pStyle w:val="Default"/>
              <w:jc w:val="left"/>
              <w:rPr>
                <w:rFonts w:ascii="Courier" w:cs="Courier" w:hAnsi="Courier" w:eastAsia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rtl w:val="0"/>
                <w:lang w:val="de-DE"/>
              </w:rPr>
              <w:t xml:space="preserve"> 18  19  20  21  22  23  24</w:t>
            </w:r>
          </w:p>
          <w:p>
            <w:pPr>
              <w:pStyle w:val="Default"/>
              <w:jc w:val="left"/>
            </w:pPr>
            <w:r>
              <w:rPr>
                <w:rFonts w:ascii="Courier" w:hAnsi="Courier"/>
                <w:sz w:val="18"/>
                <w:szCs w:val="18"/>
                <w:rtl w:val="0"/>
                <w:lang w:val="de-DE"/>
              </w:rPr>
              <w:t xml:space="preserve"> 25  26  27  28  29  30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4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Enter a description here</w:t>
            </w:r>
          </w:p>
        </w:tc>
        <w:tc>
          <w:tcPr>
            <w:tcW w:type="dxa" w:w="817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left"/>
            </w:pPr>
            <w:r>
              <w:rPr>
                <w:rFonts w:ascii="Courier" w:hAnsi="Courier"/>
                <w:b w:val="1"/>
                <w:bCs w:val="1"/>
                <w:sz w:val="18"/>
                <w:szCs w:val="18"/>
                <w:rtl w:val="0"/>
              </w:rPr>
              <w:t>Show the input / output here</w:t>
            </w:r>
          </w:p>
        </w:tc>
      </w:tr>
    </w:tbl>
    <w:p>
      <w:pPr>
        <w:pStyle w:val="Body"/>
        <w:jc w:val="left"/>
        <w:rPr>
          <w:sz w:val="24"/>
          <w:szCs w:val="24"/>
        </w:rPr>
      </w:pPr>
    </w:p>
    <w:p>
      <w:pPr>
        <w:pStyle w:val="Heading 2"/>
        <w:jc w:val="left"/>
      </w:pPr>
      <w:r>
        <w:rPr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