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F2E4" w14:textId="555F8AEC" w:rsidR="00D37651" w:rsidRPr="00D37651" w:rsidRDefault="4B73155C" w:rsidP="00D916C1">
      <w:pPr>
        <w:spacing w:before="0" w:after="240" w:line="240" w:lineRule="auto"/>
        <w:jc w:val="center"/>
      </w:pPr>
      <w:r w:rsidRPr="00D916C1">
        <w:rPr>
          <w:rFonts w:ascii="Sitka Display" w:hAnsi="Sitka Display"/>
          <w:color w:val="1B5633" w:themeColor="accent1"/>
          <w:sz w:val="80"/>
          <w:szCs w:val="80"/>
        </w:rPr>
        <w:t>VisionEval Tableau Visualizer User Guide</w:t>
      </w:r>
      <w:bookmarkStart w:id="0" w:name="_Hlk9169165"/>
    </w:p>
    <w:p w14:paraId="6BF35C78" w14:textId="26A05B79" w:rsidR="0077235F" w:rsidRDefault="003A0103" w:rsidP="00AE1B95">
      <w:pPr>
        <w:pStyle w:val="Heading1"/>
        <w:pageBreakBefore w:val="0"/>
        <w:spacing w:after="0"/>
      </w:pPr>
      <w:r>
        <w:t>Introduction</w:t>
      </w:r>
    </w:p>
    <w:p w14:paraId="4C562133" w14:textId="1D87B26B" w:rsidR="00FB1B09" w:rsidRPr="00FB1B09" w:rsidRDefault="00FB1B09" w:rsidP="00AE1B95">
      <w:pPr>
        <w:pStyle w:val="Heading2"/>
        <w:numPr>
          <w:ilvl w:val="0"/>
          <w:numId w:val="0"/>
        </w:numPr>
      </w:pPr>
      <w:r>
        <w:t>Purpose</w:t>
      </w:r>
    </w:p>
    <w:p w14:paraId="0E7BD3DB" w14:textId="4A271DF5" w:rsidR="008459EA" w:rsidRDefault="00B60C0A" w:rsidP="008459EA">
      <w:r>
        <w:t>This user guide provides</w:t>
      </w:r>
      <w:r w:rsidR="004F0C65" w:rsidRPr="004F0C65">
        <w:t xml:space="preserve"> comprehensive instructions and guidance on how to effectively utilize the Tableau </w:t>
      </w:r>
      <w:r>
        <w:t>visualizer</w:t>
      </w:r>
      <w:r w:rsidRPr="004F0C65">
        <w:t xml:space="preserve"> </w:t>
      </w:r>
      <w:r w:rsidR="004F0C65" w:rsidRPr="004F0C65">
        <w:t xml:space="preserve">developed for VisionEval. This guide aims to help users, including VisionEval </w:t>
      </w:r>
      <w:r w:rsidR="00DC139D">
        <w:t xml:space="preserve">pooled fund </w:t>
      </w:r>
      <w:r w:rsidR="004F0C65" w:rsidRPr="004F0C65">
        <w:t xml:space="preserve">participants, administrators, and data analysts, navigate and interpret the dashboard's features and functionalities. By following this guide, users will </w:t>
      </w:r>
      <w:r w:rsidR="006A36E9">
        <w:t xml:space="preserve">learn </w:t>
      </w:r>
      <w:r w:rsidR="004B463E">
        <w:t xml:space="preserve">how to set up the Tableau visualizer with their own VisionEval </w:t>
      </w:r>
      <w:r w:rsidR="006A36E9">
        <w:t>model data</w:t>
      </w:r>
      <w:r w:rsidR="006F02A5">
        <w:t xml:space="preserve"> and </w:t>
      </w:r>
      <w:r w:rsidR="004F0C65" w:rsidRPr="004F0C65">
        <w:t>gain a deeper understanding of</w:t>
      </w:r>
      <w:r w:rsidR="006A36E9">
        <w:t xml:space="preserve"> visualizer</w:t>
      </w:r>
      <w:r w:rsidR="006A36E9" w:rsidRPr="004F0C65">
        <w:t xml:space="preserve"> </w:t>
      </w:r>
      <w:r w:rsidR="004F0C65" w:rsidRPr="004F0C65">
        <w:t>navigation</w:t>
      </w:r>
      <w:r w:rsidR="006F02A5">
        <w:t>.</w:t>
      </w:r>
    </w:p>
    <w:p w14:paraId="47896907" w14:textId="2DBED606" w:rsidR="00FB1B09" w:rsidRDefault="00FB1B09" w:rsidP="00AE1B95">
      <w:pPr>
        <w:pStyle w:val="Heading2"/>
        <w:numPr>
          <w:ilvl w:val="0"/>
          <w:numId w:val="0"/>
        </w:numPr>
      </w:pPr>
      <w:r w:rsidRPr="00FB1B09">
        <w:t>Dashboard Overview</w:t>
      </w:r>
    </w:p>
    <w:p w14:paraId="37CA2295" w14:textId="77777777" w:rsidR="00E10840" w:rsidRDefault="004F63D6" w:rsidP="004F63D6">
      <w:r>
        <w:t xml:space="preserve">The Tableau dashboard for VisionEval is designed as a versatile template that can be utilized for various VisionEval scenarios, </w:t>
      </w:r>
      <w:proofErr w:type="gramStart"/>
      <w:r>
        <w:t>as long as</w:t>
      </w:r>
      <w:proofErr w:type="gramEnd"/>
      <w:r>
        <w:t xml:space="preserve"> the underlying data schema remains the same. It provides a standardized framework for visualizing and analyzing transportation-related data and policy scenarios.</w:t>
      </w:r>
      <w:r w:rsidR="00E877CA">
        <w:t xml:space="preserve"> </w:t>
      </w:r>
    </w:p>
    <w:p w14:paraId="76B99537" w14:textId="2F9665BF" w:rsidR="004F63D6" w:rsidRPr="00E877CA" w:rsidRDefault="00E877CA" w:rsidP="004F63D6">
      <w:pPr>
        <w:rPr>
          <w:i/>
          <w:iCs/>
        </w:rPr>
      </w:pPr>
      <w:r>
        <w:rPr>
          <w:i/>
          <w:iCs/>
        </w:rPr>
        <w:t>Please note the intent of this dashboard is to compare measure values across selected scenarios. The Dashboard is optimized to compare across a maximum of 15 scenarios.</w:t>
      </w:r>
    </w:p>
    <w:p w14:paraId="7C7D396D" w14:textId="28390CCF" w:rsidR="004F63D6" w:rsidRDefault="004F63D6" w:rsidP="004F63D6">
      <w:r>
        <w:t xml:space="preserve">This template dashboard offers a user-friendly interface with interactive features that enable users to explore and interpret the impacts of different policy scenarios on greenhouse gas (GHG) emissions, VMT, and many other variables. The dashboard's modular design and flexibility allow for easy customization and modification, making it adaptable to specific needs with minimal </w:t>
      </w:r>
      <w:r w:rsidR="003B04F5">
        <w:t>adjustments</w:t>
      </w:r>
      <w:r>
        <w:t>.</w:t>
      </w:r>
    </w:p>
    <w:p w14:paraId="049F3144" w14:textId="28828FB7" w:rsidR="004F63D6" w:rsidRDefault="004F63D6" w:rsidP="004F63D6">
      <w:r>
        <w:t>The dashboard's visualizations, charts, and maps provide insights into key aspects of transportation analysis, such as vehicle and fuel types, household information, and localized policy variables. Users can select specific scenarios, apply filters to examine data from different perspectives, and customize views to focus on specific regions or areas of interest. The interactive nature of the dashboard empowers users to interact with the data, uncover patterns, and make informed decisions.</w:t>
      </w:r>
    </w:p>
    <w:p w14:paraId="0E5E8F49" w14:textId="6F9154C1" w:rsidR="004F63D6" w:rsidRDefault="004F63D6" w:rsidP="004F63D6">
      <w:r>
        <w:lastRenderedPageBreak/>
        <w:t>Additionally, the template dashboard's features are easily modifiable, allowing users to tailor the visualizations and functionalities to their specific requirements. Whether it's adjusting data mappings, adding additional visual elements, or incorporating new data sources, the dashboard's flexibility facilitates customization to suit individual needs.</w:t>
      </w:r>
      <w:r w:rsidR="00732F98">
        <w:t xml:space="preserve"> More advance Tableau users can implement more substantive changes to the format of the dashboard</w:t>
      </w:r>
      <w:r w:rsidR="00CA773D">
        <w:t xml:space="preserve"> and included variables. </w:t>
      </w:r>
    </w:p>
    <w:p w14:paraId="75C20B01" w14:textId="7B60C41D" w:rsidR="008459EA" w:rsidRPr="008459EA" w:rsidRDefault="2FF01730" w:rsidP="00AE1B95">
      <w:pPr>
        <w:pStyle w:val="Heading2"/>
        <w:numPr>
          <w:ilvl w:val="1"/>
          <w:numId w:val="0"/>
        </w:numPr>
      </w:pPr>
      <w:r>
        <w:t>VisionEval Framework</w:t>
      </w:r>
    </w:p>
    <w:p w14:paraId="1836D68D" w14:textId="1F2FA0EA" w:rsidR="00CA2798" w:rsidRDefault="00CA2798" w:rsidP="00CA2798">
      <w:r>
        <w:t xml:space="preserve">VisionEval Tool is an open-source framework </w:t>
      </w:r>
      <w:r w:rsidR="009A4C3A">
        <w:t xml:space="preserve">originally </w:t>
      </w:r>
      <w:r>
        <w:t>developed through a partnership between the Federal Highway Administration (FHWA) and the Oregon Department of Transportation (ODOT). VisionEval focuses on simulating travel activity at the household level to analyze the impact of various policy scenarios on greenhouse gas (GHG) emissions.</w:t>
      </w:r>
      <w:r w:rsidR="00301FE6">
        <w:t xml:space="preserve"> </w:t>
      </w:r>
      <w:r>
        <w:t xml:space="preserve">The framework </w:t>
      </w:r>
      <w:r w:rsidR="00500CBD">
        <w:t xml:space="preserve">builds on </w:t>
      </w:r>
      <w:r>
        <w:t>several</w:t>
      </w:r>
      <w:r w:rsidR="00500CBD">
        <w:t xml:space="preserve"> predecessor</w:t>
      </w:r>
      <w:r>
        <w:t xml:space="preserve"> tools, including </w:t>
      </w:r>
      <w:proofErr w:type="spellStart"/>
      <w:r>
        <w:t>GreenSTEP</w:t>
      </w:r>
      <w:proofErr w:type="spellEnd"/>
      <w:r>
        <w:t xml:space="preserve">, </w:t>
      </w:r>
      <w:r w:rsidR="000103A3">
        <w:t xml:space="preserve">ODOT’s </w:t>
      </w:r>
      <w:r>
        <w:t xml:space="preserve">Regional Strategic Planning Model (RSPM), and the Rapid Policy Analysis Tool (RPAT) developed by the American Association of State Highway and Transportation Officials (AASHTO). </w:t>
      </w:r>
    </w:p>
    <w:p w14:paraId="25E9AA0B" w14:textId="6DF4D9D5" w:rsidR="00415A83" w:rsidRDefault="00415A83" w:rsidP="00CA2798">
      <w:r>
        <w:t>The VisionEval Concept Primer further describes how the model can be used:</w:t>
      </w:r>
      <w:r w:rsidR="00F619FB">
        <w:rPr>
          <w:rStyle w:val="FootnoteReference"/>
        </w:rPr>
        <w:footnoteReference w:id="2"/>
      </w:r>
    </w:p>
    <w:p w14:paraId="6B4F0EC0" w14:textId="77777777" w:rsidR="006D726E" w:rsidRDefault="00415A83" w:rsidP="006920DB">
      <w:pPr>
        <w:ind w:left="720"/>
      </w:pPr>
      <w:r>
        <w:t>"</w:t>
      </w:r>
      <w:r w:rsidR="00EC1B2D" w:rsidRPr="00EC1B2D">
        <w:t>Structurally, VisionEval may be described as a “disaggregate demand/aggregate supply” model. That is, it combines rich demographic and socioeconomic detail from a synthetic population with aggregate treatments of travel (multi-modal VMT and congestion without explicit trips, or transport networks). The implication of the “aggregate supply” model is that VisionEval cannot be used to evaluate performance of specific projects or corridors</w:t>
      </w:r>
      <w:r w:rsidR="00EC1B2D">
        <w:t>…</w:t>
      </w:r>
    </w:p>
    <w:p w14:paraId="0BFA5919" w14:textId="2AFE6C6D" w:rsidR="00415A83" w:rsidRDefault="00EC1B2D" w:rsidP="006920DB">
      <w:pPr>
        <w:ind w:left="720"/>
      </w:pPr>
      <w:r w:rsidRPr="00EC1B2D">
        <w:t>What VisionEval can do, and even makes especially simple, is to evaluate large numbers of scenarios and explore how combinations of alternative future conditions might affect performance measures</w:t>
      </w:r>
      <w:r w:rsidR="00F619FB">
        <w:t>.”</w:t>
      </w:r>
    </w:p>
    <w:p w14:paraId="107DFBB2" w14:textId="75EE10BD" w:rsidR="00F619FB" w:rsidRDefault="008F0EC5" w:rsidP="00CA2798">
      <w:r>
        <w:t>More information on VisionEval can be found on the project website.</w:t>
      </w:r>
      <w:r w:rsidR="008F13D3">
        <w:rPr>
          <w:rStyle w:val="FootnoteReference"/>
        </w:rPr>
        <w:footnoteReference w:id="3"/>
      </w:r>
      <w:r>
        <w:t xml:space="preserve"> </w:t>
      </w:r>
      <w:r w:rsidR="008F13D3">
        <w:t xml:space="preserve">This remainder of this user guide </w:t>
      </w:r>
      <w:r w:rsidR="00433E4C">
        <w:t>is oriented for</w:t>
      </w:r>
      <w:r w:rsidR="0019565D">
        <w:t xml:space="preserve"> existing users of the</w:t>
      </w:r>
      <w:r w:rsidR="00433E4C">
        <w:t xml:space="preserve"> VisionEval</w:t>
      </w:r>
      <w:r w:rsidR="0019565D">
        <w:t xml:space="preserve"> </w:t>
      </w:r>
      <w:r w:rsidR="0019565D" w:rsidRPr="0019565D">
        <w:t xml:space="preserve">Regional Strategic Planning Model </w:t>
      </w:r>
      <w:r w:rsidR="0019565D">
        <w:t>(VE-RSPM) model system.</w:t>
      </w:r>
      <w:r w:rsidR="0019565D">
        <w:rPr>
          <w:rStyle w:val="FootnoteReference"/>
        </w:rPr>
        <w:footnoteReference w:id="4"/>
      </w:r>
      <w:r w:rsidR="00433E4C">
        <w:t xml:space="preserve"> </w:t>
      </w:r>
    </w:p>
    <w:p w14:paraId="2CE4F8E9" w14:textId="31219212" w:rsidR="006F23AE" w:rsidRDefault="006F23AE" w:rsidP="006F23AE">
      <w:pPr>
        <w:pStyle w:val="Heading1"/>
      </w:pPr>
      <w:r w:rsidRPr="5E716A9B">
        <w:rPr>
          <w:rFonts w:eastAsia="Sitka Display" w:cs="Sitka Display"/>
          <w:color w:val="1B5633" w:themeColor="accent1"/>
          <w:sz w:val="67"/>
          <w:szCs w:val="67"/>
        </w:rPr>
        <w:lastRenderedPageBreak/>
        <w:t>Getting Started</w:t>
      </w:r>
    </w:p>
    <w:p w14:paraId="6EC99BED" w14:textId="5C6349CC" w:rsidR="006F23AE" w:rsidRPr="00B25AC1" w:rsidRDefault="53B0F797" w:rsidP="078A9D66">
      <w:pPr>
        <w:rPr>
          <w:rFonts w:eastAsia="Segoe UI" w:cs="Segoe UI"/>
          <w:color w:val="0078D4"/>
          <w:sz w:val="19"/>
          <w:szCs w:val="19"/>
        </w:rPr>
      </w:pPr>
      <w:r>
        <w:t>To begin using the VisionEval Tableau dashboard, follow the steps outlined below</w:t>
      </w:r>
      <w:r w:rsidR="59946DF4">
        <w:t>.</w:t>
      </w:r>
      <w:r w:rsidR="0512F058">
        <w:t xml:space="preserve"> </w:t>
      </w:r>
      <w:r w:rsidR="59120F4F" w:rsidRPr="078A9D66">
        <w:rPr>
          <w:rFonts w:eastAsia="Segoe UI" w:cs="Segoe UI"/>
          <w:color w:val="0078D4"/>
          <w:sz w:val="19"/>
          <w:szCs w:val="19"/>
          <w:u w:val="single"/>
        </w:rPr>
        <w:t xml:space="preserve">As a quick guide to supplement this user guide, reference the </w:t>
      </w:r>
      <w:r w:rsidR="321354FC" w:rsidRPr="078A9D66">
        <w:rPr>
          <w:rFonts w:eastAsia="Segoe UI" w:cs="Segoe UI"/>
          <w:color w:val="0078D4"/>
          <w:sz w:val="19"/>
          <w:szCs w:val="19"/>
          <w:u w:val="single"/>
        </w:rPr>
        <w:t xml:space="preserve">Tableau Workspace </w:t>
      </w:r>
      <w:hyperlink r:id="rId10" w:history="1">
        <w:r w:rsidR="321354FC" w:rsidRPr="078A9D66">
          <w:rPr>
            <w:rStyle w:val="Hyperlink"/>
            <w:rFonts w:eastAsia="Segoe UI" w:cs="Segoe UI"/>
            <w:sz w:val="19"/>
            <w:szCs w:val="19"/>
          </w:rPr>
          <w:t>reference guide</w:t>
        </w:r>
      </w:hyperlink>
      <w:r w:rsidR="321354FC" w:rsidRPr="078A9D66">
        <w:rPr>
          <w:rFonts w:eastAsia="Segoe UI" w:cs="Segoe UI"/>
          <w:color w:val="0078D4"/>
          <w:sz w:val="19"/>
          <w:szCs w:val="19"/>
          <w:u w:val="single"/>
        </w:rPr>
        <w:t>.</w:t>
      </w:r>
      <w:r w:rsidR="00B25AC1" w:rsidRPr="00B25AC1">
        <w:rPr>
          <w:rFonts w:eastAsia="Segoe UI" w:cs="Segoe UI"/>
          <w:color w:val="0078D4"/>
          <w:sz w:val="19"/>
          <w:szCs w:val="19"/>
        </w:rPr>
        <w:t xml:space="preserve"> </w:t>
      </w:r>
      <w:r w:rsidR="00B25AC1" w:rsidRPr="00B25AC1">
        <w:rPr>
          <w:rFonts w:eastAsia="Segoe UI" w:cs="Segoe UI"/>
          <w:sz w:val="19"/>
          <w:szCs w:val="19"/>
        </w:rPr>
        <w:t xml:space="preserve">Additionally, a glossary of helpful Tableau terms is provided in </w:t>
      </w:r>
      <w:r w:rsidR="00B25AC1" w:rsidRPr="003E4A06">
        <w:rPr>
          <w:rFonts w:eastAsia="Segoe UI" w:cs="Segoe UI"/>
          <w:i/>
          <w:iCs/>
          <w:sz w:val="19"/>
          <w:szCs w:val="19"/>
        </w:rPr>
        <w:t>Appendix I</w:t>
      </w:r>
      <w:r w:rsidR="00B25AC1" w:rsidRPr="00B25AC1">
        <w:rPr>
          <w:rFonts w:eastAsia="Segoe UI" w:cs="Segoe UI"/>
          <w:sz w:val="19"/>
          <w:szCs w:val="19"/>
        </w:rPr>
        <w:t>.</w:t>
      </w:r>
      <w:r w:rsidR="00B25AC1" w:rsidRPr="00B25AC1">
        <w:rPr>
          <w:rFonts w:eastAsia="Segoe UI" w:cs="Segoe UI"/>
          <w:sz w:val="19"/>
          <w:szCs w:val="19"/>
          <w:u w:val="single"/>
        </w:rPr>
        <w:t xml:space="preserve"> </w:t>
      </w:r>
    </w:p>
    <w:p w14:paraId="78C4C406" w14:textId="2721342A" w:rsidR="006F23AE" w:rsidRDefault="006F23AE" w:rsidP="006F23AE">
      <w:r w:rsidRPr="13F50726">
        <w:rPr>
          <w:rStyle w:val="Heading2Char"/>
        </w:rPr>
        <w:t>System Requirements</w:t>
      </w:r>
    </w:p>
    <w:p w14:paraId="7E7A6A7B" w14:textId="6C6AE48E" w:rsidR="006F23AE" w:rsidRDefault="006F23AE" w:rsidP="006F23AE">
      <w:r>
        <w:t>Before proceeding, ensure that your system meets the following requirements:</w:t>
      </w:r>
    </w:p>
    <w:p w14:paraId="6750D542" w14:textId="0582CC3E" w:rsidR="006F23AE" w:rsidRDefault="53B0F797" w:rsidP="078A9D66">
      <w:pPr>
        <w:pStyle w:val="ListBullet"/>
        <w:rPr>
          <w:rFonts w:eastAsia="Segoe UI" w:cs="Segoe UI"/>
        </w:rPr>
      </w:pPr>
      <w:r w:rsidRPr="078A9D66">
        <w:rPr>
          <w:rFonts w:eastAsia="Segoe UI" w:cs="Segoe UI"/>
        </w:rPr>
        <w:t>A computer with either Tableau Desktop</w:t>
      </w:r>
      <w:r w:rsidR="4A8B331D" w:rsidRPr="078A9D66">
        <w:rPr>
          <w:rFonts w:eastAsia="Segoe UI" w:cs="Segoe UI"/>
        </w:rPr>
        <w:t xml:space="preserve"> (</w:t>
      </w:r>
      <w:hyperlink r:id="rId11" w:history="1">
        <w:r w:rsidR="4A8B331D" w:rsidRPr="078A9D66">
          <w:rPr>
            <w:rStyle w:val="Hyperlink"/>
            <w:rFonts w:eastAsia="Segoe UI" w:cs="Segoe UI"/>
          </w:rPr>
          <w:t>download here</w:t>
        </w:r>
      </w:hyperlink>
      <w:r w:rsidR="4A8B331D" w:rsidRPr="078A9D66">
        <w:rPr>
          <w:rFonts w:eastAsia="Segoe UI" w:cs="Segoe UI"/>
        </w:rPr>
        <w:t>)</w:t>
      </w:r>
      <w:r w:rsidRPr="078A9D66">
        <w:rPr>
          <w:rFonts w:eastAsia="Segoe UI" w:cs="Segoe UI"/>
        </w:rPr>
        <w:t xml:space="preserve"> or Tableau Reader</w:t>
      </w:r>
      <w:r w:rsidR="4B82E99D" w:rsidRPr="078A9D66">
        <w:rPr>
          <w:rFonts w:eastAsia="Segoe UI" w:cs="Segoe UI"/>
        </w:rPr>
        <w:t xml:space="preserve"> (</w:t>
      </w:r>
      <w:hyperlink r:id="rId12" w:history="1">
        <w:r w:rsidR="4B82E99D" w:rsidRPr="078A9D66">
          <w:rPr>
            <w:rStyle w:val="Hyperlink"/>
            <w:rFonts w:eastAsia="Segoe UI" w:cs="Segoe UI"/>
          </w:rPr>
          <w:t>download here</w:t>
        </w:r>
      </w:hyperlink>
      <w:r w:rsidR="4B82E99D" w:rsidRPr="078A9D66">
        <w:rPr>
          <w:rFonts w:eastAsia="Segoe UI" w:cs="Segoe UI"/>
        </w:rPr>
        <w:t>)</w:t>
      </w:r>
      <w:r w:rsidRPr="078A9D66">
        <w:rPr>
          <w:rFonts w:eastAsia="Segoe UI" w:cs="Segoe UI"/>
        </w:rPr>
        <w:t xml:space="preserve"> installed</w:t>
      </w:r>
    </w:p>
    <w:p w14:paraId="0C81C12C" w14:textId="13604E41" w:rsidR="006F23AE" w:rsidRDefault="006F23AE" w:rsidP="00E67D70">
      <w:pPr>
        <w:pStyle w:val="ListBullet"/>
        <w:rPr>
          <w:rFonts w:eastAsia="Segoe UI" w:cs="Segoe UI"/>
          <w:szCs w:val="20"/>
        </w:rPr>
      </w:pPr>
      <w:r w:rsidRPr="5E716A9B">
        <w:rPr>
          <w:rFonts w:eastAsia="Segoe UI" w:cs="Segoe UI"/>
          <w:szCs w:val="20"/>
        </w:rPr>
        <w:t>Internet connectivity for accessing the dashboard and related resources</w:t>
      </w:r>
    </w:p>
    <w:p w14:paraId="1AA08FB3" w14:textId="6E9B49DE" w:rsidR="006F23AE" w:rsidRDefault="006F23AE" w:rsidP="006F23AE">
      <w:pPr>
        <w:pStyle w:val="Heading2"/>
      </w:pPr>
      <w:r>
        <w:t xml:space="preserve">Accessing the </w:t>
      </w:r>
      <w:r w:rsidR="001E5A65">
        <w:t>Visualizer</w:t>
      </w:r>
    </w:p>
    <w:p w14:paraId="629D6470" w14:textId="7942BE18" w:rsidR="006F23AE" w:rsidRDefault="006F23AE" w:rsidP="006F23AE">
      <w:r>
        <w:t xml:space="preserve">To </w:t>
      </w:r>
      <w:r w:rsidR="001F1D1B">
        <w:t>simply explore the</w:t>
      </w:r>
      <w:r>
        <w:t xml:space="preserve"> Tableau </w:t>
      </w:r>
      <w:r w:rsidR="001E5A65">
        <w:t>visualizer</w:t>
      </w:r>
      <w:r w:rsidR="001F1D1B">
        <w:t xml:space="preserve"> with the included sample data</w:t>
      </w:r>
      <w:r>
        <w:t>, follow these steps:</w:t>
      </w:r>
    </w:p>
    <w:p w14:paraId="3BA7CE57" w14:textId="16022EB8" w:rsidR="006F23AE" w:rsidRDefault="006F23AE" w:rsidP="00E67D70">
      <w:pPr>
        <w:pStyle w:val="ListNumber"/>
        <w:numPr>
          <w:ilvl w:val="0"/>
          <w:numId w:val="11"/>
        </w:numPr>
        <w:rPr>
          <w:rFonts w:eastAsia="Segoe UI" w:cs="Segoe UI"/>
          <w:szCs w:val="20"/>
        </w:rPr>
      </w:pPr>
      <w:r w:rsidRPr="5E716A9B">
        <w:rPr>
          <w:rFonts w:eastAsia="Segoe UI" w:cs="Segoe UI"/>
          <w:szCs w:val="20"/>
        </w:rPr>
        <w:t>Download the Tableau workbook (</w:t>
      </w:r>
      <w:r w:rsidR="006422CC">
        <w:rPr>
          <w:rFonts w:eastAsia="Segoe UI" w:cs="Segoe UI"/>
          <w:szCs w:val="20"/>
        </w:rPr>
        <w:t>.</w:t>
      </w:r>
      <w:r w:rsidRPr="5E716A9B">
        <w:rPr>
          <w:rFonts w:eastAsia="Segoe UI" w:cs="Segoe UI"/>
          <w:szCs w:val="20"/>
        </w:rPr>
        <w:t>twbx file</w:t>
      </w:r>
      <w:r w:rsidR="006422CC">
        <w:rPr>
          <w:rFonts w:eastAsia="Segoe UI" w:cs="Segoe UI"/>
          <w:szCs w:val="20"/>
        </w:rPr>
        <w:t xml:space="preserve"> extension</w:t>
      </w:r>
      <w:r w:rsidRPr="5E716A9B">
        <w:rPr>
          <w:rFonts w:eastAsia="Segoe UI" w:cs="Segoe UI"/>
          <w:szCs w:val="20"/>
        </w:rPr>
        <w:t xml:space="preserve">) provided for </w:t>
      </w:r>
      <w:r w:rsidR="006422CC">
        <w:rPr>
          <w:rFonts w:eastAsia="Segoe UI" w:cs="Segoe UI"/>
          <w:szCs w:val="20"/>
        </w:rPr>
        <w:t>the visualizer</w:t>
      </w:r>
      <w:r w:rsidRPr="5E716A9B">
        <w:rPr>
          <w:rFonts w:eastAsia="Segoe UI" w:cs="Segoe UI"/>
          <w:szCs w:val="20"/>
        </w:rPr>
        <w:t>.</w:t>
      </w:r>
    </w:p>
    <w:p w14:paraId="09EC67BE" w14:textId="51E72BBF" w:rsidR="006F23AE" w:rsidRDefault="53B0F797" w:rsidP="078A9D66">
      <w:pPr>
        <w:pStyle w:val="ListNumber"/>
        <w:numPr>
          <w:ilvl w:val="0"/>
          <w:numId w:val="11"/>
        </w:numPr>
        <w:rPr>
          <w:rFonts w:eastAsia="Segoe UI" w:cs="Segoe UI"/>
        </w:rPr>
      </w:pPr>
      <w:r w:rsidRPr="078A9D66">
        <w:rPr>
          <w:rFonts w:eastAsia="Segoe UI" w:cs="Segoe UI"/>
        </w:rPr>
        <w:t xml:space="preserve">If you already have Tableau Desktop installed, you can open the </w:t>
      </w:r>
      <w:r w:rsidR="3236E342" w:rsidRPr="078A9D66">
        <w:rPr>
          <w:rFonts w:eastAsia="Segoe UI" w:cs="Segoe UI"/>
        </w:rPr>
        <w:t>.</w:t>
      </w:r>
      <w:r w:rsidRPr="078A9D66">
        <w:rPr>
          <w:rFonts w:eastAsia="Segoe UI" w:cs="Segoe UI"/>
        </w:rPr>
        <w:t>twbx file directly in Tableau Desktop.</w:t>
      </w:r>
      <w:r w:rsidR="33CDC554" w:rsidRPr="078A9D66">
        <w:rPr>
          <w:rFonts w:eastAsia="Segoe UI" w:cs="Segoe UI"/>
        </w:rPr>
        <w:t xml:space="preserve"> Once you</w:t>
      </w:r>
      <w:r w:rsidR="00AC1E14">
        <w:rPr>
          <w:rFonts w:eastAsia="Segoe UI" w:cs="Segoe UI"/>
        </w:rPr>
        <w:t xml:space="preserve"> have</w:t>
      </w:r>
      <w:r w:rsidR="33CDC554" w:rsidRPr="078A9D66">
        <w:rPr>
          <w:rFonts w:eastAsia="Segoe UI" w:cs="Segoe UI"/>
        </w:rPr>
        <w:t xml:space="preserve"> opened the .twbx file in </w:t>
      </w:r>
      <w:r w:rsidR="744C2A3E" w:rsidRPr="078A9D66">
        <w:rPr>
          <w:rFonts w:eastAsia="Segoe UI" w:cs="Segoe UI"/>
        </w:rPr>
        <w:t xml:space="preserve">Tableau </w:t>
      </w:r>
      <w:r w:rsidR="33CDC554" w:rsidRPr="078A9D66">
        <w:rPr>
          <w:rFonts w:eastAsia="Segoe UI" w:cs="Segoe UI"/>
        </w:rPr>
        <w:t xml:space="preserve">Desktop, </w:t>
      </w:r>
      <w:r w:rsidR="00AC1E14" w:rsidRPr="078A9D66">
        <w:rPr>
          <w:rFonts w:eastAsia="Segoe UI" w:cs="Segoe UI"/>
        </w:rPr>
        <w:t>save it</w:t>
      </w:r>
      <w:r w:rsidR="33CDC554" w:rsidRPr="078A9D66">
        <w:rPr>
          <w:rFonts w:eastAsia="Segoe UI" w:cs="Segoe UI"/>
        </w:rPr>
        <w:t xml:space="preserve"> as a new .twb (Tableau Workbook) file before making any modifications.</w:t>
      </w:r>
    </w:p>
    <w:p w14:paraId="75C404ED" w14:textId="135F2565" w:rsidR="006F23AE" w:rsidRDefault="006F23AE" w:rsidP="00E67D70">
      <w:pPr>
        <w:pStyle w:val="ListNumber"/>
        <w:numPr>
          <w:ilvl w:val="0"/>
          <w:numId w:val="11"/>
        </w:numPr>
        <w:rPr>
          <w:rFonts w:eastAsia="Segoe UI" w:cs="Segoe UI"/>
          <w:szCs w:val="20"/>
        </w:rPr>
      </w:pPr>
      <w:r w:rsidRPr="5E716A9B">
        <w:rPr>
          <w:rFonts w:eastAsia="Segoe UI" w:cs="Segoe UI"/>
          <w:szCs w:val="20"/>
        </w:rPr>
        <w:t>Alternatively, if you don't have Tableau Desktop, it is recommended to download and install Tableau Reader, which is a free application. Tableau Reader provides an optimized user interface and functionality for viewing and interacting with Tableau workbooks.</w:t>
      </w:r>
    </w:p>
    <w:p w14:paraId="21668327" w14:textId="4AD5B224" w:rsidR="00A42AB8" w:rsidRPr="002D6349" w:rsidRDefault="53B0F797" w:rsidP="002D6349">
      <w:pPr>
        <w:pStyle w:val="ListNumber"/>
        <w:numPr>
          <w:ilvl w:val="0"/>
          <w:numId w:val="11"/>
        </w:numPr>
        <w:rPr>
          <w:rFonts w:eastAsia="Segoe UI" w:cs="Segoe UI"/>
        </w:rPr>
      </w:pPr>
      <w:r w:rsidRPr="078A9D66">
        <w:rPr>
          <w:rFonts w:eastAsia="Segoe UI" w:cs="Segoe UI"/>
        </w:rPr>
        <w:t xml:space="preserve">Open Tableau Reader and use the application's file navigation to locate and open the downloaded </w:t>
      </w:r>
      <w:r w:rsidR="3236E342" w:rsidRPr="078A9D66">
        <w:rPr>
          <w:rFonts w:eastAsia="Segoe UI" w:cs="Segoe UI"/>
        </w:rPr>
        <w:t>.</w:t>
      </w:r>
      <w:r w:rsidRPr="078A9D66">
        <w:rPr>
          <w:rFonts w:eastAsia="Segoe UI" w:cs="Segoe UI"/>
        </w:rPr>
        <w:t>twbx file.</w:t>
      </w:r>
      <w:r w:rsidR="73937579" w:rsidRPr="078A9D66">
        <w:rPr>
          <w:rFonts w:eastAsia="Segoe UI" w:cs="Segoe UI"/>
        </w:rPr>
        <w:t xml:space="preserve"> Once you’ve opened the .twbx file in Tableau Reader, it will default to only show the </w:t>
      </w:r>
      <w:r w:rsidR="0F258B00" w:rsidRPr="078A9D66">
        <w:rPr>
          <w:rFonts w:eastAsia="Segoe UI" w:cs="Segoe UI"/>
        </w:rPr>
        <w:t>work</w:t>
      </w:r>
      <w:r w:rsidR="73937579" w:rsidRPr="078A9D66">
        <w:rPr>
          <w:rFonts w:eastAsia="Segoe UI" w:cs="Segoe UI"/>
        </w:rPr>
        <w:t>sheets and dashboards that were not hidden when the work</w:t>
      </w:r>
      <w:r w:rsidR="5640F3EA" w:rsidRPr="078A9D66">
        <w:rPr>
          <w:rFonts w:eastAsia="Segoe UI" w:cs="Segoe UI"/>
        </w:rPr>
        <w:t>book was packaged</w:t>
      </w:r>
      <w:r w:rsidR="35B3082E" w:rsidRPr="078A9D66">
        <w:rPr>
          <w:rFonts w:eastAsia="Segoe UI" w:cs="Segoe UI"/>
        </w:rPr>
        <w:t>. The main purpose of Tableau Reader is to allow non-Tableau users the ability to view and interact with dashboard contents.</w:t>
      </w:r>
    </w:p>
    <w:p w14:paraId="5C569D8E" w14:textId="5AFF5070" w:rsidR="49EB4457" w:rsidRDefault="49EB4457" w:rsidP="078A9D66">
      <w:pPr>
        <w:pStyle w:val="Heading2"/>
        <w:numPr>
          <w:ilvl w:val="1"/>
          <w:numId w:val="0"/>
        </w:numPr>
      </w:pPr>
      <w:r>
        <w:t>Upload Custom Data</w:t>
      </w:r>
    </w:p>
    <w:p w14:paraId="099AD074" w14:textId="1A1A7C13" w:rsidR="00A42AB8" w:rsidRDefault="00A42AB8" w:rsidP="001F1D1B">
      <w:pPr>
        <w:pStyle w:val="ListNumber"/>
        <w:numPr>
          <w:ilvl w:val="0"/>
          <w:numId w:val="0"/>
        </w:numPr>
        <w:spacing w:after="200"/>
        <w:contextualSpacing w:val="0"/>
        <w:rPr>
          <w:rFonts w:eastAsia="Segoe UI" w:cs="Segoe UI"/>
          <w:szCs w:val="20"/>
        </w:rPr>
      </w:pPr>
      <w:r>
        <w:rPr>
          <w:rFonts w:eastAsia="Segoe UI" w:cs="Segoe UI"/>
          <w:szCs w:val="20"/>
        </w:rPr>
        <w:t xml:space="preserve">To use the Tableau </w:t>
      </w:r>
      <w:r w:rsidR="001E5A65">
        <w:rPr>
          <w:rFonts w:eastAsia="Segoe UI" w:cs="Segoe UI"/>
          <w:szCs w:val="20"/>
        </w:rPr>
        <w:t>visualizer</w:t>
      </w:r>
      <w:r>
        <w:rPr>
          <w:rFonts w:eastAsia="Segoe UI" w:cs="Segoe UI"/>
          <w:szCs w:val="20"/>
        </w:rPr>
        <w:t xml:space="preserve"> with your own VisionEval </w:t>
      </w:r>
      <w:r w:rsidR="007C54CA">
        <w:rPr>
          <w:rFonts w:eastAsia="Segoe UI" w:cs="Segoe UI"/>
          <w:szCs w:val="20"/>
        </w:rPr>
        <w:t xml:space="preserve">data, follow </w:t>
      </w:r>
      <w:r w:rsidR="00030EB7">
        <w:rPr>
          <w:rFonts w:eastAsia="Segoe UI" w:cs="Segoe UI"/>
          <w:szCs w:val="20"/>
        </w:rPr>
        <w:t xml:space="preserve">the steps below. Note that </w:t>
      </w:r>
      <w:r w:rsidR="00030EB7" w:rsidRPr="00030EB7">
        <w:rPr>
          <w:rFonts w:eastAsia="Segoe UI" w:cs="Segoe UI"/>
        </w:rPr>
        <w:t xml:space="preserve">uploading custom extracts and modifying measure charts can only be done </w:t>
      </w:r>
      <w:r w:rsidR="00030EB7">
        <w:rPr>
          <w:rFonts w:eastAsia="Segoe UI" w:cs="Segoe UI"/>
        </w:rPr>
        <w:t>using</w:t>
      </w:r>
      <w:r w:rsidR="00030EB7" w:rsidRPr="00030EB7">
        <w:rPr>
          <w:rFonts w:eastAsia="Segoe UI" w:cs="Segoe UI"/>
        </w:rPr>
        <w:t xml:space="preserve"> Tableau Desktop.</w:t>
      </w:r>
    </w:p>
    <w:p w14:paraId="0E514B1C" w14:textId="5CAB0CE6" w:rsidR="007C54CA" w:rsidRPr="0029414F" w:rsidRDefault="6D311F11" w:rsidP="002D6349">
      <w:pPr>
        <w:pStyle w:val="ListNumber"/>
        <w:numPr>
          <w:ilvl w:val="0"/>
          <w:numId w:val="22"/>
        </w:numPr>
        <w:rPr>
          <w:rFonts w:eastAsia="Segoe UI" w:cs="Segoe UI"/>
          <w:szCs w:val="20"/>
        </w:rPr>
      </w:pPr>
      <w:r w:rsidRPr="078A9D66">
        <w:rPr>
          <w:rFonts w:eastAsia="Segoe UI" w:cs="Segoe UI"/>
        </w:rPr>
        <w:t xml:space="preserve">Use the VisionEval query process to extract the VisionEval model run data into the appropriate format for the Tableau dashboard (see </w:t>
      </w:r>
      <w:r w:rsidRPr="005E599F">
        <w:rPr>
          <w:rFonts w:eastAsia="Segoe UI" w:cs="Segoe UI"/>
          <w:i/>
          <w:iCs/>
        </w:rPr>
        <w:t>Appendix I</w:t>
      </w:r>
      <w:r w:rsidR="00492AC1">
        <w:rPr>
          <w:rFonts w:eastAsia="Segoe UI" w:cs="Segoe UI"/>
          <w:i/>
          <w:iCs/>
        </w:rPr>
        <w:t>I</w:t>
      </w:r>
      <w:r w:rsidRPr="078A9D66">
        <w:rPr>
          <w:rFonts w:eastAsia="Segoe UI" w:cs="Segoe UI"/>
        </w:rPr>
        <w:t xml:space="preserve"> for more information on this step). </w:t>
      </w:r>
    </w:p>
    <w:p w14:paraId="44F17576" w14:textId="0B509CE2" w:rsidR="0029414F" w:rsidRDefault="00F232DB" w:rsidP="0029414F">
      <w:pPr>
        <w:pStyle w:val="ListNumber"/>
        <w:numPr>
          <w:ilvl w:val="1"/>
          <w:numId w:val="22"/>
        </w:numPr>
        <w:rPr>
          <w:rFonts w:eastAsia="Segoe UI" w:cs="Segoe UI"/>
          <w:szCs w:val="20"/>
        </w:rPr>
      </w:pPr>
      <w:r>
        <w:rPr>
          <w:rFonts w:eastAsia="Segoe UI" w:cs="Segoe UI"/>
        </w:rPr>
        <w:lastRenderedPageBreak/>
        <w:t>If</w:t>
      </w:r>
      <w:r w:rsidR="0029414F">
        <w:rPr>
          <w:rFonts w:eastAsia="Segoe UI" w:cs="Segoe UI"/>
        </w:rPr>
        <w:t xml:space="preserve"> customizing scenario names as part of this process, note that Tableau limits </w:t>
      </w:r>
      <w:r>
        <w:rPr>
          <w:rFonts w:eastAsia="Segoe UI" w:cs="Segoe UI"/>
        </w:rPr>
        <w:t xml:space="preserve">string fields to 255 characters. </w:t>
      </w:r>
    </w:p>
    <w:p w14:paraId="05DA45B7" w14:textId="49F25136" w:rsidR="4B754032" w:rsidRDefault="4B754032" w:rsidP="078A9D66">
      <w:pPr>
        <w:pStyle w:val="ListNumber"/>
        <w:numPr>
          <w:ilvl w:val="0"/>
          <w:numId w:val="22"/>
        </w:numPr>
        <w:rPr>
          <w:rFonts w:eastAsia="Segoe UI" w:cs="Segoe UI"/>
        </w:rPr>
      </w:pPr>
      <w:r w:rsidRPr="078A9D66">
        <w:rPr>
          <w:rFonts w:eastAsia="Segoe UI" w:cs="Segoe UI"/>
        </w:rPr>
        <w:t xml:space="preserve">Open the default .twbx file in Tableau Desktop and </w:t>
      </w:r>
      <w:r w:rsidR="00EA6E65" w:rsidRPr="078A9D66">
        <w:rPr>
          <w:rFonts w:eastAsia="Segoe UI" w:cs="Segoe UI"/>
        </w:rPr>
        <w:t>save it</w:t>
      </w:r>
      <w:r w:rsidRPr="078A9D66">
        <w:rPr>
          <w:rFonts w:eastAsia="Segoe UI" w:cs="Segoe UI"/>
        </w:rPr>
        <w:t xml:space="preserve"> as a new .twb file. </w:t>
      </w:r>
    </w:p>
    <w:p w14:paraId="35155081" w14:textId="0282EA73" w:rsidR="00871CFE" w:rsidRDefault="55A54EC9" w:rsidP="0041469D">
      <w:pPr>
        <w:pStyle w:val="ListNumber"/>
        <w:numPr>
          <w:ilvl w:val="0"/>
          <w:numId w:val="22"/>
        </w:numPr>
        <w:rPr>
          <w:rFonts w:eastAsia="Segoe UI" w:cs="Segoe UI"/>
        </w:rPr>
      </w:pPr>
      <w:r w:rsidRPr="078A9D66">
        <w:rPr>
          <w:rFonts w:eastAsia="Segoe UI" w:cs="Segoe UI"/>
        </w:rPr>
        <w:t xml:space="preserve">Before replacing the existing query extract data source in Tableau, make sure your custom extract exactly matches the </w:t>
      </w:r>
      <w:r w:rsidR="395AD382" w:rsidRPr="078A9D66">
        <w:rPr>
          <w:rFonts w:eastAsia="Segoe UI" w:cs="Segoe UI"/>
        </w:rPr>
        <w:t xml:space="preserve">existing data </w:t>
      </w:r>
      <w:r w:rsidRPr="078A9D66">
        <w:rPr>
          <w:rFonts w:eastAsia="Segoe UI" w:cs="Segoe UI"/>
        </w:rPr>
        <w:t xml:space="preserve">schema in </w:t>
      </w:r>
      <w:r w:rsidRPr="005E599F">
        <w:rPr>
          <w:rFonts w:eastAsia="Segoe UI" w:cs="Segoe UI"/>
          <w:i/>
          <w:iCs/>
        </w:rPr>
        <w:t>Appendix I</w:t>
      </w:r>
      <w:r w:rsidR="00492AC1">
        <w:rPr>
          <w:rFonts w:eastAsia="Segoe UI" w:cs="Segoe UI"/>
          <w:i/>
          <w:iCs/>
        </w:rPr>
        <w:t>II</w:t>
      </w:r>
      <w:r w:rsidRPr="078A9D66">
        <w:rPr>
          <w:rFonts w:eastAsia="Segoe UI" w:cs="Segoe UI"/>
          <w:i/>
          <w:iCs/>
        </w:rPr>
        <w:t xml:space="preserve">. </w:t>
      </w:r>
      <w:r w:rsidRPr="078A9D66">
        <w:rPr>
          <w:rFonts w:eastAsia="Segoe UI" w:cs="Segoe UI"/>
        </w:rPr>
        <w:t xml:space="preserve">If </w:t>
      </w:r>
      <w:r w:rsidR="04E12FDC" w:rsidRPr="078A9D66">
        <w:rPr>
          <w:rFonts w:eastAsia="Segoe UI" w:cs="Segoe UI"/>
        </w:rPr>
        <w:t xml:space="preserve">your custom extract is missing a field, the pre-configured sheets and dashboards in Tableau will not load. </w:t>
      </w:r>
    </w:p>
    <w:p w14:paraId="3AB51CB4" w14:textId="77777777" w:rsidR="00162535" w:rsidRPr="00162535" w:rsidRDefault="04E12FDC" w:rsidP="0041469D">
      <w:pPr>
        <w:pStyle w:val="ListNumber"/>
        <w:numPr>
          <w:ilvl w:val="0"/>
          <w:numId w:val="22"/>
        </w:numPr>
        <w:rPr>
          <w:rFonts w:eastAsia="Segoe UI" w:cs="Segoe UI"/>
        </w:rPr>
      </w:pPr>
      <w:r w:rsidRPr="078A9D66">
        <w:t xml:space="preserve">Once you </w:t>
      </w:r>
      <w:r w:rsidR="74285C63" w:rsidRPr="078A9D66">
        <w:t>confirm</w:t>
      </w:r>
      <w:r w:rsidRPr="078A9D66">
        <w:t xml:space="preserve"> that your custom extract matches the default data schema</w:t>
      </w:r>
      <w:r w:rsidR="664578BE" w:rsidRPr="078A9D66">
        <w:t>, navigate to the “Data Source” tab at the bottom left of the</w:t>
      </w:r>
      <w:r w:rsidR="00CC48D6">
        <w:t xml:space="preserve"> Tableau</w:t>
      </w:r>
      <w:r w:rsidR="664578BE" w:rsidRPr="078A9D66">
        <w:t xml:space="preserve"> screen.</w:t>
      </w:r>
      <w:r w:rsidR="00B45E5D">
        <w:rPr>
          <w:rStyle w:val="FootnoteReference"/>
        </w:rPr>
        <w:footnoteReference w:id="5"/>
      </w:r>
      <w:r w:rsidR="6865B48B" w:rsidRPr="078A9D66">
        <w:t xml:space="preserve"> On the left panel you will see a section titled “Connections” with two existing connections</w:t>
      </w:r>
      <w:r w:rsidR="6468EF96" w:rsidRPr="078A9D66">
        <w:t>:</w:t>
      </w:r>
      <w:r w:rsidR="003331F8">
        <w:t xml:space="preserve"> </w:t>
      </w:r>
      <w:r w:rsidR="00CC48D6">
        <w:t xml:space="preserve">(1) </w:t>
      </w:r>
      <w:proofErr w:type="spellStart"/>
      <w:r w:rsidR="6865B48B" w:rsidRPr="078A9D66">
        <w:t>s</w:t>
      </w:r>
      <w:r w:rsidR="0A1B4DB7" w:rsidRPr="078A9D66">
        <w:t>ubzone_template</w:t>
      </w:r>
      <w:proofErr w:type="spellEnd"/>
      <w:r w:rsidR="0A1B4DB7" w:rsidRPr="078A9D66">
        <w:t xml:space="preserve"> (shapefile)</w:t>
      </w:r>
      <w:r w:rsidR="650A904C" w:rsidRPr="078A9D66">
        <w:t xml:space="preserve"> - existing shapefile geography that relates to the existing query</w:t>
      </w:r>
      <w:r w:rsidR="00CC48D6">
        <w:t>, and (2)</w:t>
      </w:r>
      <w:r w:rsidR="00162535">
        <w:t xml:space="preserve"> </w:t>
      </w:r>
      <w:proofErr w:type="spellStart"/>
      <w:r w:rsidR="0A1B4DB7" w:rsidRPr="078A9D66">
        <w:t>query_extract_template</w:t>
      </w:r>
      <w:proofErr w:type="spellEnd"/>
      <w:r w:rsidR="4E4D2F83" w:rsidRPr="078A9D66">
        <w:t xml:space="preserve"> (csv) - existing query extract</w:t>
      </w:r>
      <w:r w:rsidR="6B41AF09" w:rsidRPr="078A9D66">
        <w:t>.</w:t>
      </w:r>
      <w:r w:rsidR="664578BE" w:rsidRPr="078A9D66">
        <w:t xml:space="preserve"> </w:t>
      </w:r>
      <w:r w:rsidR="00162535">
        <w:t>Remove the connections within the data source window by right clicking on the box and clicking “Remove”. See the image below for reference.</w:t>
      </w:r>
    </w:p>
    <w:p w14:paraId="107CB19D" w14:textId="5E2A986D" w:rsidR="00162535" w:rsidRPr="00162535" w:rsidRDefault="00AF5425" w:rsidP="00162535">
      <w:pPr>
        <w:pStyle w:val="ListNumber"/>
        <w:numPr>
          <w:ilvl w:val="0"/>
          <w:numId w:val="0"/>
        </w:numPr>
        <w:ind w:left="720"/>
        <w:rPr>
          <w:rFonts w:eastAsia="Segoe UI" w:cs="Segoe UI"/>
        </w:rPr>
      </w:pPr>
      <w:r>
        <w:rPr>
          <w:noProof/>
        </w:rPr>
        <w:drawing>
          <wp:inline distT="0" distB="0" distL="0" distR="0" wp14:anchorId="23267E84" wp14:editId="37BFD063">
            <wp:extent cx="5486400" cy="1228725"/>
            <wp:effectExtent l="0" t="0" r="0" b="9525"/>
            <wp:docPr id="614559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59287" name="Picture 1" descr="A screenshot of a computer&#10;&#10;Description automatically generated"/>
                    <pic:cNvPicPr/>
                  </pic:nvPicPr>
                  <pic:blipFill>
                    <a:blip r:embed="rId13"/>
                    <a:stretch>
                      <a:fillRect/>
                    </a:stretch>
                  </pic:blipFill>
                  <pic:spPr>
                    <a:xfrm>
                      <a:off x="0" y="0"/>
                      <a:ext cx="5486400" cy="1228725"/>
                    </a:xfrm>
                    <a:prstGeom prst="rect">
                      <a:avLst/>
                    </a:prstGeom>
                  </pic:spPr>
                </pic:pic>
              </a:graphicData>
            </a:graphic>
          </wp:inline>
        </w:drawing>
      </w:r>
    </w:p>
    <w:p w14:paraId="1F67B5A7" w14:textId="7401A73B" w:rsidR="00AF5425" w:rsidRDefault="00AF5425" w:rsidP="0041469D">
      <w:pPr>
        <w:pStyle w:val="ListNumber"/>
        <w:numPr>
          <w:ilvl w:val="0"/>
          <w:numId w:val="22"/>
        </w:numPr>
        <w:rPr>
          <w:rFonts w:eastAsia="Segoe UI" w:cs="Segoe UI"/>
        </w:rPr>
      </w:pPr>
      <w:r>
        <w:rPr>
          <w:rFonts w:eastAsia="Segoe UI" w:cs="Segoe UI"/>
        </w:rPr>
        <w:t>Within the “Connections” section in the left panel, right click on both the query extract and shapefile connections and click remove. See the image below for reference.</w:t>
      </w:r>
    </w:p>
    <w:p w14:paraId="76B0D625" w14:textId="64578507" w:rsidR="00AF5425" w:rsidRPr="00AF5425" w:rsidRDefault="00AF5425" w:rsidP="00AF5425">
      <w:pPr>
        <w:pStyle w:val="ListNumber"/>
        <w:numPr>
          <w:ilvl w:val="0"/>
          <w:numId w:val="0"/>
        </w:numPr>
        <w:ind w:left="1080" w:hanging="360"/>
        <w:rPr>
          <w:rFonts w:eastAsia="Segoe UI" w:cs="Segoe UI"/>
        </w:rPr>
      </w:pPr>
      <w:r>
        <w:rPr>
          <w:noProof/>
        </w:rPr>
        <w:drawing>
          <wp:inline distT="0" distB="0" distL="0" distR="0" wp14:anchorId="0C975150" wp14:editId="7184C8FA">
            <wp:extent cx="4732934" cy="1293888"/>
            <wp:effectExtent l="0" t="0" r="0" b="1905"/>
            <wp:docPr id="667494673"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94673" name="Picture 1" descr="A computer screen shot of a computer error&#10;&#10;Description automatically generated"/>
                    <pic:cNvPicPr/>
                  </pic:nvPicPr>
                  <pic:blipFill>
                    <a:blip r:embed="rId14"/>
                    <a:stretch>
                      <a:fillRect/>
                    </a:stretch>
                  </pic:blipFill>
                  <pic:spPr>
                    <a:xfrm>
                      <a:off x="0" y="0"/>
                      <a:ext cx="4748521" cy="1298149"/>
                    </a:xfrm>
                    <a:prstGeom prst="rect">
                      <a:avLst/>
                    </a:prstGeom>
                  </pic:spPr>
                </pic:pic>
              </a:graphicData>
            </a:graphic>
          </wp:inline>
        </w:drawing>
      </w:r>
    </w:p>
    <w:p w14:paraId="56D14AB9" w14:textId="09BAE060" w:rsidR="00AF5425" w:rsidRDefault="00AF5425" w:rsidP="0041469D">
      <w:pPr>
        <w:pStyle w:val="ListNumber"/>
        <w:numPr>
          <w:ilvl w:val="0"/>
          <w:numId w:val="22"/>
        </w:numPr>
        <w:rPr>
          <w:rFonts w:eastAsia="Segoe UI" w:cs="Segoe UI"/>
        </w:rPr>
      </w:pPr>
      <w:r>
        <w:rPr>
          <w:rFonts w:eastAsia="Segoe UI" w:cs="Segoe UI"/>
        </w:rPr>
        <w:t>Within the “Connections” section in the left panel, click “Add” and select “Spatial File” from the options. Navigate to the location of your shapefile and select it.</w:t>
      </w:r>
    </w:p>
    <w:p w14:paraId="095F45B0" w14:textId="393F476A" w:rsidR="00AF5425" w:rsidRDefault="00AF5425" w:rsidP="00AF5425">
      <w:pPr>
        <w:pStyle w:val="ListNumber"/>
        <w:numPr>
          <w:ilvl w:val="0"/>
          <w:numId w:val="22"/>
        </w:numPr>
        <w:rPr>
          <w:rFonts w:eastAsia="Segoe UI" w:cs="Segoe UI"/>
        </w:rPr>
      </w:pPr>
      <w:r>
        <w:rPr>
          <w:rFonts w:eastAsia="Segoe UI" w:cs="Segoe UI"/>
        </w:rPr>
        <w:t>Within the “Connections” section in the left panel, click “Add” and select “More…” from the options. Navigate to the location of your query extract csv and select it.</w:t>
      </w:r>
    </w:p>
    <w:p w14:paraId="5BE82EDD" w14:textId="16137918" w:rsidR="00AF5425" w:rsidRPr="00AF5425" w:rsidRDefault="00AF5425" w:rsidP="00AF5425">
      <w:pPr>
        <w:pStyle w:val="ListNumber"/>
        <w:numPr>
          <w:ilvl w:val="0"/>
          <w:numId w:val="22"/>
        </w:numPr>
        <w:rPr>
          <w:rFonts w:eastAsia="Segoe UI" w:cs="Segoe UI"/>
        </w:rPr>
      </w:pPr>
      <w:r>
        <w:rPr>
          <w:rFonts w:eastAsia="Segoe UI" w:cs="Segoe UI"/>
        </w:rPr>
        <w:t>Drag the shapefile connection into the data source window followed by the query extract connection.</w:t>
      </w:r>
    </w:p>
    <w:p w14:paraId="467BC919" w14:textId="60C02DB3" w:rsidR="00D75914" w:rsidRPr="00D75914" w:rsidRDefault="240A7DBF" w:rsidP="0041469D">
      <w:pPr>
        <w:pStyle w:val="ListNumber"/>
        <w:numPr>
          <w:ilvl w:val="0"/>
          <w:numId w:val="22"/>
        </w:numPr>
        <w:rPr>
          <w:rFonts w:eastAsia="Segoe UI" w:cs="Segoe UI"/>
        </w:rPr>
      </w:pPr>
      <w:r w:rsidRPr="00871CFE">
        <w:rPr>
          <w:rFonts w:eastAsia="Calibri" w:cs="Arial"/>
          <w:szCs w:val="20"/>
        </w:rPr>
        <w:t>Once both of your connections have been updated, you will need to refresh the union between them. Select the line between the two data sources in the right pane</w:t>
      </w:r>
      <w:r w:rsidR="009C16BF">
        <w:rPr>
          <w:rFonts w:eastAsia="Calibri" w:cs="Arial"/>
          <w:szCs w:val="20"/>
        </w:rPr>
        <w:t>:</w:t>
      </w:r>
    </w:p>
    <w:p w14:paraId="7172DBBC" w14:textId="23DBE8B9" w:rsidR="00D75914" w:rsidRPr="00D75914" w:rsidRDefault="240A7DBF" w:rsidP="00D75914">
      <w:pPr>
        <w:pStyle w:val="ListNumber"/>
        <w:numPr>
          <w:ilvl w:val="0"/>
          <w:numId w:val="0"/>
        </w:numPr>
        <w:ind w:left="720"/>
        <w:rPr>
          <w:rFonts w:eastAsia="Segoe UI" w:cs="Segoe UI"/>
        </w:rPr>
      </w:pPr>
      <w:r>
        <w:rPr>
          <w:noProof/>
        </w:rPr>
        <w:lastRenderedPageBreak/>
        <w:drawing>
          <wp:inline distT="0" distB="0" distL="0" distR="0" wp14:anchorId="57DCC6DB" wp14:editId="38CFC71B">
            <wp:extent cx="4572000" cy="809625"/>
            <wp:effectExtent l="0" t="0" r="0" b="0"/>
            <wp:docPr id="529761289" name="Picture 52976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02FB87ED" w14:textId="044D0350" w:rsidR="009C16BF" w:rsidRPr="009C16BF" w:rsidRDefault="240A7DBF" w:rsidP="0041469D">
      <w:pPr>
        <w:pStyle w:val="ListNumber"/>
        <w:numPr>
          <w:ilvl w:val="0"/>
          <w:numId w:val="22"/>
        </w:numPr>
        <w:rPr>
          <w:rFonts w:eastAsia="Segoe UI" w:cs="Segoe UI"/>
        </w:rPr>
      </w:pPr>
      <w:r w:rsidRPr="00871CFE">
        <w:rPr>
          <w:rFonts w:eastAsia="Calibri" w:cs="Arial"/>
          <w:szCs w:val="20"/>
        </w:rPr>
        <w:t xml:space="preserve">In the bottom panel, relate </w:t>
      </w:r>
      <w:r w:rsidR="36ABC795" w:rsidRPr="00871CFE">
        <w:rPr>
          <w:rFonts w:eastAsia="Calibri" w:cs="Arial"/>
          <w:szCs w:val="20"/>
        </w:rPr>
        <w:t xml:space="preserve">the two connections by referencing the </w:t>
      </w:r>
      <w:r w:rsidR="00F60BFF">
        <w:rPr>
          <w:rFonts w:eastAsia="Calibri" w:cs="Arial"/>
          <w:szCs w:val="20"/>
        </w:rPr>
        <w:t>related</w:t>
      </w:r>
      <w:r w:rsidR="36ABC795" w:rsidRPr="00871CFE">
        <w:rPr>
          <w:rFonts w:eastAsia="Calibri" w:cs="Arial"/>
          <w:szCs w:val="20"/>
        </w:rPr>
        <w:t xml:space="preserve"> Bzone fields</w:t>
      </w:r>
      <w:r w:rsidR="009C16BF">
        <w:rPr>
          <w:rFonts w:eastAsia="Calibri" w:cs="Arial"/>
          <w:szCs w:val="20"/>
        </w:rPr>
        <w:t>:</w:t>
      </w:r>
    </w:p>
    <w:p w14:paraId="2CEB95C4" w14:textId="383922DF" w:rsidR="005E599F" w:rsidRPr="005E599F" w:rsidRDefault="009C16BF" w:rsidP="009C16BF">
      <w:pPr>
        <w:pStyle w:val="ListNumber"/>
        <w:numPr>
          <w:ilvl w:val="0"/>
          <w:numId w:val="0"/>
        </w:numPr>
        <w:ind w:left="720"/>
        <w:rPr>
          <w:rFonts w:eastAsia="Segoe UI" w:cs="Segoe UI"/>
        </w:rPr>
      </w:pPr>
      <w:r>
        <w:rPr>
          <w:noProof/>
        </w:rPr>
        <w:t xml:space="preserve"> </w:t>
      </w:r>
      <w:r w:rsidR="67C3F209">
        <w:rPr>
          <w:noProof/>
        </w:rPr>
        <w:drawing>
          <wp:inline distT="0" distB="0" distL="0" distR="0" wp14:anchorId="5E30F76E" wp14:editId="4537EB91">
            <wp:extent cx="3762375" cy="685800"/>
            <wp:effectExtent l="0" t="0" r="0" b="0"/>
            <wp:docPr id="1052070103" name="Picture 105207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685800"/>
                    </a:xfrm>
                    <a:prstGeom prst="rect">
                      <a:avLst/>
                    </a:prstGeom>
                  </pic:spPr>
                </pic:pic>
              </a:graphicData>
            </a:graphic>
          </wp:inline>
        </w:drawing>
      </w:r>
    </w:p>
    <w:p w14:paraId="65F7FAFE" w14:textId="77777777" w:rsidR="00337AF2" w:rsidRPr="00337AF2" w:rsidRDefault="3A3624E4" w:rsidP="0041469D">
      <w:pPr>
        <w:pStyle w:val="ListNumber"/>
        <w:numPr>
          <w:ilvl w:val="0"/>
          <w:numId w:val="22"/>
        </w:numPr>
        <w:rPr>
          <w:rFonts w:eastAsia="Segoe UI" w:cs="Segoe UI"/>
        </w:rPr>
      </w:pPr>
      <w:r w:rsidRPr="00871CFE">
        <w:rPr>
          <w:rFonts w:eastAsia="Calibri" w:cs="Arial"/>
          <w:szCs w:val="20"/>
        </w:rPr>
        <w:t>A snapshot of your related data will appear in the table next to the relationship editor. Toggle between the shapefile table and extract table using the dropdown menu above the relationship editor</w:t>
      </w:r>
      <w:r w:rsidR="004A6CA2">
        <w:rPr>
          <w:rFonts w:eastAsia="Calibri" w:cs="Arial"/>
          <w:szCs w:val="20"/>
        </w:rPr>
        <w:t>:</w:t>
      </w:r>
    </w:p>
    <w:p w14:paraId="7FE7509F" w14:textId="7237E924" w:rsidR="005E599F" w:rsidRPr="005E599F" w:rsidRDefault="778A8242" w:rsidP="00337AF2">
      <w:pPr>
        <w:pStyle w:val="ListNumber"/>
        <w:numPr>
          <w:ilvl w:val="0"/>
          <w:numId w:val="0"/>
        </w:numPr>
        <w:ind w:left="720"/>
        <w:rPr>
          <w:rFonts w:eastAsia="Segoe UI" w:cs="Segoe UI"/>
        </w:rPr>
      </w:pPr>
      <w:r>
        <w:rPr>
          <w:noProof/>
        </w:rPr>
        <w:drawing>
          <wp:inline distT="0" distB="0" distL="0" distR="0" wp14:anchorId="41FFC31C" wp14:editId="33B32FF2">
            <wp:extent cx="4819650" cy="2359620"/>
            <wp:effectExtent l="0" t="0" r="0" b="0"/>
            <wp:docPr id="693309220" name="Picture 69330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19650" cy="2359620"/>
                    </a:xfrm>
                    <a:prstGeom prst="rect">
                      <a:avLst/>
                    </a:prstGeom>
                  </pic:spPr>
                </pic:pic>
              </a:graphicData>
            </a:graphic>
          </wp:inline>
        </w:drawing>
      </w:r>
    </w:p>
    <w:p w14:paraId="59078DC0" w14:textId="59A6CD9C" w:rsidR="0041469D" w:rsidRPr="00162535" w:rsidRDefault="778A8242" w:rsidP="0041469D">
      <w:pPr>
        <w:pStyle w:val="ListNumber"/>
        <w:numPr>
          <w:ilvl w:val="0"/>
          <w:numId w:val="22"/>
        </w:numPr>
        <w:rPr>
          <w:rFonts w:eastAsia="Segoe UI" w:cs="Segoe UI"/>
          <w:i/>
          <w:iCs/>
        </w:rPr>
      </w:pPr>
      <w:r w:rsidRPr="00871CFE">
        <w:rPr>
          <w:rFonts w:eastAsia="Calibri" w:cs="Arial"/>
          <w:szCs w:val="20"/>
        </w:rPr>
        <w:t xml:space="preserve">Navigate to one of the dashboard tabs (e.g., Bzone VMT Income Dashboard, Bzone Trips Dashboard) to confirm your edited connections and relationships were successful. </w:t>
      </w:r>
      <w:r w:rsidRPr="004A6CA2">
        <w:rPr>
          <w:rFonts w:eastAsia="Calibri" w:cs="Arial"/>
          <w:i/>
          <w:iCs/>
          <w:szCs w:val="20"/>
        </w:rPr>
        <w:t>Note</w:t>
      </w:r>
      <w:r w:rsidR="1B28EFC2" w:rsidRPr="004A6CA2">
        <w:rPr>
          <w:rFonts w:eastAsia="Calibri" w:cs="Arial"/>
          <w:i/>
          <w:iCs/>
          <w:szCs w:val="20"/>
        </w:rPr>
        <w:t xml:space="preserve"> that </w:t>
      </w:r>
      <w:r w:rsidR="005E599F" w:rsidRPr="004A6CA2">
        <w:rPr>
          <w:rFonts w:eastAsia="Calibri" w:cs="Arial"/>
          <w:i/>
          <w:iCs/>
          <w:szCs w:val="20"/>
        </w:rPr>
        <w:t>if</w:t>
      </w:r>
      <w:r w:rsidR="1B28EFC2" w:rsidRPr="004A6CA2">
        <w:rPr>
          <w:rFonts w:eastAsia="Calibri" w:cs="Arial"/>
          <w:i/>
          <w:iCs/>
          <w:szCs w:val="20"/>
        </w:rPr>
        <w:t xml:space="preserve"> there are missing charts or blanks on a dashboard</w:t>
      </w:r>
      <w:r w:rsidR="005E599F" w:rsidRPr="004A6CA2">
        <w:rPr>
          <w:rFonts w:eastAsia="Calibri" w:cs="Arial"/>
          <w:i/>
          <w:iCs/>
          <w:szCs w:val="20"/>
        </w:rPr>
        <w:t>,</w:t>
      </w:r>
      <w:r w:rsidR="004A6CA2" w:rsidRPr="004A6CA2">
        <w:rPr>
          <w:rFonts w:eastAsia="Calibri" w:cs="Arial"/>
          <w:i/>
          <w:iCs/>
          <w:szCs w:val="20"/>
        </w:rPr>
        <w:t xml:space="preserve"> </w:t>
      </w:r>
      <w:r w:rsidR="005E599F" w:rsidRPr="004A6CA2">
        <w:rPr>
          <w:rFonts w:eastAsia="Calibri" w:cs="Arial"/>
          <w:i/>
          <w:iCs/>
          <w:szCs w:val="20"/>
        </w:rPr>
        <w:t>this</w:t>
      </w:r>
      <w:r w:rsidR="1B28EFC2" w:rsidRPr="004A6CA2">
        <w:rPr>
          <w:rFonts w:eastAsia="Calibri" w:cs="Arial"/>
          <w:i/>
          <w:iCs/>
          <w:szCs w:val="20"/>
        </w:rPr>
        <w:t xml:space="preserve"> indicates that the specific measure was not included in your custom extract.</w:t>
      </w:r>
      <w:r w:rsidR="00AF5425">
        <w:rPr>
          <w:rFonts w:eastAsia="Calibri" w:cs="Arial"/>
          <w:i/>
          <w:iCs/>
          <w:szCs w:val="20"/>
        </w:rPr>
        <w:t xml:space="preserve"> Also, creating a new connection may append a “1” to field names. Field names can be edited within the data source tab or within Dashboard containers.</w:t>
      </w:r>
      <w:r w:rsidR="1B28EFC2" w:rsidRPr="004A6CA2">
        <w:rPr>
          <w:rFonts w:eastAsia="Calibri" w:cs="Arial"/>
          <w:i/>
          <w:iCs/>
          <w:szCs w:val="20"/>
        </w:rPr>
        <w:t xml:space="preserve"> See the Navigating the Tableau Visualizer section for a list of default measures included in the template. </w:t>
      </w:r>
    </w:p>
    <w:p w14:paraId="2675CB68" w14:textId="77777777" w:rsidR="00162535" w:rsidRDefault="00162535" w:rsidP="00162535">
      <w:pPr>
        <w:pStyle w:val="ListNumber"/>
        <w:numPr>
          <w:ilvl w:val="0"/>
          <w:numId w:val="0"/>
        </w:numPr>
        <w:ind w:left="720" w:hanging="360"/>
        <w:rPr>
          <w:rFonts w:eastAsia="Calibri" w:cs="Arial"/>
          <w:i/>
          <w:iCs/>
          <w:szCs w:val="20"/>
        </w:rPr>
      </w:pPr>
    </w:p>
    <w:p w14:paraId="4A5734F1" w14:textId="2F502B92" w:rsidR="00162535" w:rsidRDefault="00162535" w:rsidP="00162535">
      <w:pPr>
        <w:pStyle w:val="Heading2"/>
        <w:rPr>
          <w:rFonts w:eastAsia="Segoe UI"/>
        </w:rPr>
      </w:pPr>
      <w:r>
        <w:rPr>
          <w:rFonts w:eastAsia="Segoe UI"/>
        </w:rPr>
        <w:t>Customizing Geographies</w:t>
      </w:r>
    </w:p>
    <w:p w14:paraId="0971FA68" w14:textId="57A2C184" w:rsidR="00162535" w:rsidRDefault="00162535" w:rsidP="00162535">
      <w:r>
        <w:t>Customizing the Azone or Marea of Bzones will require pre-processing of the query extract data within GIS. If you have an Azone or Marea shapefile or Esri feature class, you will need to associate the Bzones with the respective shapefiles and populate the Azone and Marea fields in the query extract to match. For a specific workflow, follow these steps:</w:t>
      </w:r>
    </w:p>
    <w:p w14:paraId="4374A2F5" w14:textId="310A2D9B" w:rsidR="00162535" w:rsidRDefault="00162535" w:rsidP="00162535">
      <w:pPr>
        <w:pStyle w:val="ListParagraph"/>
        <w:numPr>
          <w:ilvl w:val="0"/>
          <w:numId w:val="28"/>
        </w:numPr>
      </w:pPr>
      <w:r>
        <w:t>Upload Bzone and Azone shapefile or Esri feature class to desired desktop GIS software.</w:t>
      </w:r>
    </w:p>
    <w:p w14:paraId="695EFC58" w14:textId="4D02C44C" w:rsidR="00162535" w:rsidRDefault="00162535" w:rsidP="00162535">
      <w:pPr>
        <w:pStyle w:val="ListParagraph"/>
        <w:numPr>
          <w:ilvl w:val="0"/>
          <w:numId w:val="28"/>
        </w:numPr>
      </w:pPr>
      <w:r>
        <w:lastRenderedPageBreak/>
        <w:t>Compute a Spatial Join or Intersect that joins the Azone that Bzones are contained within to the Bzone shapefile or Esri feature class.</w:t>
      </w:r>
    </w:p>
    <w:p w14:paraId="5B939E70" w14:textId="7D17E7A6" w:rsidR="00162535" w:rsidRDefault="00162535" w:rsidP="00162535">
      <w:pPr>
        <w:pStyle w:val="ListParagraph"/>
        <w:numPr>
          <w:ilvl w:val="0"/>
          <w:numId w:val="28"/>
        </w:numPr>
      </w:pPr>
      <w:r>
        <w:t>Extract the Bzone shapefile or Esri feature class to an excel table.</w:t>
      </w:r>
    </w:p>
    <w:p w14:paraId="4F4F3681" w14:textId="50964C56" w:rsidR="00162535" w:rsidRDefault="00162535" w:rsidP="00162535">
      <w:pPr>
        <w:pStyle w:val="ListParagraph"/>
        <w:numPr>
          <w:ilvl w:val="0"/>
          <w:numId w:val="28"/>
        </w:numPr>
      </w:pPr>
      <w:r>
        <w:t xml:space="preserve">Use </w:t>
      </w:r>
      <w:proofErr w:type="spellStart"/>
      <w:r>
        <w:t>VLookup</w:t>
      </w:r>
      <w:proofErr w:type="spellEnd"/>
      <w:r>
        <w:t xml:space="preserve"> or Index Match in excel to overwrite the Azone field in the query extract based on the Bzone ID.</w:t>
      </w:r>
    </w:p>
    <w:p w14:paraId="3405BE47" w14:textId="53395B05" w:rsidR="00162535" w:rsidRPr="00162535" w:rsidRDefault="00162535" w:rsidP="00162535">
      <w:r>
        <w:t xml:space="preserve">If Azone or </w:t>
      </w:r>
      <w:proofErr w:type="spellStart"/>
      <w:r>
        <w:t>Mareas</w:t>
      </w:r>
      <w:proofErr w:type="spellEnd"/>
      <w:r>
        <w:t xml:space="preserve"> need to be reassociated after data is loaded into Tableau, make sure the Tableau Workbook is closed before modifying the query extract. Since the Tableau Workbook uses a live data source, any saved changes made to either the shapefile or query extract will be reflected within the Dashboards.</w:t>
      </w:r>
    </w:p>
    <w:p w14:paraId="550F783A" w14:textId="30702350" w:rsidR="006F23AE" w:rsidRDefault="3C3F49B4" w:rsidP="078A9D66">
      <w:pPr>
        <w:pStyle w:val="Heading2"/>
        <w:numPr>
          <w:ilvl w:val="1"/>
          <w:numId w:val="0"/>
        </w:numPr>
      </w:pPr>
      <w:r>
        <w:t>Create Custom Charts and Dashboards</w:t>
      </w:r>
      <w:r w:rsidR="1DD7A28F">
        <w:t xml:space="preserve"> </w:t>
      </w:r>
    </w:p>
    <w:p w14:paraId="0F7F8D0F" w14:textId="313D4077" w:rsidR="006F23AE" w:rsidRDefault="3B7880C8" w:rsidP="002D6349">
      <w:r>
        <w:t xml:space="preserve">Each dashboard is comprised of individual </w:t>
      </w:r>
      <w:r w:rsidR="67F5A761">
        <w:t xml:space="preserve">charts, also known as </w:t>
      </w:r>
      <w:r>
        <w:t xml:space="preserve">sheets. If you’d like to modify an existing </w:t>
      </w:r>
      <w:r w:rsidR="17C5553D">
        <w:t>work</w:t>
      </w:r>
      <w:r>
        <w:t>sheet within a dashboard, follow these steps:</w:t>
      </w:r>
    </w:p>
    <w:p w14:paraId="7433A88E" w14:textId="48E5DE1A" w:rsidR="006F23AE" w:rsidRDefault="7E0749D4" w:rsidP="002D6349">
      <w:pPr>
        <w:pStyle w:val="ListParagraph"/>
        <w:numPr>
          <w:ilvl w:val="0"/>
          <w:numId w:val="3"/>
        </w:numPr>
        <w:rPr>
          <w:rFonts w:eastAsia="Calibri" w:cs="Arial"/>
          <w:szCs w:val="20"/>
        </w:rPr>
      </w:pPr>
      <w:r w:rsidRPr="078A9D66">
        <w:rPr>
          <w:rFonts w:eastAsia="Calibri" w:cs="Arial"/>
          <w:szCs w:val="20"/>
        </w:rPr>
        <w:t xml:space="preserve">Right click on the dashboard containing a </w:t>
      </w:r>
      <w:r w:rsidR="06DC6E41">
        <w:t xml:space="preserve">worksheet </w:t>
      </w:r>
      <w:r w:rsidR="7467E23B" w:rsidRPr="078A9D66">
        <w:rPr>
          <w:rFonts w:eastAsia="Calibri" w:cs="Arial"/>
          <w:szCs w:val="20"/>
        </w:rPr>
        <w:t xml:space="preserve">you’d like to modify and select “Unhide All Sheets”. All </w:t>
      </w:r>
      <w:r w:rsidR="2175BA4A">
        <w:t xml:space="preserve">worksheets </w:t>
      </w:r>
      <w:r w:rsidR="7467E23B" w:rsidRPr="078A9D66">
        <w:rPr>
          <w:rFonts w:eastAsia="Calibri" w:cs="Arial"/>
          <w:szCs w:val="20"/>
        </w:rPr>
        <w:t>contained within that dashboard</w:t>
      </w:r>
      <w:r w:rsidR="74F3E162" w:rsidRPr="078A9D66">
        <w:rPr>
          <w:rFonts w:eastAsia="Calibri" w:cs="Arial"/>
          <w:szCs w:val="20"/>
        </w:rPr>
        <w:t xml:space="preserve"> appear in the bottom panel</w:t>
      </w:r>
      <w:r w:rsidR="00874005">
        <w:rPr>
          <w:rFonts w:eastAsia="Calibri" w:cs="Arial"/>
          <w:szCs w:val="20"/>
        </w:rPr>
        <w:t>:</w:t>
      </w:r>
    </w:p>
    <w:p w14:paraId="0B8B7D80" w14:textId="6672C40F" w:rsidR="006F23AE" w:rsidRDefault="74F3E162" w:rsidP="00874005">
      <w:pPr>
        <w:pStyle w:val="ListParagraph"/>
      </w:pPr>
      <w:r>
        <w:rPr>
          <w:noProof/>
        </w:rPr>
        <w:drawing>
          <wp:inline distT="0" distB="0" distL="0" distR="0" wp14:anchorId="1A440ACF" wp14:editId="14913E19">
            <wp:extent cx="4572000" cy="295275"/>
            <wp:effectExtent l="0" t="0" r="0" b="0"/>
            <wp:docPr id="1613205776" name="Picture 161320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44773DF0" w14:textId="1C414DB9" w:rsidR="006F23AE" w:rsidRDefault="74F3E162" w:rsidP="002D6349">
      <w:pPr>
        <w:pStyle w:val="ListParagraph"/>
        <w:numPr>
          <w:ilvl w:val="0"/>
          <w:numId w:val="3"/>
        </w:numPr>
        <w:rPr>
          <w:rFonts w:eastAsia="Calibri" w:cs="Arial"/>
          <w:szCs w:val="20"/>
        </w:rPr>
      </w:pPr>
      <w:r w:rsidRPr="078A9D66">
        <w:rPr>
          <w:rFonts w:eastAsia="Calibri" w:cs="Arial"/>
          <w:szCs w:val="20"/>
        </w:rPr>
        <w:t xml:space="preserve">Click on the </w:t>
      </w:r>
      <w:r w:rsidR="1FD4B19C">
        <w:t xml:space="preserve">worksheet </w:t>
      </w:r>
      <w:r w:rsidRPr="078A9D66">
        <w:rPr>
          <w:rFonts w:eastAsia="Calibri" w:cs="Arial"/>
          <w:szCs w:val="20"/>
        </w:rPr>
        <w:t xml:space="preserve">you’d like to modify in the bottom panel. </w:t>
      </w:r>
      <w:r w:rsidR="70B83A2D" w:rsidRPr="078A9D66">
        <w:rPr>
          <w:rFonts w:eastAsia="Calibri" w:cs="Arial"/>
          <w:szCs w:val="20"/>
        </w:rPr>
        <w:t xml:space="preserve">Use </w:t>
      </w:r>
      <w:hyperlink r:id="rId19" w:history="1">
        <w:r w:rsidR="70B83A2D" w:rsidRPr="00906B8A">
          <w:rPr>
            <w:rStyle w:val="Hyperlink"/>
            <w:rFonts w:eastAsia="Calibri" w:cs="Arial"/>
            <w:szCs w:val="20"/>
          </w:rPr>
          <w:t>the Tableau Workspace refence guide</w:t>
        </w:r>
      </w:hyperlink>
      <w:r w:rsidR="70B83A2D" w:rsidRPr="078A9D66">
        <w:rPr>
          <w:rFonts w:eastAsia="Calibri" w:cs="Arial"/>
          <w:szCs w:val="20"/>
        </w:rPr>
        <w:t xml:space="preserve"> to orient you within the </w:t>
      </w:r>
      <w:r w:rsidR="7B8A2F87">
        <w:t xml:space="preserve">worksheet </w:t>
      </w:r>
      <w:r w:rsidR="70B83A2D" w:rsidRPr="078A9D66">
        <w:rPr>
          <w:rFonts w:eastAsia="Calibri" w:cs="Arial"/>
          <w:szCs w:val="20"/>
        </w:rPr>
        <w:t>workspace. From here, you can change bin colors, update typography, edit aliases, and much more.</w:t>
      </w:r>
    </w:p>
    <w:p w14:paraId="035E0470" w14:textId="31B2229E" w:rsidR="006F23AE" w:rsidRDefault="3DDF4DDE" w:rsidP="078A9D66">
      <w:pPr>
        <w:rPr>
          <w:rFonts w:eastAsia="Calibri" w:cs="Arial"/>
          <w:szCs w:val="20"/>
        </w:rPr>
      </w:pPr>
      <w:r w:rsidRPr="078A9D66">
        <w:rPr>
          <w:rFonts w:eastAsia="Calibri" w:cs="Arial"/>
          <w:szCs w:val="20"/>
        </w:rPr>
        <w:t xml:space="preserve">If you’d like to create a new </w:t>
      </w:r>
      <w:r w:rsidR="18CFB8FA">
        <w:t xml:space="preserve">worksheet </w:t>
      </w:r>
      <w:r w:rsidRPr="078A9D66">
        <w:rPr>
          <w:rFonts w:eastAsia="Calibri" w:cs="Arial"/>
          <w:szCs w:val="20"/>
        </w:rPr>
        <w:t>within a dashboard, follow these steps:</w:t>
      </w:r>
    </w:p>
    <w:p w14:paraId="6D57FA5E" w14:textId="2B276735" w:rsidR="006F23AE" w:rsidRDefault="3DDF4DDE" w:rsidP="002D6349">
      <w:pPr>
        <w:pStyle w:val="ListParagraph"/>
        <w:numPr>
          <w:ilvl w:val="0"/>
          <w:numId w:val="2"/>
        </w:numPr>
        <w:rPr>
          <w:rFonts w:eastAsia="Calibri" w:cs="Arial"/>
          <w:szCs w:val="20"/>
        </w:rPr>
      </w:pPr>
      <w:r w:rsidRPr="078A9D66">
        <w:rPr>
          <w:rFonts w:eastAsia="Calibri" w:cs="Arial"/>
          <w:szCs w:val="20"/>
        </w:rPr>
        <w:t>On the bottom panel, select the first plus sign. Hover over it and it will say “New Worksheet”.</w:t>
      </w:r>
    </w:p>
    <w:p w14:paraId="1FEF9AA4" w14:textId="174F1F6F" w:rsidR="006F23AE" w:rsidRDefault="3DDF4DDE" w:rsidP="002D6349">
      <w:pPr>
        <w:pStyle w:val="ListParagraph"/>
        <w:numPr>
          <w:ilvl w:val="0"/>
          <w:numId w:val="2"/>
        </w:numPr>
        <w:rPr>
          <w:rFonts w:eastAsia="Calibri" w:cs="Arial"/>
          <w:szCs w:val="20"/>
        </w:rPr>
      </w:pPr>
      <w:r w:rsidRPr="078A9D66">
        <w:rPr>
          <w:rFonts w:eastAsia="Calibri" w:cs="Arial"/>
          <w:szCs w:val="20"/>
        </w:rPr>
        <w:t xml:space="preserve">A blank worksheet will appear. Drag a dimension into the columns row and a measure into the rows row at the top. For more information on dimensions and measures, please see this </w:t>
      </w:r>
      <w:hyperlink r:id="rId20" w:anchor=":~:text=Dimensions%20contain%20qualitative%20values%20(such,values%20that%20you%20can%20measure." w:history="1">
        <w:r w:rsidRPr="078A9D66">
          <w:rPr>
            <w:rStyle w:val="Hyperlink"/>
            <w:rFonts w:eastAsia="Calibri" w:cs="Arial"/>
            <w:szCs w:val="20"/>
          </w:rPr>
          <w:t>reference guide</w:t>
        </w:r>
      </w:hyperlink>
      <w:r w:rsidRPr="078A9D66">
        <w:rPr>
          <w:rFonts w:eastAsia="Calibri" w:cs="Arial"/>
          <w:szCs w:val="20"/>
        </w:rPr>
        <w:t>.</w:t>
      </w:r>
    </w:p>
    <w:p w14:paraId="66914073" w14:textId="1CA275EA" w:rsidR="006F23AE" w:rsidRDefault="3DDF4DDE" w:rsidP="003D18A6">
      <w:pPr>
        <w:pStyle w:val="ListParagraph"/>
      </w:pPr>
      <w:r>
        <w:rPr>
          <w:noProof/>
        </w:rPr>
        <w:drawing>
          <wp:inline distT="0" distB="0" distL="0" distR="0" wp14:anchorId="118973AE" wp14:editId="5CFDA97A">
            <wp:extent cx="4905375" cy="654050"/>
            <wp:effectExtent l="0" t="0" r="0" b="0"/>
            <wp:docPr id="562029260" name="Picture 56202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05375" cy="654050"/>
                    </a:xfrm>
                    <a:prstGeom prst="rect">
                      <a:avLst/>
                    </a:prstGeom>
                  </pic:spPr>
                </pic:pic>
              </a:graphicData>
            </a:graphic>
          </wp:inline>
        </w:drawing>
      </w:r>
    </w:p>
    <w:p w14:paraId="3C0D7EEA" w14:textId="1D9E9CAD" w:rsidR="006F23AE" w:rsidRDefault="7367670E" w:rsidP="002D6349">
      <w:pPr>
        <w:pStyle w:val="ListParagraph"/>
        <w:numPr>
          <w:ilvl w:val="0"/>
          <w:numId w:val="2"/>
        </w:numPr>
        <w:rPr>
          <w:rFonts w:eastAsia="Calibri" w:cs="Arial"/>
          <w:szCs w:val="20"/>
        </w:rPr>
      </w:pPr>
      <w:r w:rsidRPr="078A9D66">
        <w:rPr>
          <w:rFonts w:eastAsia="Calibri" w:cs="Arial"/>
          <w:szCs w:val="20"/>
        </w:rPr>
        <w:t xml:space="preserve">Once you’ve dragged your dimensions and measures to the columns and rows, a bar chart will appear in the main panel. </w:t>
      </w:r>
    </w:p>
    <w:p w14:paraId="0A902C93" w14:textId="4C77AE52" w:rsidR="00D8478A" w:rsidRDefault="7367670E" w:rsidP="00D8478A">
      <w:pPr>
        <w:pStyle w:val="ListParagraph"/>
        <w:numPr>
          <w:ilvl w:val="0"/>
          <w:numId w:val="2"/>
        </w:numPr>
        <w:rPr>
          <w:rFonts w:eastAsia="Calibri" w:cs="Arial"/>
          <w:szCs w:val="20"/>
        </w:rPr>
      </w:pPr>
      <w:r w:rsidRPr="078A9D66">
        <w:rPr>
          <w:rFonts w:eastAsia="Calibri" w:cs="Arial"/>
          <w:szCs w:val="20"/>
        </w:rPr>
        <w:t xml:space="preserve">To customize the chart further, please see this </w:t>
      </w:r>
      <w:hyperlink r:id="rId22" w:history="1">
        <w:r w:rsidRPr="078A9D66">
          <w:rPr>
            <w:rStyle w:val="Hyperlink"/>
            <w:rFonts w:eastAsia="Calibri" w:cs="Arial"/>
            <w:szCs w:val="20"/>
          </w:rPr>
          <w:t>reference guide</w:t>
        </w:r>
      </w:hyperlink>
      <w:r w:rsidRPr="078A9D66">
        <w:rPr>
          <w:rFonts w:eastAsia="Calibri" w:cs="Arial"/>
          <w:szCs w:val="20"/>
        </w:rPr>
        <w:t xml:space="preserve"> on how to customize a bar chart.</w:t>
      </w:r>
    </w:p>
    <w:p w14:paraId="159E8B90" w14:textId="4799D5C5" w:rsidR="00D8478A" w:rsidRDefault="00D8478A" w:rsidP="00D8478A">
      <w:pPr>
        <w:rPr>
          <w:rFonts w:eastAsia="Calibri" w:cs="Arial"/>
          <w:szCs w:val="20"/>
        </w:rPr>
      </w:pPr>
      <w:r>
        <w:rPr>
          <w:rFonts w:eastAsia="Calibri" w:cs="Arial"/>
          <w:szCs w:val="20"/>
        </w:rPr>
        <w:t>To change the symbology of the maps on the Bzone Dashboards, follow these steps:</w:t>
      </w:r>
    </w:p>
    <w:p w14:paraId="37CF5148" w14:textId="2F191305" w:rsidR="00D8478A" w:rsidRDefault="00D8478A" w:rsidP="00D8478A">
      <w:pPr>
        <w:pStyle w:val="ListParagraph"/>
        <w:numPr>
          <w:ilvl w:val="0"/>
          <w:numId w:val="27"/>
        </w:numPr>
        <w:rPr>
          <w:rFonts w:eastAsia="Calibri" w:cs="Arial"/>
          <w:szCs w:val="20"/>
        </w:rPr>
      </w:pPr>
      <w:r>
        <w:rPr>
          <w:rFonts w:eastAsia="Calibri" w:cs="Arial"/>
          <w:szCs w:val="20"/>
        </w:rPr>
        <w:lastRenderedPageBreak/>
        <w:t>Navigate to the Dashboard containing the map you’d like to change or update, click within the map container, click on the downward arrow on the right side of the map and click “Go to Sheet”.</w:t>
      </w:r>
    </w:p>
    <w:p w14:paraId="1E4A014B" w14:textId="10500103" w:rsidR="00D8478A" w:rsidRDefault="00D8478A" w:rsidP="00D8478A">
      <w:pPr>
        <w:pStyle w:val="ListParagraph"/>
        <w:numPr>
          <w:ilvl w:val="0"/>
          <w:numId w:val="27"/>
        </w:numPr>
        <w:rPr>
          <w:rFonts w:eastAsia="Calibri" w:cs="Arial"/>
          <w:szCs w:val="20"/>
        </w:rPr>
      </w:pPr>
      <w:r>
        <w:rPr>
          <w:rFonts w:eastAsia="Calibri" w:cs="Arial"/>
          <w:szCs w:val="20"/>
        </w:rPr>
        <w:t>Once you are on the map sheet, drag either a dimension or measure to the “Color” box in the Marks card. This will update the symbology of each polygon based on the value assigned.</w:t>
      </w:r>
    </w:p>
    <w:p w14:paraId="6D9BBA04" w14:textId="66810F26" w:rsidR="00D8478A" w:rsidRPr="00162535" w:rsidRDefault="00D8478A" w:rsidP="004C57A5">
      <w:pPr>
        <w:pStyle w:val="ListParagraph"/>
        <w:numPr>
          <w:ilvl w:val="0"/>
          <w:numId w:val="27"/>
        </w:numPr>
        <w:rPr>
          <w:rFonts w:eastAsia="Calibri" w:cs="Arial"/>
          <w:szCs w:val="20"/>
        </w:rPr>
      </w:pPr>
      <w:r w:rsidRPr="00162535">
        <w:rPr>
          <w:rFonts w:eastAsia="Calibri" w:cs="Arial"/>
          <w:szCs w:val="20"/>
        </w:rPr>
        <w:t>To modify the color schema</w:t>
      </w:r>
      <w:r w:rsidR="00162535" w:rsidRPr="00162535">
        <w:rPr>
          <w:rFonts w:eastAsia="Calibri" w:cs="Arial"/>
          <w:szCs w:val="20"/>
        </w:rPr>
        <w:t>, click on “Color” in the Marks card.</w:t>
      </w:r>
    </w:p>
    <w:p w14:paraId="5ECB9F2B" w14:textId="77777777" w:rsidR="00D8478A" w:rsidRPr="00D8478A" w:rsidRDefault="00D8478A" w:rsidP="00D8478A">
      <w:pPr>
        <w:rPr>
          <w:rFonts w:eastAsia="Calibri" w:cs="Arial"/>
          <w:szCs w:val="20"/>
        </w:rPr>
      </w:pPr>
    </w:p>
    <w:p w14:paraId="33F65439" w14:textId="0B91CE54" w:rsidR="006F23AE" w:rsidRDefault="6EAEAF2B" w:rsidP="078A9D66">
      <w:pPr>
        <w:pStyle w:val="Heading2"/>
        <w:numPr>
          <w:ilvl w:val="1"/>
          <w:numId w:val="0"/>
        </w:numPr>
      </w:pPr>
      <w:r>
        <w:t>Troubleshooting and Support</w:t>
      </w:r>
    </w:p>
    <w:p w14:paraId="44D00E05" w14:textId="54CFBCEC" w:rsidR="006F23AE" w:rsidRDefault="6EAEAF2B" w:rsidP="078A9D66">
      <w:pPr>
        <w:rPr>
          <w:rFonts w:eastAsia="Calibri" w:cs="Arial"/>
          <w:szCs w:val="20"/>
        </w:rPr>
      </w:pPr>
      <w:r w:rsidRPr="078A9D66">
        <w:rPr>
          <w:rFonts w:eastAsia="Calibri" w:cs="Arial"/>
          <w:szCs w:val="20"/>
        </w:rPr>
        <w:t>For additional guidance and troubleshooting assistance, please refer to the following links and resources:</w:t>
      </w:r>
    </w:p>
    <w:p w14:paraId="6A7EDC60" w14:textId="02B08940" w:rsidR="006F23AE" w:rsidRDefault="00000000" w:rsidP="002D6349">
      <w:pPr>
        <w:pStyle w:val="ListParagraph"/>
        <w:numPr>
          <w:ilvl w:val="0"/>
          <w:numId w:val="1"/>
        </w:numPr>
        <w:rPr>
          <w:rFonts w:eastAsia="Calibri" w:cs="Arial"/>
          <w:szCs w:val="20"/>
        </w:rPr>
      </w:pPr>
      <w:hyperlink r:id="rId23" w:history="1">
        <w:r w:rsidR="6EAEAF2B" w:rsidRPr="078A9D66">
          <w:rPr>
            <w:rStyle w:val="Hyperlink"/>
            <w:rFonts w:eastAsia="Calibri" w:cs="Arial"/>
            <w:szCs w:val="20"/>
          </w:rPr>
          <w:t>Tableau Help</w:t>
        </w:r>
      </w:hyperlink>
    </w:p>
    <w:p w14:paraId="0BF3A362" w14:textId="10BE87C2" w:rsidR="006F23AE" w:rsidRDefault="00000000" w:rsidP="002D6349">
      <w:pPr>
        <w:pStyle w:val="ListParagraph"/>
        <w:numPr>
          <w:ilvl w:val="0"/>
          <w:numId w:val="1"/>
        </w:numPr>
        <w:rPr>
          <w:rFonts w:eastAsia="Calibri" w:cs="Arial"/>
          <w:szCs w:val="20"/>
        </w:rPr>
      </w:pPr>
      <w:hyperlink r:id="rId24" w:history="1">
        <w:r w:rsidR="6EAEAF2B" w:rsidRPr="078A9D66">
          <w:rPr>
            <w:rStyle w:val="Hyperlink"/>
            <w:rFonts w:eastAsia="Calibri" w:cs="Arial"/>
            <w:szCs w:val="20"/>
          </w:rPr>
          <w:t>Tableau Community</w:t>
        </w:r>
      </w:hyperlink>
    </w:p>
    <w:p w14:paraId="1EF562FC" w14:textId="03A3ABF2" w:rsidR="006F23AE" w:rsidRDefault="006F23AE" w:rsidP="006F23AE">
      <w:pPr>
        <w:pStyle w:val="Heading1"/>
      </w:pPr>
      <w:r>
        <w:lastRenderedPageBreak/>
        <w:t xml:space="preserve">Navigating the Tableau </w:t>
      </w:r>
      <w:r w:rsidR="001E5A65">
        <w:t>Visualizer</w:t>
      </w:r>
    </w:p>
    <w:p w14:paraId="1778858D" w14:textId="33E89CC7" w:rsidR="006F23AE" w:rsidRDefault="006F23AE" w:rsidP="006F23AE">
      <w:r>
        <w:t xml:space="preserve">The Tableau </w:t>
      </w:r>
      <w:r w:rsidR="001E5A65">
        <w:t xml:space="preserve">visualizer </w:t>
      </w:r>
      <w:r>
        <w:t xml:space="preserve">consists of four dashboards, each offering valuable insights into different aspects of </w:t>
      </w:r>
      <w:r w:rsidR="00A87F40">
        <w:t>VisionEval</w:t>
      </w:r>
      <w:r>
        <w:t xml:space="preserve">. </w:t>
      </w:r>
      <w:r w:rsidR="00156EC2">
        <w:t>E</w:t>
      </w:r>
      <w:r>
        <w:t>ach dashboard and its key features</w:t>
      </w:r>
      <w:r w:rsidR="00156EC2">
        <w:t xml:space="preserve"> are described below. </w:t>
      </w:r>
    </w:p>
    <w:p w14:paraId="6D96FF5A" w14:textId="2C81CF0A" w:rsidR="00E877CA" w:rsidRPr="00E877CA" w:rsidRDefault="00E877CA" w:rsidP="006F23AE">
      <w:pPr>
        <w:rPr>
          <w:i/>
          <w:iCs/>
        </w:rPr>
      </w:pPr>
      <w:r>
        <w:rPr>
          <w:i/>
          <w:iCs/>
        </w:rPr>
        <w:t xml:space="preserve">Note: </w:t>
      </w:r>
      <w:r w:rsidRPr="00FD196F">
        <w:rPr>
          <w:i/>
          <w:iCs/>
        </w:rPr>
        <w:t>Measure bar charts use the average value of the respective measure. If one Bzone is selected on the map, the value for each scenario will be the distinct value for that specific Bzone. If multiple Bzones are selected, the measure values will be an average of all selected Bzones. If no Bzones are selected on the map, the measure values will be for an average Bzone of the entire Region.</w:t>
      </w:r>
      <w:r>
        <w:rPr>
          <w:i/>
          <w:iCs/>
        </w:rPr>
        <w:t xml:space="preserve"> </w:t>
      </w:r>
      <w:r w:rsidRPr="00E877CA">
        <w:rPr>
          <w:i/>
          <w:iCs/>
        </w:rPr>
        <w:t>Percent changes across scenarios (percentages within data label parenthesis) compare scenarios to the base year value.</w:t>
      </w:r>
    </w:p>
    <w:p w14:paraId="737ECE7B" w14:textId="0BF9FB77" w:rsidR="006F23AE" w:rsidRDefault="00F21E6D" w:rsidP="006F23AE">
      <w:pPr>
        <w:pStyle w:val="Heading3"/>
      </w:pPr>
      <w:r>
        <w:t>Bzone</w:t>
      </w:r>
      <w:r w:rsidR="006F23AE">
        <w:t xml:space="preserve"> VMT Income Dashboard</w:t>
      </w:r>
    </w:p>
    <w:p w14:paraId="4A494B97" w14:textId="69256E0B" w:rsidR="006F23AE" w:rsidRDefault="006F23AE" w:rsidP="006F23AE">
      <w:r>
        <w:t xml:space="preserve">The </w:t>
      </w:r>
      <w:r w:rsidR="00F21E6D">
        <w:t>Bzone</w:t>
      </w:r>
      <w:r>
        <w:t xml:space="preserve"> VMT Income dashboard provides a comprehensive view of vehicle miles traveled (VMT) and household income across different </w:t>
      </w:r>
      <w:r w:rsidR="00F21E6D">
        <w:t>Bzone</w:t>
      </w:r>
      <w:r>
        <w:t xml:space="preserve">s. </w:t>
      </w:r>
      <w:r w:rsidR="00156EC2">
        <w:t>This dashboard includes the following components:</w:t>
      </w:r>
    </w:p>
    <w:p w14:paraId="008DCC35" w14:textId="24F28FB0" w:rsidR="006F23AE" w:rsidRDefault="006F23AE" w:rsidP="00FB06E7">
      <w:pPr>
        <w:pStyle w:val="ListParagraph"/>
        <w:numPr>
          <w:ilvl w:val="0"/>
          <w:numId w:val="23"/>
        </w:numPr>
        <w:spacing w:after="240"/>
      </w:pPr>
      <w:r w:rsidRPr="000721CD">
        <w:rPr>
          <w:b/>
        </w:rPr>
        <w:t>Legend and Quick Info:</w:t>
      </w:r>
      <w:r>
        <w:t xml:space="preserve"> Located on the top left, this section provides a legend explaining how the data is summarized in the dashboard.</w:t>
      </w:r>
    </w:p>
    <w:p w14:paraId="084E27A6" w14:textId="68DDCA78" w:rsidR="006F23AE" w:rsidRDefault="006F23AE" w:rsidP="00FB06E7">
      <w:pPr>
        <w:pStyle w:val="ListParagraph"/>
        <w:numPr>
          <w:ilvl w:val="0"/>
          <w:numId w:val="23"/>
        </w:numPr>
        <w:spacing w:after="240"/>
      </w:pPr>
      <w:r w:rsidRPr="000721CD">
        <w:rPr>
          <w:b/>
        </w:rPr>
        <w:t>Interactive Map:</w:t>
      </w:r>
      <w:r>
        <w:t xml:space="preserve"> </w:t>
      </w:r>
      <w:r w:rsidR="002F0E95">
        <w:t>B</w:t>
      </w:r>
      <w:r>
        <w:t xml:space="preserve">elow the legend section, there is an interactive map displaying the </w:t>
      </w:r>
      <w:r w:rsidR="00F21E6D">
        <w:t>Bzone</w:t>
      </w:r>
      <w:r>
        <w:t>s in the project. By clicking or unclicking specific zones, the charts on the right side of the dashboard will dynamically update to reflect the selected zones</w:t>
      </w:r>
      <w:r w:rsidR="00AF00EB">
        <w:t xml:space="preserve"> (by default, the charts provide </w:t>
      </w:r>
      <w:r w:rsidR="00F21E6D">
        <w:t>Marea</w:t>
      </w:r>
      <w:r w:rsidR="009B3440">
        <w:t>-</w:t>
      </w:r>
      <w:r w:rsidR="00AF00EB">
        <w:t>level summaries)</w:t>
      </w:r>
      <w:r>
        <w:t>.</w:t>
      </w:r>
    </w:p>
    <w:p w14:paraId="0D23F52A" w14:textId="68D074A5" w:rsidR="006F23AE" w:rsidRDefault="006F23AE" w:rsidP="00FB06E7">
      <w:pPr>
        <w:pStyle w:val="ListParagraph"/>
        <w:numPr>
          <w:ilvl w:val="0"/>
          <w:numId w:val="23"/>
        </w:numPr>
        <w:spacing w:after="240"/>
      </w:pPr>
      <w:r w:rsidRPr="000721CD">
        <w:rPr>
          <w:b/>
        </w:rPr>
        <w:t>Dropdown Filters:</w:t>
      </w:r>
      <w:r>
        <w:t xml:space="preserve"> </w:t>
      </w:r>
      <w:r w:rsidR="00217D9F">
        <w:t>D</w:t>
      </w:r>
      <w:r>
        <w:t>ropdown filters that allow users to change the following parameters</w:t>
      </w:r>
      <w:r w:rsidR="00217D9F">
        <w:t xml:space="preserve"> are located in the top-right of the dashboard</w:t>
      </w:r>
      <w:r>
        <w:t xml:space="preserve">: Region, </w:t>
      </w:r>
      <w:r w:rsidR="00F21E6D">
        <w:t>Marea</w:t>
      </w:r>
      <w:r>
        <w:t xml:space="preserve">, </w:t>
      </w:r>
      <w:r w:rsidR="00F21E6D">
        <w:t>Bzone</w:t>
      </w:r>
      <w:r>
        <w:t xml:space="preserve">, Scenario, and Year. The available options in these dropdowns depend on the </w:t>
      </w:r>
      <w:r w:rsidR="00217D9F">
        <w:t xml:space="preserve">specific VisionEval </w:t>
      </w:r>
      <w:r>
        <w:t xml:space="preserve">data </w:t>
      </w:r>
      <w:r w:rsidR="00217D9F">
        <w:t>loaded.</w:t>
      </w:r>
    </w:p>
    <w:p w14:paraId="3E53735A" w14:textId="2E8BAD62" w:rsidR="000721CD" w:rsidRDefault="006F23AE" w:rsidP="00FB06E7">
      <w:pPr>
        <w:pStyle w:val="ListParagraph"/>
        <w:numPr>
          <w:ilvl w:val="0"/>
          <w:numId w:val="23"/>
        </w:numPr>
        <w:spacing w:after="240"/>
      </w:pPr>
      <w:r w:rsidRPr="000721CD">
        <w:rPr>
          <w:b/>
        </w:rPr>
        <w:t>Bar Charts:</w:t>
      </w:r>
      <w:r>
        <w:t xml:space="preserve"> The right side of the dashboard features three bar charts, each re</w:t>
      </w:r>
      <w:r w:rsidRPr="00D86A68">
        <w:t xml:space="preserve">presenting a different scenario. The bars are color-coded to indicate the scenario category: </w:t>
      </w:r>
      <w:r w:rsidR="00D86A68" w:rsidRPr="00D86A68">
        <w:t>red</w:t>
      </w:r>
      <w:r w:rsidRPr="00D86A68">
        <w:t xml:space="preserve"> for baseline, </w:t>
      </w:r>
      <w:r w:rsidR="00D86A68" w:rsidRPr="00D86A68">
        <w:t>orange</w:t>
      </w:r>
      <w:r w:rsidRPr="00D86A68">
        <w:t xml:space="preserve"> for future year, and </w:t>
      </w:r>
      <w:r w:rsidR="00D86A68" w:rsidRPr="00D86A68">
        <w:t>light blue</w:t>
      </w:r>
      <w:r w:rsidRPr="00D86A68">
        <w:t xml:space="preserve"> for other scenarios.</w:t>
      </w:r>
      <w:r w:rsidR="008121D9" w:rsidRPr="00D86A68">
        <w:rPr>
          <w:rStyle w:val="FootnoteReference"/>
        </w:rPr>
        <w:footnoteReference w:id="6"/>
      </w:r>
      <w:r w:rsidRPr="00D86A68">
        <w:t xml:space="preserve"> A</w:t>
      </w:r>
      <w:r>
        <w:t xml:space="preserve"> label on top of each bar displays the percentage change compared to the baseline scenario value. The bar charts depict the following metrics:</w:t>
      </w:r>
    </w:p>
    <w:p w14:paraId="7128FB88" w14:textId="5D3D1802" w:rsidR="000721CD" w:rsidRPr="00FB06E7" w:rsidRDefault="006F23AE" w:rsidP="00FB06E7">
      <w:pPr>
        <w:pStyle w:val="ListParagraph"/>
        <w:numPr>
          <w:ilvl w:val="1"/>
          <w:numId w:val="23"/>
        </w:numPr>
        <w:rPr>
          <w:rFonts w:eastAsia="Segoe UI" w:cs="Segoe UI"/>
          <w:szCs w:val="20"/>
        </w:rPr>
      </w:pPr>
      <w:r w:rsidRPr="00FB06E7">
        <w:rPr>
          <w:rFonts w:eastAsia="Segoe UI" w:cs="Segoe UI"/>
          <w:szCs w:val="20"/>
        </w:rPr>
        <w:t>Average daily vehicle miles traveled by households in autos or light trucks</w:t>
      </w:r>
    </w:p>
    <w:p w14:paraId="37D1D481" w14:textId="61E93221" w:rsidR="000721CD" w:rsidRPr="00FB06E7" w:rsidRDefault="006F23AE" w:rsidP="00FB06E7">
      <w:pPr>
        <w:pStyle w:val="ListParagraph"/>
        <w:numPr>
          <w:ilvl w:val="1"/>
          <w:numId w:val="23"/>
        </w:numPr>
        <w:rPr>
          <w:rFonts w:eastAsia="Segoe UI" w:cs="Segoe UI"/>
          <w:szCs w:val="20"/>
        </w:rPr>
      </w:pPr>
      <w:r w:rsidRPr="00FB06E7">
        <w:rPr>
          <w:rFonts w:eastAsia="Segoe UI" w:cs="Segoe UI"/>
          <w:szCs w:val="20"/>
        </w:rPr>
        <w:t>Total annual household income</w:t>
      </w:r>
    </w:p>
    <w:p w14:paraId="420E354C" w14:textId="14409C11" w:rsidR="006F23AE" w:rsidRPr="00FB06E7" w:rsidRDefault="006F23AE" w:rsidP="00FB06E7">
      <w:pPr>
        <w:pStyle w:val="ListParagraph"/>
        <w:numPr>
          <w:ilvl w:val="1"/>
          <w:numId w:val="23"/>
        </w:numPr>
        <w:rPr>
          <w:rFonts w:eastAsia="Segoe UI" w:cs="Segoe UI"/>
          <w:szCs w:val="20"/>
        </w:rPr>
      </w:pPr>
      <w:r w:rsidRPr="00FB06E7">
        <w:rPr>
          <w:rFonts w:eastAsia="Segoe UI" w:cs="Segoe UI"/>
          <w:szCs w:val="20"/>
        </w:rPr>
        <w:t>Annual household vehicle ownership cost savings in dollars, including depreciation, finance, insurance, and taxes</w:t>
      </w:r>
    </w:p>
    <w:p w14:paraId="5EA91EE3" w14:textId="5EE8C9EB" w:rsidR="006F23AE" w:rsidRDefault="00F21E6D" w:rsidP="006F23AE">
      <w:pPr>
        <w:pStyle w:val="Heading3"/>
      </w:pPr>
      <w:r>
        <w:lastRenderedPageBreak/>
        <w:t>Bzone</w:t>
      </w:r>
      <w:r w:rsidR="006F23AE">
        <w:t xml:space="preserve"> Trips Dashboard</w:t>
      </w:r>
    </w:p>
    <w:p w14:paraId="40437A3A" w14:textId="7B16A15B" w:rsidR="006F23AE" w:rsidRDefault="006F23AE" w:rsidP="006F23AE">
      <w:r>
        <w:t xml:space="preserve">The </w:t>
      </w:r>
      <w:r w:rsidR="00F21E6D">
        <w:t>Bzone</w:t>
      </w:r>
      <w:r>
        <w:t xml:space="preserve"> Trips dashboard focuses on analyzing various types of trips taken by household members in different </w:t>
      </w:r>
      <w:r w:rsidR="00F21E6D">
        <w:t>Bzone</w:t>
      </w:r>
      <w:r>
        <w:t xml:space="preserve">s. </w:t>
      </w:r>
      <w:r w:rsidR="00B31B93">
        <w:t>Its</w:t>
      </w:r>
      <w:r>
        <w:t xml:space="preserve"> components</w:t>
      </w:r>
      <w:r w:rsidR="00B31B93">
        <w:t xml:space="preserve"> include</w:t>
      </w:r>
      <w:r>
        <w:t>:</w:t>
      </w:r>
    </w:p>
    <w:p w14:paraId="58824248" w14:textId="36504086" w:rsidR="006F23AE" w:rsidRDefault="006F23AE" w:rsidP="00AA454F">
      <w:pPr>
        <w:pStyle w:val="ListParagraph"/>
        <w:numPr>
          <w:ilvl w:val="0"/>
          <w:numId w:val="24"/>
        </w:numPr>
      </w:pPr>
      <w:r w:rsidRPr="00B31B93">
        <w:rPr>
          <w:b/>
        </w:rPr>
        <w:t>Legend and Quick Info</w:t>
      </w:r>
      <w:r>
        <w:t xml:space="preserve">: </w:t>
      </w:r>
      <w:proofErr w:type="gramStart"/>
      <w:r>
        <w:t>Similar to</w:t>
      </w:r>
      <w:proofErr w:type="gramEnd"/>
      <w:r>
        <w:t xml:space="preserve"> the previous dashboard, this section provides a legend and quick information about data summarization on the top left.</w:t>
      </w:r>
    </w:p>
    <w:p w14:paraId="17BC8554" w14:textId="2E3906F0" w:rsidR="006F23AE" w:rsidRDefault="006F23AE" w:rsidP="00AA454F">
      <w:pPr>
        <w:pStyle w:val="ListParagraph"/>
        <w:numPr>
          <w:ilvl w:val="0"/>
          <w:numId w:val="24"/>
        </w:numPr>
      </w:pPr>
      <w:r w:rsidRPr="00B31B93">
        <w:rPr>
          <w:b/>
        </w:rPr>
        <w:t>Interactive Map:</w:t>
      </w:r>
      <w:r>
        <w:t xml:space="preserve"> The map allows you to select specific </w:t>
      </w:r>
      <w:r w:rsidR="00F21E6D">
        <w:t>Bzone</w:t>
      </w:r>
      <w:r>
        <w:t>s, influencing the charts on the right-hand side.</w:t>
      </w:r>
    </w:p>
    <w:p w14:paraId="54684B57" w14:textId="1588694F" w:rsidR="006F23AE" w:rsidRDefault="006F23AE" w:rsidP="00AA454F">
      <w:pPr>
        <w:pStyle w:val="ListParagraph"/>
        <w:numPr>
          <w:ilvl w:val="0"/>
          <w:numId w:val="24"/>
        </w:numPr>
      </w:pPr>
      <w:r w:rsidRPr="00B31B93">
        <w:rPr>
          <w:b/>
        </w:rPr>
        <w:t>Dropdown Filters:</w:t>
      </w:r>
      <w:r>
        <w:t xml:space="preserve"> The top right corner contains dropdown filters to modify the Region, </w:t>
      </w:r>
      <w:r w:rsidR="00F21E6D">
        <w:t>Marea</w:t>
      </w:r>
      <w:r>
        <w:t xml:space="preserve">, </w:t>
      </w:r>
      <w:r w:rsidR="00F21E6D">
        <w:t>Bzone</w:t>
      </w:r>
      <w:r>
        <w:t>, Scenario, and Year parameters.</w:t>
      </w:r>
    </w:p>
    <w:p w14:paraId="323474E8" w14:textId="3B4442CF" w:rsidR="00B31B93" w:rsidRDefault="006F23AE" w:rsidP="00AA454F">
      <w:pPr>
        <w:pStyle w:val="ListParagraph"/>
        <w:numPr>
          <w:ilvl w:val="0"/>
          <w:numId w:val="24"/>
        </w:numPr>
      </w:pPr>
      <w:r w:rsidRPr="00B31B93">
        <w:rPr>
          <w:b/>
        </w:rPr>
        <w:t>Bar Charts:</w:t>
      </w:r>
      <w:r>
        <w:t xml:space="preserve"> The right side of the dashboard presents four bar charts, each corresponding to a different scenario. The bars are color-coded based on the scenario category: </w:t>
      </w:r>
      <w:r w:rsidR="004547EA" w:rsidRPr="00D86A68">
        <w:t>red for baseline, orange for future year, and light blue for other scenarios.</w:t>
      </w:r>
      <w:r>
        <w:t xml:space="preserve"> Additionally, each bar displays the percentage change compared to the baseline scenario value. The bar charts depict the following metrics:</w:t>
      </w:r>
    </w:p>
    <w:p w14:paraId="11F44A9D" w14:textId="27E3DBD2" w:rsidR="00B31B93" w:rsidRPr="00AA454F" w:rsidRDefault="006F23AE" w:rsidP="00AA454F">
      <w:pPr>
        <w:pStyle w:val="ListParagraph"/>
        <w:numPr>
          <w:ilvl w:val="1"/>
          <w:numId w:val="24"/>
        </w:numPr>
        <w:rPr>
          <w:rFonts w:eastAsia="Segoe UI" w:cs="Segoe UI"/>
          <w:szCs w:val="20"/>
        </w:rPr>
      </w:pPr>
      <w:r w:rsidRPr="00AA454F">
        <w:rPr>
          <w:rFonts w:eastAsia="Segoe UI" w:cs="Segoe UI"/>
          <w:szCs w:val="20"/>
        </w:rPr>
        <w:t>Average number of vehicle trips per day by household members</w:t>
      </w:r>
    </w:p>
    <w:p w14:paraId="6C7199AD" w14:textId="07CF3A2E" w:rsidR="00B31B93" w:rsidRPr="00AA454F" w:rsidRDefault="006F23AE" w:rsidP="00AA454F">
      <w:pPr>
        <w:pStyle w:val="ListParagraph"/>
        <w:numPr>
          <w:ilvl w:val="1"/>
          <w:numId w:val="24"/>
        </w:numPr>
        <w:rPr>
          <w:rFonts w:eastAsia="Segoe UI" w:cs="Segoe UI"/>
          <w:szCs w:val="20"/>
        </w:rPr>
      </w:pPr>
      <w:r w:rsidRPr="00AA454F">
        <w:rPr>
          <w:rFonts w:eastAsia="Segoe UI" w:cs="Segoe UI"/>
          <w:szCs w:val="20"/>
        </w:rPr>
        <w:t>Average number of public transit trips per year by household members</w:t>
      </w:r>
    </w:p>
    <w:p w14:paraId="63CB152A" w14:textId="0F24AF30" w:rsidR="00B31B93" w:rsidRPr="00AA454F" w:rsidRDefault="006F23AE" w:rsidP="00AA454F">
      <w:pPr>
        <w:pStyle w:val="ListParagraph"/>
        <w:numPr>
          <w:ilvl w:val="1"/>
          <w:numId w:val="24"/>
        </w:numPr>
        <w:rPr>
          <w:rFonts w:eastAsia="Segoe UI" w:cs="Segoe UI"/>
          <w:szCs w:val="20"/>
        </w:rPr>
      </w:pPr>
      <w:r w:rsidRPr="00AA454F">
        <w:rPr>
          <w:rFonts w:eastAsia="Segoe UI" w:cs="Segoe UI"/>
          <w:szCs w:val="20"/>
        </w:rPr>
        <w:t>Average number of bicycle trips per year by household members</w:t>
      </w:r>
    </w:p>
    <w:p w14:paraId="60A53903" w14:textId="65784341" w:rsidR="006F23AE" w:rsidRPr="00AA454F" w:rsidRDefault="006F23AE" w:rsidP="00AA454F">
      <w:pPr>
        <w:pStyle w:val="ListParagraph"/>
        <w:numPr>
          <w:ilvl w:val="1"/>
          <w:numId w:val="24"/>
        </w:numPr>
        <w:rPr>
          <w:rFonts w:eastAsia="Segoe UI" w:cs="Segoe UI"/>
          <w:szCs w:val="20"/>
        </w:rPr>
      </w:pPr>
      <w:r w:rsidRPr="00AA454F">
        <w:rPr>
          <w:rFonts w:eastAsia="Segoe UI" w:cs="Segoe UI"/>
          <w:szCs w:val="20"/>
        </w:rPr>
        <w:t>Average number of walk trips per year by household members</w:t>
      </w:r>
    </w:p>
    <w:p w14:paraId="45DDE328" w14:textId="71EB5F07" w:rsidR="006F23AE" w:rsidRDefault="24DF035F" w:rsidP="006F23AE">
      <w:pPr>
        <w:pStyle w:val="Heading3"/>
      </w:pPr>
      <w:r>
        <w:t>Bzone</w:t>
      </w:r>
      <w:r w:rsidR="53B0F797">
        <w:t xml:space="preserve"> </w:t>
      </w:r>
      <w:r w:rsidR="75996DE5">
        <w:t xml:space="preserve">Energy and Emissions </w:t>
      </w:r>
      <w:r w:rsidR="53B0F797">
        <w:t>Dashboard</w:t>
      </w:r>
    </w:p>
    <w:p w14:paraId="4E994665" w14:textId="576CCD00" w:rsidR="006F23AE" w:rsidRDefault="006F23AE" w:rsidP="006F23AE">
      <w:r>
        <w:t xml:space="preserve">The </w:t>
      </w:r>
      <w:r w:rsidR="00F21E6D">
        <w:t>Bzone</w:t>
      </w:r>
      <w:r>
        <w:t xml:space="preserve"> </w:t>
      </w:r>
      <w:r w:rsidR="00113BDC">
        <w:t xml:space="preserve">Energy and Emissions </w:t>
      </w:r>
      <w:r>
        <w:t xml:space="preserve">Dashboard provides insights into </w:t>
      </w:r>
      <w:r w:rsidR="00794906">
        <w:t>energy and emissions</w:t>
      </w:r>
      <w:r>
        <w:t xml:space="preserve">-related metrics in different </w:t>
      </w:r>
      <w:r w:rsidR="00F21E6D">
        <w:t>Bzone</w:t>
      </w:r>
      <w:r>
        <w:t xml:space="preserve">s. </w:t>
      </w:r>
      <w:r w:rsidR="00794906">
        <w:t>This dashboard includes</w:t>
      </w:r>
      <w:r>
        <w:t>:</w:t>
      </w:r>
    </w:p>
    <w:p w14:paraId="38A7201E" w14:textId="400CA000" w:rsidR="006F23AE" w:rsidRDefault="006F23AE" w:rsidP="00AA454F">
      <w:pPr>
        <w:pStyle w:val="ListParagraph"/>
        <w:numPr>
          <w:ilvl w:val="0"/>
          <w:numId w:val="25"/>
        </w:numPr>
      </w:pPr>
      <w:r w:rsidRPr="00794906">
        <w:rPr>
          <w:b/>
        </w:rPr>
        <w:t>Legend and Quick Info</w:t>
      </w:r>
      <w:r>
        <w:t xml:space="preserve">: Located on the top left, this section </w:t>
      </w:r>
      <w:r w:rsidR="00005188">
        <w:t>displays</w:t>
      </w:r>
      <w:r>
        <w:t xml:space="preserve"> a legend and quick information about the data summarized in the dashboard.</w:t>
      </w:r>
    </w:p>
    <w:p w14:paraId="6AEA5A33" w14:textId="04014F52" w:rsidR="006F23AE" w:rsidRDefault="006F23AE" w:rsidP="00AA454F">
      <w:pPr>
        <w:pStyle w:val="ListParagraph"/>
        <w:numPr>
          <w:ilvl w:val="0"/>
          <w:numId w:val="25"/>
        </w:numPr>
      </w:pPr>
      <w:r w:rsidRPr="00794906">
        <w:rPr>
          <w:b/>
        </w:rPr>
        <w:t>Interactive Map:</w:t>
      </w:r>
      <w:r>
        <w:t xml:space="preserve"> </w:t>
      </w:r>
      <w:proofErr w:type="gramStart"/>
      <w:r>
        <w:t>Similar to</w:t>
      </w:r>
      <w:proofErr w:type="gramEnd"/>
      <w:r>
        <w:t xml:space="preserve"> the previous dashboards, an interactive map is displayed on the left, allowing you to select specific </w:t>
      </w:r>
      <w:r w:rsidR="00F21E6D">
        <w:t>Bzone</w:t>
      </w:r>
      <w:r>
        <w:t>s.</w:t>
      </w:r>
    </w:p>
    <w:p w14:paraId="6A07ACF7" w14:textId="3782E1D2" w:rsidR="006F23AE" w:rsidRDefault="006F23AE" w:rsidP="00AA454F">
      <w:pPr>
        <w:pStyle w:val="ListParagraph"/>
        <w:numPr>
          <w:ilvl w:val="0"/>
          <w:numId w:val="25"/>
        </w:numPr>
      </w:pPr>
      <w:r w:rsidRPr="00794906">
        <w:rPr>
          <w:b/>
        </w:rPr>
        <w:t>Dropdown Filters:</w:t>
      </w:r>
      <w:r>
        <w:t xml:space="preserve"> The top right corner contains dropdown filters to modify the Region, </w:t>
      </w:r>
      <w:r w:rsidR="00F21E6D">
        <w:t>Marea</w:t>
      </w:r>
      <w:r>
        <w:t xml:space="preserve">, </w:t>
      </w:r>
      <w:r w:rsidR="00F21E6D">
        <w:t>Bzone</w:t>
      </w:r>
      <w:r>
        <w:t>, Scenario, and Year parameters.</w:t>
      </w:r>
    </w:p>
    <w:p w14:paraId="47DA0576" w14:textId="21F78E7A" w:rsidR="00794906" w:rsidRDefault="006F23AE" w:rsidP="00AA454F">
      <w:pPr>
        <w:pStyle w:val="ListParagraph"/>
        <w:numPr>
          <w:ilvl w:val="0"/>
          <w:numId w:val="25"/>
        </w:numPr>
      </w:pPr>
      <w:r w:rsidRPr="00794906">
        <w:rPr>
          <w:b/>
        </w:rPr>
        <w:t>Bar Charts:</w:t>
      </w:r>
      <w:r>
        <w:t xml:space="preserve"> The right side of the dashboard features three bar charts, representing different scenarios. The bars are color-coded to reflect the scenario category: </w:t>
      </w:r>
      <w:r w:rsidR="00D86A68" w:rsidRPr="00D86A68">
        <w:t>red for baseline, orange for future year, and light blue for other scenarios</w:t>
      </w:r>
      <w:r>
        <w:t>. Each bar includes the percentage change compared to the base year value. The bar charts showcase the following metrics:</w:t>
      </w:r>
    </w:p>
    <w:p w14:paraId="227F3125" w14:textId="4F5D2A12" w:rsidR="00794906" w:rsidRPr="00794906" w:rsidRDefault="006F23AE" w:rsidP="00AA454F">
      <w:pPr>
        <w:pStyle w:val="ListParagraph"/>
        <w:numPr>
          <w:ilvl w:val="1"/>
          <w:numId w:val="25"/>
        </w:numPr>
        <w:rPr>
          <w:rFonts w:eastAsia="Segoe UI" w:cs="Segoe UI"/>
          <w:szCs w:val="20"/>
        </w:rPr>
      </w:pPr>
      <w:r w:rsidRPr="00794906">
        <w:rPr>
          <w:rFonts w:eastAsia="Segoe UI" w:cs="Segoe UI"/>
          <w:szCs w:val="20"/>
        </w:rPr>
        <w:t>Gasoline equivalent gallons consumed per day by household vehicle travel</w:t>
      </w:r>
    </w:p>
    <w:p w14:paraId="3CF7DAE3" w14:textId="4423D0B3" w:rsidR="00794906" w:rsidRPr="00794906" w:rsidRDefault="006F23AE" w:rsidP="00AA454F">
      <w:pPr>
        <w:pStyle w:val="ListParagraph"/>
        <w:numPr>
          <w:ilvl w:val="1"/>
          <w:numId w:val="25"/>
        </w:numPr>
        <w:rPr>
          <w:rFonts w:eastAsia="Segoe UI" w:cs="Segoe UI"/>
          <w:szCs w:val="20"/>
        </w:rPr>
      </w:pPr>
      <w:r w:rsidRPr="00794906">
        <w:rPr>
          <w:rFonts w:eastAsia="Segoe UI" w:cs="Segoe UI"/>
          <w:szCs w:val="20"/>
        </w:rPr>
        <w:t>Kilowatt hours consumed per day by household vehicle travel</w:t>
      </w:r>
    </w:p>
    <w:p w14:paraId="3692BB41" w14:textId="2D0A4CE7" w:rsidR="006F23AE" w:rsidRPr="00794906" w:rsidRDefault="006F23AE" w:rsidP="00AA454F">
      <w:pPr>
        <w:pStyle w:val="ListParagraph"/>
        <w:numPr>
          <w:ilvl w:val="1"/>
          <w:numId w:val="25"/>
        </w:numPr>
        <w:rPr>
          <w:rFonts w:eastAsia="Segoe UI" w:cs="Segoe UI"/>
          <w:szCs w:val="20"/>
        </w:rPr>
      </w:pPr>
      <w:r w:rsidRPr="00794906">
        <w:rPr>
          <w:rFonts w:eastAsia="Segoe UI" w:cs="Segoe UI"/>
          <w:szCs w:val="20"/>
        </w:rPr>
        <w:t>Grams of carbon dioxide equivalents produced per day by household vehicle travel</w:t>
      </w:r>
    </w:p>
    <w:p w14:paraId="0D30BB60" w14:textId="59F82BD4" w:rsidR="006F23AE" w:rsidRDefault="00F21E6D" w:rsidP="006F23AE">
      <w:pPr>
        <w:pStyle w:val="Heading3"/>
      </w:pPr>
      <w:r>
        <w:lastRenderedPageBreak/>
        <w:t>Marea</w:t>
      </w:r>
      <w:r w:rsidR="00CE194E">
        <w:t xml:space="preserve"> </w:t>
      </w:r>
      <w:r w:rsidR="006F23AE">
        <w:t>Dashboard</w:t>
      </w:r>
    </w:p>
    <w:p w14:paraId="6EFFEE32" w14:textId="3064F044" w:rsidR="006F23AE" w:rsidRDefault="006F23AE" w:rsidP="006F23AE">
      <w:r>
        <w:t xml:space="preserve">The </w:t>
      </w:r>
      <w:r w:rsidR="00F21E6D">
        <w:t>Marea</w:t>
      </w:r>
      <w:r w:rsidR="00CE194E">
        <w:t xml:space="preserve"> </w:t>
      </w:r>
      <w:r>
        <w:t xml:space="preserve">Dashboard provides insights into </w:t>
      </w:r>
      <w:r w:rsidR="00FA6736" w:rsidRPr="00AA454F">
        <w:rPr>
          <w:iCs/>
        </w:rPr>
        <w:t>several priority</w:t>
      </w:r>
      <w:r w:rsidR="00FA6736" w:rsidRPr="13F50726">
        <w:rPr>
          <w:i/>
        </w:rPr>
        <w:t xml:space="preserve"> </w:t>
      </w:r>
      <w:r w:rsidRPr="13F50726">
        <w:t>VisionEval metrics for M</w:t>
      </w:r>
      <w:r w:rsidR="00E445E9">
        <w:t>a</w:t>
      </w:r>
      <w:r w:rsidRPr="13F50726">
        <w:t xml:space="preserve">reas. This dashboard does not contain a map and is designed to compare </w:t>
      </w:r>
      <w:r w:rsidR="00CE194E">
        <w:t xml:space="preserve">VisionEval </w:t>
      </w:r>
      <w:r w:rsidR="00502A9D">
        <w:t xml:space="preserve">metrics </w:t>
      </w:r>
      <w:r w:rsidR="00CE194E">
        <w:t>at an</w:t>
      </w:r>
      <w:r w:rsidRPr="13F50726">
        <w:t xml:space="preserve"> M</w:t>
      </w:r>
      <w:r w:rsidR="00E445E9">
        <w:t>a</w:t>
      </w:r>
      <w:r w:rsidRPr="13F50726">
        <w:t>rea</w:t>
      </w:r>
      <w:r w:rsidR="005F464D">
        <w:t xml:space="preserve"> level</w:t>
      </w:r>
      <w:r w:rsidRPr="13F50726">
        <w:t>.</w:t>
      </w:r>
      <w:r w:rsidR="00502A9D">
        <w:t xml:space="preserve"> Users may wish to adapt the dashboard to compare, for example, model inputs and outputs across scenario. By default,</w:t>
      </w:r>
      <w:r w:rsidRPr="13F50726">
        <w:t xml:space="preserve"> </w:t>
      </w:r>
      <w:r w:rsidR="00502A9D">
        <w:t>t</w:t>
      </w:r>
      <w:r w:rsidR="005F464D">
        <w:t>his dashboard includes:</w:t>
      </w:r>
    </w:p>
    <w:p w14:paraId="3BD2A96B" w14:textId="5CF78F3A" w:rsidR="006F23AE" w:rsidRDefault="006F23AE" w:rsidP="00AA454F">
      <w:pPr>
        <w:pStyle w:val="ListParagraph"/>
        <w:numPr>
          <w:ilvl w:val="0"/>
          <w:numId w:val="26"/>
        </w:numPr>
      </w:pPr>
      <w:r w:rsidRPr="005F464D">
        <w:rPr>
          <w:b/>
        </w:rPr>
        <w:t>Legend and Quick Info</w:t>
      </w:r>
      <w:r>
        <w:t>: Located on the top left, this section offers a legend and quick information about the data summarized in the dashboard.</w:t>
      </w:r>
    </w:p>
    <w:p w14:paraId="176BDC4E" w14:textId="2346837C" w:rsidR="006F23AE" w:rsidRDefault="006F23AE" w:rsidP="00AA454F">
      <w:pPr>
        <w:pStyle w:val="ListParagraph"/>
        <w:numPr>
          <w:ilvl w:val="0"/>
          <w:numId w:val="26"/>
        </w:numPr>
      </w:pPr>
      <w:r w:rsidRPr="005F464D">
        <w:rPr>
          <w:b/>
        </w:rPr>
        <w:t>Dropdown Filters:</w:t>
      </w:r>
      <w:r>
        <w:t xml:space="preserve"> The top right corner contains dropdown filters to modify the Region, </w:t>
      </w:r>
      <w:r w:rsidR="00F21E6D">
        <w:t>Marea</w:t>
      </w:r>
      <w:r>
        <w:t xml:space="preserve">, </w:t>
      </w:r>
      <w:r w:rsidR="00F21E6D">
        <w:t>Bzone</w:t>
      </w:r>
      <w:r>
        <w:t>, Scenario, and Year parameters.</w:t>
      </w:r>
    </w:p>
    <w:p w14:paraId="1C07E86D" w14:textId="74B1596D" w:rsidR="005F464D" w:rsidRDefault="006F23AE" w:rsidP="00AA454F">
      <w:pPr>
        <w:pStyle w:val="ListParagraph"/>
        <w:numPr>
          <w:ilvl w:val="0"/>
          <w:numId w:val="26"/>
        </w:numPr>
      </w:pPr>
      <w:r w:rsidRPr="005F464D">
        <w:rPr>
          <w:b/>
        </w:rPr>
        <w:t>Bar Charts:</w:t>
      </w:r>
      <w:r>
        <w:t xml:space="preserve"> The dashboard contains bar charts related to Marea VMT.</w:t>
      </w:r>
      <w:r w:rsidR="00502A9D">
        <w:t xml:space="preserve"> </w:t>
      </w:r>
      <w:r>
        <w:t xml:space="preserve">The bars are color-coded to reflect the scenario category: </w:t>
      </w:r>
      <w:r w:rsidR="004547EA" w:rsidRPr="00D86A68">
        <w:t>red for baseline, orange for future year, and light blue for other scenarios.</w:t>
      </w:r>
      <w:r>
        <w:t xml:space="preserve"> Each bar includes the percentage change compared to the baseline scenario value. The bar charts showcase the following metrics:</w:t>
      </w:r>
    </w:p>
    <w:p w14:paraId="4DEB3CCB" w14:textId="099AC278" w:rsidR="005F464D" w:rsidRPr="00AA454F" w:rsidRDefault="006F23AE" w:rsidP="00AA454F">
      <w:pPr>
        <w:pStyle w:val="ListParagraph"/>
        <w:numPr>
          <w:ilvl w:val="1"/>
          <w:numId w:val="26"/>
        </w:numPr>
        <w:rPr>
          <w:rFonts w:eastAsia="Segoe UI" w:cs="Segoe UI"/>
          <w:szCs w:val="20"/>
        </w:rPr>
      </w:pPr>
      <w:r w:rsidRPr="00AA454F">
        <w:rPr>
          <w:rFonts w:eastAsia="Segoe UI" w:cs="Segoe UI"/>
          <w:szCs w:val="20"/>
        </w:rPr>
        <w:t>Commercial service daily vehicle miles traveled associated with Marea urbanized household activity</w:t>
      </w:r>
    </w:p>
    <w:p w14:paraId="6E406140" w14:textId="695DEF96" w:rsidR="005F464D" w:rsidRPr="00AA454F" w:rsidRDefault="006F23AE" w:rsidP="00AA454F">
      <w:pPr>
        <w:pStyle w:val="ListParagraph"/>
        <w:numPr>
          <w:ilvl w:val="1"/>
          <w:numId w:val="26"/>
        </w:numPr>
        <w:rPr>
          <w:rFonts w:eastAsia="Segoe UI" w:cs="Segoe UI"/>
          <w:szCs w:val="20"/>
        </w:rPr>
      </w:pPr>
      <w:r w:rsidRPr="00AA454F">
        <w:rPr>
          <w:rFonts w:eastAsia="Segoe UI" w:cs="Segoe UI"/>
          <w:szCs w:val="20"/>
        </w:rPr>
        <w:t>Commercial service daily vehicle miles traveled associated with Marea town household activity</w:t>
      </w:r>
    </w:p>
    <w:p w14:paraId="7A438CC7" w14:textId="50105277" w:rsidR="005F464D" w:rsidRPr="00AA454F" w:rsidRDefault="006F23AE" w:rsidP="00AA454F">
      <w:pPr>
        <w:pStyle w:val="ListParagraph"/>
        <w:numPr>
          <w:ilvl w:val="1"/>
          <w:numId w:val="26"/>
        </w:numPr>
        <w:rPr>
          <w:rFonts w:eastAsia="Segoe UI" w:cs="Segoe UI"/>
          <w:szCs w:val="20"/>
        </w:rPr>
      </w:pPr>
      <w:r w:rsidRPr="00AA454F">
        <w:rPr>
          <w:rFonts w:eastAsia="Segoe UI" w:cs="Segoe UI"/>
          <w:szCs w:val="20"/>
        </w:rPr>
        <w:t>Average daily vehicle miles traveled by all household in the Marea</w:t>
      </w:r>
    </w:p>
    <w:p w14:paraId="42D2F38B" w14:textId="2901E72E" w:rsidR="005F464D" w:rsidRPr="00AA454F" w:rsidRDefault="006F23AE" w:rsidP="00AA454F">
      <w:pPr>
        <w:pStyle w:val="ListParagraph"/>
        <w:numPr>
          <w:ilvl w:val="1"/>
          <w:numId w:val="26"/>
        </w:numPr>
        <w:rPr>
          <w:rFonts w:eastAsia="Segoe UI" w:cs="Segoe UI"/>
          <w:szCs w:val="20"/>
        </w:rPr>
      </w:pPr>
      <w:r w:rsidRPr="00AA454F">
        <w:rPr>
          <w:rFonts w:eastAsia="Segoe UI" w:cs="Segoe UI"/>
          <w:szCs w:val="20"/>
        </w:rPr>
        <w:t>Average daily vehicle miles traveled in autos or light trucks by households residing in the urbanized portion of the Marea</w:t>
      </w:r>
    </w:p>
    <w:p w14:paraId="59EF7FDF" w14:textId="0C33AE63" w:rsidR="005F464D" w:rsidRPr="00AA454F" w:rsidRDefault="006F23AE" w:rsidP="00AA454F">
      <w:pPr>
        <w:pStyle w:val="ListParagraph"/>
        <w:numPr>
          <w:ilvl w:val="1"/>
          <w:numId w:val="26"/>
        </w:numPr>
        <w:rPr>
          <w:rFonts w:eastAsia="Segoe UI" w:cs="Segoe UI"/>
          <w:szCs w:val="20"/>
        </w:rPr>
      </w:pPr>
      <w:r w:rsidRPr="00AA454F">
        <w:rPr>
          <w:rFonts w:eastAsia="Segoe UI" w:cs="Segoe UI"/>
          <w:szCs w:val="20"/>
        </w:rPr>
        <w:t>Average daily vehicle miles traveled in autos or light trucks by households residing in the town portion of the Marea</w:t>
      </w:r>
    </w:p>
    <w:p w14:paraId="0297BBB7" w14:textId="215912A8" w:rsidR="006F23AE" w:rsidRPr="00AA454F" w:rsidRDefault="006F23AE" w:rsidP="00AA454F">
      <w:pPr>
        <w:pStyle w:val="ListParagraph"/>
        <w:numPr>
          <w:ilvl w:val="1"/>
          <w:numId w:val="26"/>
        </w:numPr>
        <w:rPr>
          <w:rFonts w:eastAsia="Segoe UI" w:cs="Segoe UI"/>
          <w:szCs w:val="20"/>
        </w:rPr>
      </w:pPr>
      <w:r w:rsidRPr="00AA454F">
        <w:rPr>
          <w:rFonts w:eastAsia="Segoe UI" w:cs="Segoe UI"/>
          <w:szCs w:val="20"/>
        </w:rPr>
        <w:t>Average daily vehicle miles traveled in autos or light trucks by households residing in the rural portion of the Marea</w:t>
      </w:r>
    </w:p>
    <w:p w14:paraId="2A768DA2" w14:textId="77777777" w:rsidR="00671346" w:rsidRDefault="00671346" w:rsidP="00671346">
      <w:pPr>
        <w:pStyle w:val="Heading1"/>
      </w:pPr>
      <w:r>
        <w:lastRenderedPageBreak/>
        <w:t>Appendix I: Glossary of Tableau Terms</w:t>
      </w:r>
    </w:p>
    <w:p w14:paraId="2124513A" w14:textId="5F7B6BA6" w:rsidR="00671346" w:rsidRPr="00A655D6" w:rsidRDefault="00671346" w:rsidP="00671346">
      <w:pPr>
        <w:pStyle w:val="TableTitle"/>
      </w:pPr>
      <w:r>
        <w:t xml:space="preserve">Table </w:t>
      </w:r>
      <w:r w:rsidR="00334386">
        <w:t>1</w:t>
      </w:r>
      <w:r>
        <w:t xml:space="preserve">: Useful Tableau </w:t>
      </w:r>
      <w:r w:rsidR="00334386">
        <w:t>T</w:t>
      </w:r>
      <w:r>
        <w:t>erms</w:t>
      </w:r>
    </w:p>
    <w:tbl>
      <w:tblPr>
        <w:tblStyle w:val="FPTable19"/>
        <w:tblW w:w="8730" w:type="dxa"/>
        <w:tblLook w:val="04A0" w:firstRow="1" w:lastRow="0" w:firstColumn="1" w:lastColumn="0" w:noHBand="0" w:noVBand="1"/>
      </w:tblPr>
      <w:tblGrid>
        <w:gridCol w:w="2160"/>
        <w:gridCol w:w="6570"/>
      </w:tblGrid>
      <w:tr w:rsidR="00671346" w:rsidRPr="0056343C" w14:paraId="2628DD25" w14:textId="77777777" w:rsidTr="0067134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94CDB97" w14:textId="77777777" w:rsidR="00671346" w:rsidRPr="0056343C" w:rsidRDefault="00671346" w:rsidP="00A9678F">
            <w:pPr>
              <w:spacing w:before="0" w:after="0" w:line="240" w:lineRule="auto"/>
              <w:rPr>
                <w:rFonts w:eastAsia="Times New Roman" w:cs="Segoe UI"/>
                <w:b/>
                <w:bCs/>
                <w:color w:val="FFFFFF" w:themeColor="background1"/>
                <w:sz w:val="22"/>
              </w:rPr>
            </w:pPr>
            <w:r w:rsidRPr="0056343C">
              <w:rPr>
                <w:rFonts w:eastAsia="Times New Roman" w:cs="Segoe UI"/>
                <w:b/>
                <w:bCs/>
                <w:color w:val="FFFFFF" w:themeColor="background1"/>
                <w:sz w:val="22"/>
              </w:rPr>
              <w:t>Term</w:t>
            </w:r>
          </w:p>
        </w:tc>
        <w:tc>
          <w:tcPr>
            <w:tcW w:w="6570" w:type="dxa"/>
            <w:noWrap/>
            <w:hideMark/>
          </w:tcPr>
          <w:p w14:paraId="6490E833" w14:textId="77777777" w:rsidR="00671346" w:rsidRPr="0056343C" w:rsidRDefault="00671346" w:rsidP="00A9678F">
            <w:pPr>
              <w:spacing w:before="0" w:after="0" w:line="240" w:lineRule="auto"/>
              <w:cnfStyle w:val="100000000000" w:firstRow="1" w:lastRow="0" w:firstColumn="0" w:lastColumn="0" w:oddVBand="0" w:evenVBand="0" w:oddHBand="0" w:evenHBand="0" w:firstRowFirstColumn="0" w:firstRowLastColumn="0" w:lastRowFirstColumn="0" w:lastRowLastColumn="0"/>
              <w:rPr>
                <w:rFonts w:eastAsia="Times New Roman" w:cs="Segoe UI"/>
                <w:b/>
                <w:bCs/>
                <w:color w:val="FFFFFF" w:themeColor="background1"/>
                <w:sz w:val="22"/>
              </w:rPr>
            </w:pPr>
            <w:r w:rsidRPr="0056343C">
              <w:rPr>
                <w:rFonts w:eastAsia="Times New Roman" w:cs="Segoe UI"/>
                <w:b/>
                <w:bCs/>
                <w:color w:val="FFFFFF" w:themeColor="background1"/>
                <w:sz w:val="22"/>
              </w:rPr>
              <w:t>Description</w:t>
            </w:r>
          </w:p>
        </w:tc>
      </w:tr>
      <w:tr w:rsidR="00671346" w:rsidRPr="0056343C" w14:paraId="420BC914"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tcPr>
          <w:p w14:paraId="08B8AE82"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Calculated field</w:t>
            </w:r>
          </w:p>
        </w:tc>
        <w:tc>
          <w:tcPr>
            <w:tcW w:w="6570" w:type="dxa"/>
            <w:noWrap/>
          </w:tcPr>
          <w:p w14:paraId="300B7171"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new field that the user creates derived files by using a formula to modify the existing fields in your data source. It is used to make your work simple and easy.</w:t>
            </w:r>
          </w:p>
        </w:tc>
      </w:tr>
      <w:tr w:rsidR="00671346" w:rsidRPr="0056343C" w14:paraId="2674F662"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92DD39D"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Dashboard</w:t>
            </w:r>
          </w:p>
        </w:tc>
        <w:tc>
          <w:tcPr>
            <w:tcW w:w="6570" w:type="dxa"/>
            <w:noWrap/>
            <w:hideMark/>
          </w:tcPr>
          <w:p w14:paraId="4E1C1596"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collection of views shown in a single location where you can compare and monitor a variety of data simultaneously.</w:t>
            </w:r>
          </w:p>
        </w:tc>
      </w:tr>
      <w:tr w:rsidR="00671346" w:rsidRPr="0056343C" w14:paraId="555BD12C"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01CCDBD"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Data source</w:t>
            </w:r>
          </w:p>
        </w:tc>
        <w:tc>
          <w:tcPr>
            <w:tcW w:w="6570" w:type="dxa"/>
            <w:noWrap/>
            <w:hideMark/>
          </w:tcPr>
          <w:p w14:paraId="1C0DB815"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The underlying data that Tableau Reader is connected to. You can't change the data source in Tableau Reader.</w:t>
            </w:r>
          </w:p>
        </w:tc>
      </w:tr>
      <w:tr w:rsidR="00671346" w:rsidRPr="0056343C" w14:paraId="642BDFE9"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E747321"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Dimension</w:t>
            </w:r>
          </w:p>
        </w:tc>
        <w:tc>
          <w:tcPr>
            <w:tcW w:w="6570" w:type="dxa"/>
            <w:noWrap/>
            <w:hideMark/>
          </w:tcPr>
          <w:p w14:paraId="14719348"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Dimension is commonly known as a field of categorical data. Dimensions hold discrete data such as members and hierarchies that cannot be aggregated. It also contains characteristic values such as dates, names, and geographical data. The dimensions used to reveal details of your information.</w:t>
            </w:r>
          </w:p>
        </w:tc>
      </w:tr>
      <w:tr w:rsidR="00671346" w:rsidRPr="0056343C" w14:paraId="4F6585FE"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239D4AD"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Extract</w:t>
            </w:r>
          </w:p>
        </w:tc>
        <w:tc>
          <w:tcPr>
            <w:tcW w:w="6570" w:type="dxa"/>
            <w:noWrap/>
            <w:hideMark/>
          </w:tcPr>
          <w:p w14:paraId="7FA09AF4"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saved subset of a data source which is used to improve performance and study offline. The users can create an extract by defining limits and filters that contain the data which you want in the extract.</w:t>
            </w:r>
          </w:p>
        </w:tc>
      </w:tr>
      <w:tr w:rsidR="00671346" w:rsidRPr="0056343C" w14:paraId="725FAEC4"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4D23BB7"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Filter</w:t>
            </w:r>
          </w:p>
        </w:tc>
        <w:tc>
          <w:tcPr>
            <w:tcW w:w="6570" w:type="dxa"/>
            <w:noWrap/>
            <w:hideMark/>
          </w:tcPr>
          <w:p w14:paraId="1049982D"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 xml:space="preserve">A control on a view that limits the data shown in a view. For example, a filter on </w:t>
            </w:r>
            <w:proofErr w:type="gramStart"/>
            <w:r w:rsidRPr="0056343C">
              <w:rPr>
                <w:rFonts w:eastAsia="Times New Roman" w:cs="Segoe UI"/>
                <w:color w:val="000000"/>
                <w:szCs w:val="20"/>
              </w:rPr>
              <w:t>Region</w:t>
            </w:r>
            <w:proofErr w:type="gramEnd"/>
            <w:r w:rsidRPr="0056343C">
              <w:rPr>
                <w:rFonts w:eastAsia="Times New Roman" w:cs="Segoe UI"/>
                <w:color w:val="000000"/>
                <w:szCs w:val="20"/>
              </w:rPr>
              <w:t xml:space="preserve"> that only includes the West.</w:t>
            </w:r>
          </w:p>
        </w:tc>
      </w:tr>
      <w:tr w:rsidR="00671346" w:rsidRPr="0056343C" w14:paraId="054E121C"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BC08CCA"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Marks</w:t>
            </w:r>
          </w:p>
        </w:tc>
        <w:tc>
          <w:tcPr>
            <w:tcW w:w="6570" w:type="dxa"/>
            <w:noWrap/>
            <w:hideMark/>
          </w:tcPr>
          <w:p w14:paraId="04E5F754"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visual representation of one or more rows in a data source. Mark types can be bar, line, square, and so on.</w:t>
            </w:r>
          </w:p>
        </w:tc>
      </w:tr>
      <w:tr w:rsidR="00671346" w:rsidRPr="0056343C" w14:paraId="2B1E980C"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F195F51"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Packaged workbook</w:t>
            </w:r>
          </w:p>
        </w:tc>
        <w:tc>
          <w:tcPr>
            <w:tcW w:w="6570" w:type="dxa"/>
            <w:noWrap/>
            <w:hideMark/>
          </w:tcPr>
          <w:p w14:paraId="2B6A612C"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type of workbook created in either Tableau Desktop or Tableau Server. These files contain both the workbook as well as copies of the referenced local file data sources and background images.</w:t>
            </w:r>
          </w:p>
        </w:tc>
      </w:tr>
      <w:tr w:rsidR="00671346" w:rsidRPr="0056343C" w14:paraId="37A54015"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FBBCDA3"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Pane</w:t>
            </w:r>
          </w:p>
        </w:tc>
        <w:tc>
          <w:tcPr>
            <w:tcW w:w="6570" w:type="dxa"/>
            <w:noWrap/>
            <w:hideMark/>
          </w:tcPr>
          <w:p w14:paraId="72CCD8C7"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The row and columns areas in a view.</w:t>
            </w:r>
          </w:p>
        </w:tc>
      </w:tr>
      <w:tr w:rsidR="00671346" w:rsidRPr="0056343C" w14:paraId="1ED85BE6"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9982DC9"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Repository</w:t>
            </w:r>
          </w:p>
        </w:tc>
        <w:tc>
          <w:tcPr>
            <w:tcW w:w="6570" w:type="dxa"/>
            <w:noWrap/>
            <w:hideMark/>
          </w:tcPr>
          <w:p w14:paraId="3E214EC9"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folder located in your My Documents folder that stores workbooks.</w:t>
            </w:r>
          </w:p>
        </w:tc>
      </w:tr>
      <w:tr w:rsidR="00671346" w:rsidRPr="0056343C" w14:paraId="7B352940"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D4A4917"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View</w:t>
            </w:r>
          </w:p>
        </w:tc>
        <w:tc>
          <w:tcPr>
            <w:tcW w:w="6570" w:type="dxa"/>
            <w:noWrap/>
            <w:hideMark/>
          </w:tcPr>
          <w:p w14:paraId="55E2DC95"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The visual representation of your data in a</w:t>
            </w:r>
            <w:r>
              <w:rPr>
                <w:rFonts w:eastAsia="Times New Roman" w:cs="Segoe UI"/>
                <w:color w:val="000000"/>
                <w:szCs w:val="20"/>
              </w:rPr>
              <w:t xml:space="preserve"> </w:t>
            </w:r>
            <w:r w:rsidRPr="0056343C">
              <w:rPr>
                <w:rFonts w:eastAsia="Times New Roman" w:cs="Segoe UI"/>
                <w:color w:val="000000"/>
                <w:szCs w:val="20"/>
              </w:rPr>
              <w:t>worksheet or dashboard.</w:t>
            </w:r>
          </w:p>
        </w:tc>
      </w:tr>
      <w:tr w:rsidR="00671346" w:rsidRPr="0056343C" w14:paraId="62BE268C" w14:textId="77777777" w:rsidTr="0067134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17C7662"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Workbook</w:t>
            </w:r>
          </w:p>
        </w:tc>
        <w:tc>
          <w:tcPr>
            <w:tcW w:w="6570" w:type="dxa"/>
            <w:noWrap/>
            <w:hideMark/>
          </w:tcPr>
          <w:p w14:paraId="5ED66A70" w14:textId="77777777" w:rsidR="00671346" w:rsidRPr="0056343C" w:rsidRDefault="00671346" w:rsidP="00A9678F">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collection of one or more worksheets and dashboards.</w:t>
            </w:r>
          </w:p>
        </w:tc>
      </w:tr>
      <w:tr w:rsidR="00671346" w:rsidRPr="0056343C" w14:paraId="18BEDFB7" w14:textId="77777777" w:rsidTr="00671346">
        <w:trPr>
          <w:trHeight w:val="294"/>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3D9BD39" w14:textId="77777777" w:rsidR="00671346" w:rsidRPr="0056343C" w:rsidRDefault="00671346" w:rsidP="00A9678F">
            <w:pPr>
              <w:spacing w:before="0" w:after="0" w:line="240" w:lineRule="auto"/>
              <w:rPr>
                <w:rFonts w:eastAsia="Times New Roman" w:cs="Segoe UI"/>
                <w:color w:val="000000"/>
                <w:szCs w:val="20"/>
              </w:rPr>
            </w:pPr>
            <w:r w:rsidRPr="0056343C">
              <w:rPr>
                <w:rFonts w:eastAsia="Times New Roman" w:cs="Segoe UI"/>
                <w:color w:val="000000"/>
                <w:szCs w:val="20"/>
              </w:rPr>
              <w:t>Worksheet</w:t>
            </w:r>
          </w:p>
        </w:tc>
        <w:tc>
          <w:tcPr>
            <w:tcW w:w="6570" w:type="dxa"/>
            <w:noWrap/>
            <w:hideMark/>
          </w:tcPr>
          <w:p w14:paraId="433D10EB" w14:textId="77777777" w:rsidR="00671346" w:rsidRPr="0056343C" w:rsidRDefault="00671346" w:rsidP="00A9678F">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56343C">
              <w:rPr>
                <w:rFonts w:eastAsia="Times New Roman" w:cs="Segoe UI"/>
                <w:color w:val="000000"/>
                <w:szCs w:val="20"/>
              </w:rPr>
              <w:t>A single view of data. Each worksheet can be connected to a single data source.</w:t>
            </w:r>
          </w:p>
        </w:tc>
      </w:tr>
    </w:tbl>
    <w:p w14:paraId="6D9928E0" w14:textId="60BFC64E" w:rsidR="00492AC1" w:rsidRDefault="00492AC1" w:rsidP="00671346"/>
    <w:p w14:paraId="5F92ECFD" w14:textId="6A92839B" w:rsidR="00492AC1" w:rsidRDefault="00492AC1" w:rsidP="00492AC1">
      <w:pPr>
        <w:pStyle w:val="Heading1"/>
      </w:pPr>
      <w:r>
        <w:lastRenderedPageBreak/>
        <w:t>Appendix II: Data Extraction Tool</w:t>
      </w:r>
    </w:p>
    <w:p w14:paraId="229A945B" w14:textId="77777777" w:rsidR="00492AC1" w:rsidRDefault="00492AC1" w:rsidP="00492AC1">
      <w:pPr>
        <w:pStyle w:val="Heading2"/>
        <w:rPr>
          <w:rFonts w:eastAsia="Segoe UI"/>
        </w:rPr>
      </w:pPr>
      <w:r w:rsidRPr="5E716A9B">
        <w:rPr>
          <w:rFonts w:eastAsia="Segoe UI"/>
        </w:rPr>
        <w:t>Overview and Importance</w:t>
      </w:r>
    </w:p>
    <w:p w14:paraId="5E807B09" w14:textId="77777777" w:rsidR="00492AC1" w:rsidRPr="00492AC1" w:rsidRDefault="00492AC1" w:rsidP="00492AC1"/>
    <w:p w14:paraId="1F3A36DC" w14:textId="77777777" w:rsidR="00492AC1" w:rsidRDefault="00492AC1" w:rsidP="00492AC1">
      <w:pPr>
        <w:pStyle w:val="Heading2"/>
        <w:rPr>
          <w:rFonts w:eastAsia="Segoe UI"/>
        </w:rPr>
      </w:pPr>
      <w:r w:rsidRPr="5E716A9B">
        <w:rPr>
          <w:rFonts w:eastAsia="Segoe UI"/>
        </w:rPr>
        <w:t>Installing the Data Extraction Tool</w:t>
      </w:r>
    </w:p>
    <w:p w14:paraId="5F162B59" w14:textId="77777777" w:rsidR="00492AC1" w:rsidRPr="00492AC1" w:rsidRDefault="00492AC1" w:rsidP="00492AC1"/>
    <w:p w14:paraId="17575A8F" w14:textId="77777777" w:rsidR="00492AC1" w:rsidRDefault="00492AC1" w:rsidP="00492AC1">
      <w:pPr>
        <w:pStyle w:val="Heading2"/>
        <w:rPr>
          <w:rFonts w:eastAsia="Segoe UI"/>
        </w:rPr>
      </w:pPr>
      <w:r w:rsidRPr="5E716A9B">
        <w:rPr>
          <w:rFonts w:eastAsia="Segoe UI"/>
        </w:rPr>
        <w:t>Configuring the Tool</w:t>
      </w:r>
    </w:p>
    <w:p w14:paraId="75786A25" w14:textId="77777777" w:rsidR="00492AC1" w:rsidRPr="00492AC1" w:rsidRDefault="00492AC1" w:rsidP="00492AC1"/>
    <w:p w14:paraId="0D39E21D" w14:textId="77777777" w:rsidR="00492AC1" w:rsidRDefault="00492AC1" w:rsidP="00492AC1">
      <w:pPr>
        <w:pStyle w:val="Heading2"/>
        <w:rPr>
          <w:rFonts w:eastAsia="Segoe UI"/>
        </w:rPr>
      </w:pPr>
      <w:r w:rsidRPr="5E716A9B">
        <w:rPr>
          <w:rFonts w:eastAsia="Segoe UI"/>
        </w:rPr>
        <w:t>Running the Data Extraction</w:t>
      </w:r>
    </w:p>
    <w:p w14:paraId="6523F4CC" w14:textId="77777777" w:rsidR="00492AC1" w:rsidRPr="00492AC1" w:rsidRDefault="00492AC1" w:rsidP="00492AC1"/>
    <w:p w14:paraId="00A434ED" w14:textId="77777777" w:rsidR="00492AC1" w:rsidRDefault="00492AC1" w:rsidP="00492AC1">
      <w:pPr>
        <w:pStyle w:val="Heading2"/>
        <w:rPr>
          <w:rFonts w:eastAsia="Segoe UI"/>
        </w:rPr>
      </w:pPr>
      <w:r w:rsidRPr="078A9D66">
        <w:rPr>
          <w:rFonts w:eastAsia="Segoe UI"/>
        </w:rPr>
        <w:t>Verifying the Extracted Data</w:t>
      </w:r>
    </w:p>
    <w:p w14:paraId="6CF84648" w14:textId="77777777" w:rsidR="00492AC1" w:rsidRPr="00492AC1" w:rsidRDefault="00492AC1" w:rsidP="00492AC1"/>
    <w:p w14:paraId="382787D6" w14:textId="368F1907" w:rsidR="00492AC1" w:rsidRDefault="00492AC1">
      <w:pPr>
        <w:spacing w:before="0" w:after="160" w:line="259" w:lineRule="auto"/>
      </w:pPr>
    </w:p>
    <w:p w14:paraId="420F51BE" w14:textId="77777777" w:rsidR="00671346" w:rsidRDefault="00671346" w:rsidP="00671346"/>
    <w:p w14:paraId="1DD292E0" w14:textId="2AAA765E" w:rsidR="006F23AE" w:rsidRDefault="25DA6212" w:rsidP="006F23AE">
      <w:pPr>
        <w:pStyle w:val="Heading1"/>
      </w:pPr>
      <w:r>
        <w:lastRenderedPageBreak/>
        <w:t>Appendix I</w:t>
      </w:r>
      <w:r w:rsidR="00671346">
        <w:t>I</w:t>
      </w:r>
      <w:r w:rsidR="00492AC1">
        <w:t>I</w:t>
      </w:r>
      <w:r>
        <w:t xml:space="preserve">: </w:t>
      </w:r>
      <w:r w:rsidR="12BC7636">
        <w:t xml:space="preserve">Data </w:t>
      </w:r>
      <w:r w:rsidR="00492AC1">
        <w:t>Schema</w:t>
      </w:r>
    </w:p>
    <w:p w14:paraId="13DC9064" w14:textId="6C298F82" w:rsidR="00A655D6" w:rsidRPr="00A655D6" w:rsidRDefault="00A655D6" w:rsidP="00A655D6">
      <w:pPr>
        <w:pStyle w:val="TableTitle"/>
      </w:pPr>
      <w:r>
        <w:t xml:space="preserve">Table 1: VisionEval </w:t>
      </w:r>
      <w:r w:rsidR="00492AC1">
        <w:t>E</w:t>
      </w:r>
      <w:r>
        <w:t xml:space="preserve">xtract </w:t>
      </w:r>
      <w:r w:rsidR="00492AC1">
        <w:t>D</w:t>
      </w:r>
      <w:r>
        <w:t xml:space="preserve">ata </w:t>
      </w:r>
      <w:r w:rsidR="00492AC1">
        <w:t>Schema</w:t>
      </w:r>
    </w:p>
    <w:tbl>
      <w:tblPr>
        <w:tblStyle w:val="FPTable19"/>
        <w:tblW w:w="9608" w:type="dxa"/>
        <w:tblLook w:val="04A0" w:firstRow="1" w:lastRow="0" w:firstColumn="1" w:lastColumn="0" w:noHBand="0" w:noVBand="1"/>
      </w:tblPr>
      <w:tblGrid>
        <w:gridCol w:w="1890"/>
        <w:gridCol w:w="7718"/>
      </w:tblGrid>
      <w:tr w:rsidR="00A655D6" w:rsidRPr="00A655D6" w14:paraId="2A9760AE" w14:textId="77777777" w:rsidTr="00A655D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7B5DC35" w14:textId="0A9FF5A4" w:rsidR="00A655D6" w:rsidRPr="00A655D6" w:rsidRDefault="00A655D6" w:rsidP="00A655D6">
            <w:pPr>
              <w:spacing w:before="0" w:after="0" w:line="240" w:lineRule="auto"/>
              <w:rPr>
                <w:rFonts w:eastAsia="Times New Roman" w:cs="Segoe UI"/>
                <w:b/>
                <w:bCs/>
                <w:color w:val="FFFFFF" w:themeColor="background1"/>
                <w:sz w:val="22"/>
              </w:rPr>
            </w:pPr>
            <w:r w:rsidRPr="00A655D6">
              <w:rPr>
                <w:rFonts w:eastAsia="Times New Roman" w:cs="Segoe UI"/>
                <w:b/>
                <w:bCs/>
                <w:color w:val="FFFFFF" w:themeColor="background1"/>
                <w:sz w:val="22"/>
              </w:rPr>
              <w:t>Field</w:t>
            </w:r>
          </w:p>
        </w:tc>
        <w:tc>
          <w:tcPr>
            <w:tcW w:w="7718" w:type="dxa"/>
            <w:noWrap/>
            <w:hideMark/>
          </w:tcPr>
          <w:p w14:paraId="56CDA748" w14:textId="27648AE9" w:rsidR="00A655D6" w:rsidRPr="00A655D6" w:rsidRDefault="00A655D6" w:rsidP="00A655D6">
            <w:pPr>
              <w:spacing w:before="0" w:after="0" w:line="240" w:lineRule="auto"/>
              <w:cnfStyle w:val="100000000000" w:firstRow="1" w:lastRow="0" w:firstColumn="0" w:lastColumn="0" w:oddVBand="0" w:evenVBand="0" w:oddHBand="0" w:evenHBand="0" w:firstRowFirstColumn="0" w:firstRowLastColumn="0" w:lastRowFirstColumn="0" w:lastRowLastColumn="0"/>
              <w:rPr>
                <w:rFonts w:eastAsia="Times New Roman" w:cs="Segoe UI"/>
                <w:b/>
                <w:bCs/>
                <w:color w:val="FFFFFF" w:themeColor="background1"/>
                <w:sz w:val="22"/>
              </w:rPr>
            </w:pPr>
            <w:r w:rsidRPr="00A655D6">
              <w:rPr>
                <w:rFonts w:eastAsia="Times New Roman" w:cs="Segoe UI"/>
                <w:b/>
                <w:bCs/>
                <w:color w:val="FFFFFF" w:themeColor="background1"/>
                <w:sz w:val="22"/>
              </w:rPr>
              <w:t>Description</w:t>
            </w:r>
          </w:p>
        </w:tc>
      </w:tr>
      <w:tr w:rsidR="00A655D6" w:rsidRPr="00A655D6" w14:paraId="3DF22196"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tcPr>
          <w:p w14:paraId="2E561193" w14:textId="7CF573E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Azone (Geography)</w:t>
            </w:r>
          </w:p>
        </w:tc>
        <w:tc>
          <w:tcPr>
            <w:tcW w:w="7718" w:type="dxa"/>
            <w:noWrap/>
          </w:tcPr>
          <w:p w14:paraId="36ED0553" w14:textId="6F6C5276"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name of the Azone associated with the value, or “NA” if the value was only computed for Marea or Region.</w:t>
            </w:r>
          </w:p>
        </w:tc>
      </w:tr>
      <w:tr w:rsidR="00A655D6" w:rsidRPr="00A655D6" w14:paraId="7B5FEE6E"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C64BFCB"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Baseline Scenario</w:t>
            </w:r>
          </w:p>
        </w:tc>
        <w:tc>
          <w:tcPr>
            <w:tcW w:w="7718" w:type="dxa"/>
            <w:noWrap/>
            <w:hideMark/>
          </w:tcPr>
          <w:p w14:paraId="101E744A" w14:textId="77777777" w:rsidR="00A655D6" w:rsidRPr="00A655D6"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Baseline scenario flag. "1" flags the baseline scenario.</w:t>
            </w:r>
          </w:p>
        </w:tc>
      </w:tr>
      <w:tr w:rsidR="00A655D6" w:rsidRPr="00A655D6" w14:paraId="7A67F378"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A4AF0F7"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Baseline Value</w:t>
            </w:r>
          </w:p>
        </w:tc>
        <w:tc>
          <w:tcPr>
            <w:tcW w:w="7718" w:type="dxa"/>
            <w:noWrap/>
            <w:hideMark/>
          </w:tcPr>
          <w:p w14:paraId="180B0914"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numeric value of the metric for the geography, baseline scenario</w:t>
            </w:r>
          </w:p>
        </w:tc>
      </w:tr>
      <w:tr w:rsidR="00A655D6" w:rsidRPr="00A655D6" w14:paraId="516086A0"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0F42D12"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Bzone (Geography)</w:t>
            </w:r>
          </w:p>
        </w:tc>
        <w:tc>
          <w:tcPr>
            <w:tcW w:w="7718" w:type="dxa"/>
            <w:noWrap/>
            <w:hideMark/>
          </w:tcPr>
          <w:p w14:paraId="3271C35D" w14:textId="24117852" w:rsidR="00A655D6" w:rsidRPr="00F624E2"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i/>
                <w:iCs/>
                <w:color w:val="000000"/>
                <w:szCs w:val="20"/>
              </w:rPr>
            </w:pPr>
            <w:r w:rsidRPr="00A655D6">
              <w:rPr>
                <w:rFonts w:eastAsia="Times New Roman" w:cs="Segoe UI"/>
                <w:color w:val="000000"/>
                <w:szCs w:val="20"/>
              </w:rPr>
              <w:t>The name of the Bzone associated with the value, or “NA” if the value was only computed for Azone, Marea or Region</w:t>
            </w:r>
            <w:r w:rsidR="00F624E2">
              <w:rPr>
                <w:rFonts w:eastAsia="Times New Roman" w:cs="Segoe UI"/>
                <w:color w:val="000000"/>
                <w:szCs w:val="20"/>
              </w:rPr>
              <w:t xml:space="preserve">. </w:t>
            </w:r>
            <w:r w:rsidR="00F624E2">
              <w:rPr>
                <w:rFonts w:eastAsia="Times New Roman" w:cs="Segoe UI"/>
                <w:i/>
                <w:iCs/>
                <w:color w:val="000000"/>
                <w:szCs w:val="20"/>
              </w:rPr>
              <w:t xml:space="preserve">This field must align with a field specified in the </w:t>
            </w:r>
            <w:r w:rsidR="00F717D3">
              <w:rPr>
                <w:rFonts w:eastAsia="Times New Roman" w:cs="Segoe UI"/>
                <w:i/>
                <w:iCs/>
                <w:color w:val="000000"/>
                <w:szCs w:val="20"/>
              </w:rPr>
              <w:t xml:space="preserve">shapefile that corresponds </w:t>
            </w:r>
            <w:r w:rsidR="000D3839">
              <w:rPr>
                <w:rFonts w:eastAsia="Times New Roman" w:cs="Segoe UI"/>
                <w:i/>
                <w:iCs/>
                <w:color w:val="000000"/>
                <w:szCs w:val="20"/>
              </w:rPr>
              <w:t>with</w:t>
            </w:r>
            <w:r w:rsidR="00F717D3">
              <w:rPr>
                <w:rFonts w:eastAsia="Times New Roman" w:cs="Segoe UI"/>
                <w:i/>
                <w:iCs/>
                <w:color w:val="000000"/>
                <w:szCs w:val="20"/>
              </w:rPr>
              <w:t xml:space="preserve"> your VisionEval Bzones</w:t>
            </w:r>
            <w:r w:rsidR="000D3839">
              <w:rPr>
                <w:rFonts w:eastAsia="Times New Roman" w:cs="Segoe UI"/>
                <w:i/>
                <w:iCs/>
                <w:color w:val="000000"/>
                <w:szCs w:val="20"/>
              </w:rPr>
              <w:t xml:space="preserve">. </w:t>
            </w:r>
          </w:p>
        </w:tc>
      </w:tr>
      <w:tr w:rsidR="00A655D6" w:rsidRPr="00A655D6" w14:paraId="753696AA"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7F19842C"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Description</w:t>
            </w:r>
          </w:p>
        </w:tc>
        <w:tc>
          <w:tcPr>
            <w:tcW w:w="7718" w:type="dxa"/>
            <w:noWrap/>
            <w:hideMark/>
          </w:tcPr>
          <w:p w14:paraId="10F07EA1"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Text description of what the metric is reporting</w:t>
            </w:r>
          </w:p>
        </w:tc>
      </w:tr>
      <w:tr w:rsidR="00A655D6" w:rsidRPr="00A655D6" w14:paraId="32042C3F"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A3EF018"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Marea (Geography)</w:t>
            </w:r>
          </w:p>
        </w:tc>
        <w:tc>
          <w:tcPr>
            <w:tcW w:w="7718" w:type="dxa"/>
            <w:noWrap/>
            <w:hideMark/>
          </w:tcPr>
          <w:p w14:paraId="6B8D97C4" w14:textId="77777777" w:rsidR="00A655D6" w:rsidRPr="00A655D6"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name of the Marea zone associated with the value, or “NA” if the value was computed for the Region.</w:t>
            </w:r>
          </w:p>
        </w:tc>
      </w:tr>
      <w:tr w:rsidR="00A655D6" w:rsidRPr="00A655D6" w14:paraId="0ED13D18"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6522320B"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Measure</w:t>
            </w:r>
          </w:p>
        </w:tc>
        <w:tc>
          <w:tcPr>
            <w:tcW w:w="7718" w:type="dxa"/>
            <w:noWrap/>
            <w:hideMark/>
          </w:tcPr>
          <w:p w14:paraId="6BE6C2EF"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name of the metric, suffixed by the geography level at which it was computed (after the underscore) and by the break field if the metric was computed for other subsets of data</w:t>
            </w:r>
          </w:p>
        </w:tc>
      </w:tr>
      <w:tr w:rsidR="00A655D6" w:rsidRPr="00A655D6" w14:paraId="567A4EE9"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C217559"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Priority</w:t>
            </w:r>
          </w:p>
        </w:tc>
        <w:tc>
          <w:tcPr>
            <w:tcW w:w="7718" w:type="dxa"/>
            <w:noWrap/>
            <w:hideMark/>
          </w:tcPr>
          <w:p w14:paraId="7A9F9093" w14:textId="77777777" w:rsidR="00A655D6" w:rsidRPr="00A655D6"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TRUE if this is a “priority” field (</w:t>
            </w:r>
            <w:proofErr w:type="gramStart"/>
            <w:r w:rsidRPr="00A655D6">
              <w:rPr>
                <w:rFonts w:eastAsia="Times New Roman" w:cs="Segoe UI"/>
                <w:color w:val="000000"/>
                <w:szCs w:val="20"/>
              </w:rPr>
              <w:t>i.e.</w:t>
            </w:r>
            <w:proofErr w:type="gramEnd"/>
            <w:r w:rsidRPr="00A655D6">
              <w:rPr>
                <w:rFonts w:eastAsia="Times New Roman" w:cs="Segoe UI"/>
                <w:color w:val="000000"/>
                <w:szCs w:val="20"/>
              </w:rPr>
              <w:t xml:space="preserve"> one that the query definition said was important for visualization), otherwise “NA” or “FALSE”. Other metrics can be visualized (this field is advisory, not mandatory)</w:t>
            </w:r>
          </w:p>
        </w:tc>
      </w:tr>
      <w:tr w:rsidR="00A655D6" w:rsidRPr="00A655D6" w14:paraId="03751C00"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D32360F"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Region (Geography)</w:t>
            </w:r>
          </w:p>
        </w:tc>
        <w:tc>
          <w:tcPr>
            <w:tcW w:w="7718" w:type="dxa"/>
            <w:noWrap/>
            <w:hideMark/>
          </w:tcPr>
          <w:p w14:paraId="7A50A920"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 xml:space="preserve">Always “Region”. If other geography fields (below) are “NA”, the metric Value was only computed for the entire region. Otherwise, aggregating smaller geographies to </w:t>
            </w:r>
            <w:proofErr w:type="gramStart"/>
            <w:r w:rsidRPr="00A655D6">
              <w:rPr>
                <w:rFonts w:eastAsia="Times New Roman" w:cs="Segoe UI"/>
                <w:color w:val="000000"/>
                <w:szCs w:val="20"/>
              </w:rPr>
              <w:t>Region</w:t>
            </w:r>
            <w:proofErr w:type="gramEnd"/>
            <w:r w:rsidRPr="00A655D6">
              <w:rPr>
                <w:rFonts w:eastAsia="Times New Roman" w:cs="Segoe UI"/>
                <w:color w:val="000000"/>
                <w:szCs w:val="20"/>
              </w:rPr>
              <w:t xml:space="preserve"> is possible.</w:t>
            </w:r>
          </w:p>
        </w:tc>
      </w:tr>
      <w:tr w:rsidR="00A655D6" w:rsidRPr="00A655D6" w14:paraId="7DC02142"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EBFEAB7"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Scenario</w:t>
            </w:r>
          </w:p>
        </w:tc>
        <w:tc>
          <w:tcPr>
            <w:tcW w:w="7718" w:type="dxa"/>
            <w:noWrap/>
            <w:hideMark/>
          </w:tcPr>
          <w:p w14:paraId="639C4997" w14:textId="77777777" w:rsidR="00A655D6" w:rsidRPr="00A655D6"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Short name for the scenario in which the metric value was computed</w:t>
            </w:r>
          </w:p>
        </w:tc>
      </w:tr>
      <w:tr w:rsidR="00A655D6" w:rsidRPr="00A655D6" w14:paraId="27F864A9"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4EC8E766"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Units</w:t>
            </w:r>
          </w:p>
        </w:tc>
        <w:tc>
          <w:tcPr>
            <w:tcW w:w="7718" w:type="dxa"/>
            <w:noWrap/>
            <w:hideMark/>
          </w:tcPr>
          <w:p w14:paraId="0C6208CD"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Short description of the units in which the metric is reported (this is a manually constructed field; the quasi-automatic query approach expresses the units in terms that VisionEval understands)</w:t>
            </w:r>
          </w:p>
        </w:tc>
      </w:tr>
      <w:tr w:rsidR="00A655D6" w:rsidRPr="00A655D6" w14:paraId="145F9491" w14:textId="77777777" w:rsidTr="00A655D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7F3A661B"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Value</w:t>
            </w:r>
          </w:p>
        </w:tc>
        <w:tc>
          <w:tcPr>
            <w:tcW w:w="7718" w:type="dxa"/>
            <w:noWrap/>
            <w:hideMark/>
          </w:tcPr>
          <w:p w14:paraId="7E6C1B48" w14:textId="77777777" w:rsidR="00A655D6" w:rsidRPr="00A655D6" w:rsidRDefault="00A655D6" w:rsidP="00A655D6">
            <w:pPr>
              <w:spacing w:before="0" w:after="0" w:line="240" w:lineRule="auto"/>
              <w:cnfStyle w:val="000000010000" w:firstRow="0" w:lastRow="0" w:firstColumn="0" w:lastColumn="0" w:oddVBand="0" w:evenVBand="0" w:oddHBand="0" w:evenHBand="1"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numeric value of the metric for the geography, Scenario and Year</w:t>
            </w:r>
          </w:p>
        </w:tc>
      </w:tr>
      <w:tr w:rsidR="00A655D6" w:rsidRPr="00A655D6" w14:paraId="3DE17750" w14:textId="77777777" w:rsidTr="00A655D6">
        <w:trPr>
          <w:trHeight w:val="294"/>
        </w:trPr>
        <w:tc>
          <w:tcPr>
            <w:cnfStyle w:val="001000000000" w:firstRow="0" w:lastRow="0" w:firstColumn="1" w:lastColumn="0" w:oddVBand="0" w:evenVBand="0" w:oddHBand="0" w:evenHBand="0" w:firstRowFirstColumn="0" w:firstRowLastColumn="0" w:lastRowFirstColumn="0" w:lastRowLastColumn="0"/>
            <w:tcW w:w="1890" w:type="dxa"/>
            <w:noWrap/>
            <w:hideMark/>
          </w:tcPr>
          <w:p w14:paraId="31D33872" w14:textId="77777777" w:rsidR="00A655D6" w:rsidRPr="00A655D6" w:rsidRDefault="00A655D6" w:rsidP="00A655D6">
            <w:pPr>
              <w:spacing w:before="0" w:after="0" w:line="240" w:lineRule="auto"/>
              <w:rPr>
                <w:rFonts w:eastAsia="Times New Roman" w:cs="Segoe UI"/>
                <w:color w:val="000000"/>
                <w:szCs w:val="20"/>
              </w:rPr>
            </w:pPr>
            <w:r w:rsidRPr="00A655D6">
              <w:rPr>
                <w:rFonts w:eastAsia="Times New Roman" w:cs="Segoe UI"/>
                <w:color w:val="000000"/>
                <w:szCs w:val="20"/>
              </w:rPr>
              <w:t>Year</w:t>
            </w:r>
          </w:p>
        </w:tc>
        <w:tc>
          <w:tcPr>
            <w:tcW w:w="7718" w:type="dxa"/>
            <w:noWrap/>
            <w:hideMark/>
          </w:tcPr>
          <w:p w14:paraId="0F2948FB" w14:textId="77777777" w:rsidR="00A655D6" w:rsidRPr="00A655D6" w:rsidRDefault="00A655D6" w:rsidP="00A655D6">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20"/>
              </w:rPr>
            </w:pPr>
            <w:r w:rsidRPr="00A655D6">
              <w:rPr>
                <w:rFonts w:eastAsia="Times New Roman" w:cs="Segoe UI"/>
                <w:color w:val="000000"/>
                <w:szCs w:val="20"/>
              </w:rPr>
              <w:t>The year within the scenario for which the metric value was computed</w:t>
            </w:r>
          </w:p>
        </w:tc>
      </w:tr>
      <w:bookmarkEnd w:id="0"/>
    </w:tbl>
    <w:p w14:paraId="418FE3CC" w14:textId="77777777" w:rsidR="00A655D6" w:rsidRPr="00A655D6" w:rsidRDefault="00A655D6" w:rsidP="00A655D6"/>
    <w:sectPr w:rsidR="00A655D6" w:rsidRPr="00A655D6" w:rsidSect="00786DFC">
      <w:headerReference w:type="default" r:id="rId25"/>
      <w:footerReference w:type="even" r:id="rId26"/>
      <w:footerReference w:type="first" r:id="rId27"/>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CC60" w14:textId="77777777" w:rsidR="00364EC0" w:rsidRDefault="00364EC0" w:rsidP="0032690E">
      <w:pPr>
        <w:spacing w:before="0" w:after="0" w:line="240" w:lineRule="auto"/>
      </w:pPr>
      <w:r>
        <w:separator/>
      </w:r>
    </w:p>
    <w:p w14:paraId="470C6F7E" w14:textId="77777777" w:rsidR="00364EC0" w:rsidRDefault="00364EC0"/>
  </w:endnote>
  <w:endnote w:type="continuationSeparator" w:id="0">
    <w:p w14:paraId="732C0E51" w14:textId="77777777" w:rsidR="00364EC0" w:rsidRDefault="00364EC0" w:rsidP="0032690E">
      <w:pPr>
        <w:spacing w:before="0" w:after="0" w:line="240" w:lineRule="auto"/>
      </w:pPr>
      <w:r>
        <w:continuationSeparator/>
      </w:r>
    </w:p>
    <w:p w14:paraId="7C2E2CD0" w14:textId="77777777" w:rsidR="00364EC0" w:rsidRDefault="00364EC0"/>
  </w:endnote>
  <w:endnote w:type="continuationNotice" w:id="1">
    <w:p w14:paraId="71C1EE0E" w14:textId="77777777" w:rsidR="00364EC0" w:rsidRDefault="00364EC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AAED" w14:textId="77777777" w:rsidR="00013077" w:rsidRPr="00013077" w:rsidRDefault="00013077" w:rsidP="00013077">
    <w:pPr>
      <w:pStyle w:val="Footer"/>
    </w:pPr>
    <w:r>
      <w:rPr>
        <w:noProof/>
      </w:rPr>
      <w:drawing>
        <wp:inline distT="0" distB="0" distL="0" distR="0" wp14:anchorId="56C4BBAF" wp14:editId="5460FA18">
          <wp:extent cx="1344168" cy="22933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tanda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4168" cy="229337"/>
                  </a:xfrm>
                  <a:prstGeom prst="rect">
                    <a:avLst/>
                  </a:prstGeom>
                </pic:spPr>
              </pic:pic>
            </a:graphicData>
          </a:graphic>
        </wp:inline>
      </w:drawing>
    </w:r>
    <w:r>
      <w:rPr>
        <w:noProof/>
      </w:rPr>
      <mc:AlternateContent>
        <mc:Choice Requires="wps">
          <w:drawing>
            <wp:anchor distT="0" distB="0" distL="114300" distR="114300" simplePos="0" relativeHeight="251658240" behindDoc="1" locked="0" layoutInCell="1" allowOverlap="1" wp14:anchorId="27675C89" wp14:editId="4355CA3D">
              <wp:simplePos x="0" y="0"/>
              <wp:positionH relativeFrom="column">
                <wp:posOffset>-914400</wp:posOffset>
              </wp:positionH>
              <wp:positionV relativeFrom="page">
                <wp:posOffset>9835116</wp:posOffset>
              </wp:positionV>
              <wp:extent cx="7772400" cy="228600"/>
              <wp:effectExtent l="0" t="0" r="0" b="0"/>
              <wp:wrapNone/>
              <wp:docPr id="35" name="Freeform: Shape 35"/>
              <wp:cNvGraphicFramePr/>
              <a:graphic xmlns:a="http://schemas.openxmlformats.org/drawingml/2006/main">
                <a:graphicData uri="http://schemas.microsoft.com/office/word/2010/wordprocessingShape">
                  <wps:wsp>
                    <wps:cNvSpPr/>
                    <wps:spPr>
                      <a:xfrm>
                        <a:off x="0" y="0"/>
                        <a:ext cx="7772400" cy="228600"/>
                      </a:xfrm>
                      <a:custGeom>
                        <a:avLst/>
                        <a:gdLst>
                          <a:gd name="connsiteX0" fmla="*/ 0 w 7772400"/>
                          <a:gd name="connsiteY0" fmla="*/ 0 h 228600"/>
                          <a:gd name="connsiteX1" fmla="*/ 7772400 w 7772400"/>
                          <a:gd name="connsiteY1" fmla="*/ 0 h 228600"/>
                          <a:gd name="connsiteX2" fmla="*/ 7772400 w 7772400"/>
                          <a:gd name="connsiteY2" fmla="*/ 228600 h 228600"/>
                          <a:gd name="connsiteX3" fmla="*/ 0 w 7772400"/>
                          <a:gd name="connsiteY3" fmla="*/ 228600 h 228600"/>
                          <a:gd name="connsiteX4" fmla="*/ 0 w 7772400"/>
                          <a:gd name="connsiteY4" fmla="*/ 0 h 228600"/>
                          <a:gd name="connsiteX0" fmla="*/ 0 w 7772400"/>
                          <a:gd name="connsiteY0" fmla="*/ 0 h 228600"/>
                          <a:gd name="connsiteX1" fmla="*/ 7772400 w 7772400"/>
                          <a:gd name="connsiteY1" fmla="*/ 95693 h 228600"/>
                          <a:gd name="connsiteX2" fmla="*/ 7772400 w 7772400"/>
                          <a:gd name="connsiteY2" fmla="*/ 228600 h 228600"/>
                          <a:gd name="connsiteX3" fmla="*/ 0 w 7772400"/>
                          <a:gd name="connsiteY3" fmla="*/ 228600 h 228600"/>
                          <a:gd name="connsiteX4" fmla="*/ 0 w 7772400"/>
                          <a:gd name="connsiteY4" fmla="*/ 0 h 228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2400" h="228600">
                            <a:moveTo>
                              <a:pt x="0" y="0"/>
                            </a:moveTo>
                            <a:lnTo>
                              <a:pt x="7772400" y="95693"/>
                            </a:lnTo>
                            <a:lnTo>
                              <a:pt x="7772400" y="228600"/>
                            </a:lnTo>
                            <a:lnTo>
                              <a:pt x="0" y="228600"/>
                            </a:lnTo>
                            <a:lnTo>
                              <a:pt x="0" y="0"/>
                            </a:lnTo>
                            <a:close/>
                          </a:path>
                        </a:pathLst>
                      </a:custGeom>
                      <a:solidFill>
                        <a:srgbClr val="8DC642">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381365F5" id="Freeform: Shape 35" o:spid="_x0000_s1026" style="position:absolute;margin-left:-1in;margin-top:774.4pt;width:612pt;height:18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coordsize="77724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cduAMAAOULAAAOAAAAZHJzL2Uyb0RvYy54bWzMVttu4zYQfS/QfyD0WKCRrDg3I84iSJCi&#10;QLAbNCm2faQpyhJAkSpJX7Jf30NSlOnsFnYWfVg/yLzMnBkezgzn+sO2E2TNtWmVnGeTkyIjXDJV&#10;tXI5z/58efj1MiPGUllRoSSfZ6/cZB9ufv7petPPeKkaJSquCUCkmW36edZY28/y3LCGd9ScqJ5L&#10;bNZKd9Riqpd5pekG6J3Iy6I4zzdKV71WjBuD1fuwmd14/LrmzH6qa8MtEfMMvln/1f67cN/85prO&#10;lpr2TcsGN+h3eNHRVsLoCHVPLSUr3X4F1bVMK6Nqe8JUl6u6bhn3Z8BpJsWb0zw3tOf+LCDH9CNN&#10;5v+DZR/Xz/2TBg2b3swMhu4U21p37h/+ka0n63Uki28tYVi8uLgopwU4Zdgry8tzjAGT77TZytjf&#10;uPJIdP1obCC7wshTVRFJO8QEU1Ka1vK/AFZ3Avz/kpOCbEg0Mei9Ef97X7whOydwD1+BTxLwAfiw&#10;iVSpIIdMlN9jIlUKJzho5zSxcwRPqfiRFqbvs7Avfoim/Xv70a756uz86vTgFaS3dnQ0pUpHXkR6&#10;dz/4VSPzlzG3aRPTnW3lkO8YEeqehcJXyl4ZV1vS5EchiVMkdygm0HLF4oAy8jRVnrxLGdeSKpfv&#10;UsYFpcqn71JG3qTK01QZdO6403jI3BMm/BNmM4InTGcET9jC6dBZT62jPA7JJinQzVif3Xan1vxF&#10;eUH7prjD5G5XyFQqlmLnr8+QwdUoFf97j5lK76oy4KNY/A/iKAiAPVowhkYEYUIZHqLF0eDfoJEP&#10;R2PyDhkl2uqhFcIRYPRycSc0WVNQe3l/dz4tfWhS0Tc0rJ4V+A1nHcQ9/h6O8CEqlcMNfriVfPei&#10;+pF9FdxZFfIPXpO2QvAHc77Z4aMjlDEu7cR7Yhpa8W944tojp+F98YAOuYb9EXsAiJIBJGIHLwd5&#10;p8p9rzQqhxT9D8eC8qjhLStpR+WulUoH9/etC5xqsBzkI0mBGsfSQlWvT5poFTo107OHVhv7SI19&#10;ohqtAWIF7ab9hE8tFMIc4exHGWmU/vKtdSePjgm7Gdmg1Ztn5p8V1Twj4neJXupqMp0C1vrJ9Oyi&#10;xESnO4t0R666O4V4QcmBd37o5K2Iw1qr7jO60ltnFVtUMthGabPI2DC5s5hjC30t47e3fox+EEH7&#10;KJ975sAdqz1O/rL9THVP3HCeWTRfH1VsC+ksdlUI8p2s05TqdmVV3bqWy8dh4HWYoJf0gTP0va5Z&#10;Tedeated3/wLAAD//wMAUEsDBBQABgAIAAAAIQCLvXHg4QAAAA8BAAAPAAAAZHJzL2Rvd25yZXYu&#10;eG1sTI/NasMwEITvhb6D2EBvieTiFuFaDkkhFAo91OmhR0VSbRP9GEuJlbfv+tQed2aYna/eZmfJ&#10;1UxxCF5AsWFAjFdBD74T8HU8rDmQmKTX0gZvBNxMhG1zf1fLSofZf5prmzqCJT5WUkCf0lhRGlVv&#10;nIybMBqP3k+YnEx4Th3Vk5yx3Fn6yNgzdXLw+KGXo3ntjTq3Fyfgo0htVvPx9vZu9997NR34Llsh&#10;HlZ59wIkmZz+wrDMx+nQ4KZTuHgdiRWwLsoSYRI6TyVHiiXDOEPttGi85ECbmv7naH4BAAD//wMA&#10;UEsBAi0AFAAGAAgAAAAhALaDOJL+AAAA4QEAABMAAAAAAAAAAAAAAAAAAAAAAFtDb250ZW50X1R5&#10;cGVzXS54bWxQSwECLQAUAAYACAAAACEAOP0h/9YAAACUAQAACwAAAAAAAAAAAAAAAAAvAQAAX3Jl&#10;bHMvLnJlbHNQSwECLQAUAAYACAAAACEAx203HbgDAADlCwAADgAAAAAAAAAAAAAAAAAuAgAAZHJz&#10;L2Uyb0RvYy54bWxQSwECLQAUAAYACAAAACEAi71x4OEAAAAPAQAADwAAAAAAAAAAAAAAAAASBgAA&#10;ZHJzL2Rvd25yZXYueG1sUEsFBgAAAAAEAAQA8wAAACAHAAAAAA==&#10;" path="m,l7772400,95693r,132907l,228600,,xe" fillcolor="#8dc642" stroked="f" strokeweight="1pt">
              <v:fill opacity="32896f"/>
              <v:stroke joinstyle="miter"/>
              <v:path arrowok="t" o:connecttype="custom" o:connectlocs="0,0;7772400,95693;7772400,228600;0,228600;0,0" o:connectangles="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00CF" w14:textId="51B98133" w:rsidR="00397B7D" w:rsidRPr="0093607E" w:rsidRDefault="00397B7D" w:rsidP="0093607E">
    <w:pPr>
      <w:pStyle w:val="Footer"/>
      <w:pBdr>
        <w:top w:val="single" w:sz="4" w:space="1" w:color="849895"/>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70D9" w14:textId="77777777" w:rsidR="00364EC0" w:rsidRPr="009C0ABF" w:rsidRDefault="00364EC0" w:rsidP="0032690E">
      <w:pPr>
        <w:spacing w:before="0" w:after="0" w:line="240" w:lineRule="auto"/>
        <w:rPr>
          <w:color w:val="7F7F7F" w:themeColor="text1" w:themeTint="80"/>
        </w:rPr>
      </w:pPr>
      <w:r w:rsidRPr="009C0ABF">
        <w:rPr>
          <w:color w:val="7F7F7F" w:themeColor="text1" w:themeTint="80"/>
        </w:rPr>
        <w:separator/>
      </w:r>
    </w:p>
  </w:footnote>
  <w:footnote w:type="continuationSeparator" w:id="0">
    <w:p w14:paraId="20FC15D8" w14:textId="77777777" w:rsidR="00364EC0" w:rsidRDefault="00364EC0" w:rsidP="0032690E">
      <w:pPr>
        <w:spacing w:before="0" w:after="0" w:line="240" w:lineRule="auto"/>
      </w:pPr>
      <w:r>
        <w:continuationSeparator/>
      </w:r>
    </w:p>
    <w:p w14:paraId="01DED15F" w14:textId="77777777" w:rsidR="00364EC0" w:rsidRDefault="00364EC0"/>
  </w:footnote>
  <w:footnote w:type="continuationNotice" w:id="1">
    <w:p w14:paraId="5805A67E" w14:textId="77777777" w:rsidR="00364EC0" w:rsidRDefault="00364EC0">
      <w:pPr>
        <w:spacing w:before="0" w:after="0" w:line="240" w:lineRule="auto"/>
      </w:pPr>
    </w:p>
  </w:footnote>
  <w:footnote w:id="2">
    <w:p w14:paraId="4D18351A" w14:textId="5DADDDD9" w:rsidR="00F619FB" w:rsidRDefault="00F619FB" w:rsidP="00F619FB">
      <w:pPr>
        <w:pStyle w:val="FootnoteText"/>
      </w:pPr>
      <w:r>
        <w:rPr>
          <w:rStyle w:val="FootnoteReference"/>
        </w:rPr>
        <w:footnoteRef/>
      </w:r>
      <w:r>
        <w:t xml:space="preserve"> </w:t>
      </w:r>
      <w:hyperlink r:id="rId1" w:anchor="conceptprimer" w:history="1">
        <w:r w:rsidRPr="007D7548">
          <w:rPr>
            <w:rStyle w:val="Hyperlink"/>
          </w:rPr>
          <w:t>https://visioneval.org/docs/conceptprimer.html#conceptprimer</w:t>
        </w:r>
      </w:hyperlink>
    </w:p>
  </w:footnote>
  <w:footnote w:id="3">
    <w:p w14:paraId="0F53786F" w14:textId="5754484E" w:rsidR="008F13D3" w:rsidRDefault="008F13D3" w:rsidP="008F13D3">
      <w:pPr>
        <w:pStyle w:val="FootnoteText"/>
      </w:pPr>
      <w:r>
        <w:rPr>
          <w:rStyle w:val="FootnoteReference"/>
        </w:rPr>
        <w:footnoteRef/>
      </w:r>
      <w:r>
        <w:t xml:space="preserve"> </w:t>
      </w:r>
      <w:hyperlink r:id="rId2" w:history="1">
        <w:r w:rsidRPr="007D7548">
          <w:rPr>
            <w:rStyle w:val="Hyperlink"/>
          </w:rPr>
          <w:t>https://visioneval.org/</w:t>
        </w:r>
      </w:hyperlink>
    </w:p>
  </w:footnote>
  <w:footnote w:id="4">
    <w:p w14:paraId="490517B3" w14:textId="5D845667" w:rsidR="0019565D" w:rsidRDefault="0019565D">
      <w:pPr>
        <w:pStyle w:val="FootnoteText"/>
      </w:pPr>
      <w:r>
        <w:rPr>
          <w:rStyle w:val="FootnoteReference"/>
        </w:rPr>
        <w:footnoteRef/>
      </w:r>
      <w:r>
        <w:t xml:space="preserve"> The Tableau visualizer is not </w:t>
      </w:r>
      <w:r w:rsidR="005E7A89">
        <w:t>currently</w:t>
      </w:r>
      <w:r>
        <w:t xml:space="preserve"> set up for </w:t>
      </w:r>
      <w:r w:rsidR="004B463E">
        <w:t>use with VE-State.</w:t>
      </w:r>
    </w:p>
  </w:footnote>
  <w:footnote w:id="5">
    <w:p w14:paraId="73213AC5" w14:textId="54117261" w:rsidR="003135F2" w:rsidRDefault="00B45E5D" w:rsidP="003135F2">
      <w:pPr>
        <w:pStyle w:val="FootnoteText"/>
      </w:pPr>
      <w:r>
        <w:rPr>
          <w:rStyle w:val="FootnoteReference"/>
        </w:rPr>
        <w:footnoteRef/>
      </w:r>
      <w:r>
        <w:t xml:space="preserve"> To find out more about the</w:t>
      </w:r>
      <w:r w:rsidR="003135F2">
        <w:t xml:space="preserve"> data source page accessed through the data source tab, including a visual displaying the components of this page, please see the following Tableau article: </w:t>
      </w:r>
      <w:hyperlink r:id="rId3" w:history="1">
        <w:r w:rsidR="003135F2" w:rsidRPr="00FE402B">
          <w:rPr>
            <w:rStyle w:val="Hyperlink"/>
          </w:rPr>
          <w:t>https://help.tableau.com/current/pro/desktop/en-us/environment_datasource_page.htm</w:t>
        </w:r>
      </w:hyperlink>
    </w:p>
  </w:footnote>
  <w:footnote w:id="6">
    <w:p w14:paraId="3239C02F" w14:textId="1AD51737" w:rsidR="008121D9" w:rsidRDefault="008121D9">
      <w:pPr>
        <w:pStyle w:val="FootnoteText"/>
      </w:pPr>
      <w:r>
        <w:rPr>
          <w:rStyle w:val="FootnoteReference"/>
        </w:rPr>
        <w:footnoteRef/>
      </w:r>
      <w:r>
        <w:t xml:space="preserve"> The color distinctions used in the </w:t>
      </w:r>
      <w:r w:rsidR="00651E27">
        <w:t>visualizer</w:t>
      </w:r>
      <w:r>
        <w:t xml:space="preserve"> were selected to be accessible for </w:t>
      </w:r>
      <w:r w:rsidR="00F47C82">
        <w:t xml:space="preserve">colorblind users.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BEB2" w14:textId="77BE4B77" w:rsidR="001121F2" w:rsidRPr="00163AA7" w:rsidRDefault="00491B53" w:rsidP="00163AA7">
    <w:pPr>
      <w:pStyle w:val="Header"/>
    </w:pPr>
    <w:r>
      <w:t xml:space="preserve">VisionEval Tableau </w:t>
    </w:r>
    <w:r w:rsidR="00E34414">
      <w:t xml:space="preserve">Visualizer </w:t>
    </w:r>
    <w:r>
      <w:t>User Guide</w:t>
    </w:r>
  </w:p>
  <w:p w14:paraId="6111763F" w14:textId="21832748" w:rsidR="001121F2" w:rsidRPr="00163AA7" w:rsidRDefault="00162535" w:rsidP="00163AA7">
    <w:pPr>
      <w:pStyle w:val="Header"/>
    </w:pPr>
    <w:r>
      <w:t>August 24</w:t>
    </w:r>
    <w:r w:rsidR="00491B53">
      <w:t>, 2023</w:t>
    </w:r>
  </w:p>
  <w:p w14:paraId="75F248F1" w14:textId="443B3217" w:rsidR="001121F2" w:rsidRPr="00163AA7" w:rsidRDefault="001121F2" w:rsidP="00163AA7">
    <w:pPr>
      <w:pStyle w:val="Heade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NUMPAGES</w:instrText>
    </w:r>
    <w:r>
      <w:fldChar w:fldCharType="separate"/>
    </w:r>
    <w:r>
      <w:rPr>
        <w:noProof/>
      </w:rPr>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D0D"/>
    <w:multiLevelType w:val="hybridMultilevel"/>
    <w:tmpl w:val="977A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61EE9"/>
    <w:multiLevelType w:val="hybridMultilevel"/>
    <w:tmpl w:val="DE4CAB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87C19"/>
    <w:multiLevelType w:val="multilevel"/>
    <w:tmpl w:val="321E0D14"/>
    <w:styleLink w:val="ListHeads"/>
    <w:lvl w:ilvl="0">
      <w:start w:val="1"/>
      <w:numFmt w:val="none"/>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152A1C7C"/>
    <w:multiLevelType w:val="hybridMultilevel"/>
    <w:tmpl w:val="FE4C5F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A4430"/>
    <w:multiLevelType w:val="hybridMultilevel"/>
    <w:tmpl w:val="527A73A2"/>
    <w:lvl w:ilvl="0" w:tplc="72D23B2C">
      <w:start w:val="1"/>
      <w:numFmt w:val="decimal"/>
      <w:lvlText w:val="%1."/>
      <w:lvlJc w:val="left"/>
      <w:pPr>
        <w:ind w:left="720" w:hanging="360"/>
      </w:pPr>
    </w:lvl>
    <w:lvl w:ilvl="1" w:tplc="904888A6">
      <w:start w:val="1"/>
      <w:numFmt w:val="lowerLetter"/>
      <w:lvlText w:val="%2."/>
      <w:lvlJc w:val="left"/>
      <w:pPr>
        <w:ind w:left="1440" w:hanging="360"/>
      </w:pPr>
    </w:lvl>
    <w:lvl w:ilvl="2" w:tplc="EF2E7182">
      <w:start w:val="1"/>
      <w:numFmt w:val="lowerRoman"/>
      <w:lvlText w:val="%3."/>
      <w:lvlJc w:val="right"/>
      <w:pPr>
        <w:ind w:left="2160" w:hanging="180"/>
      </w:pPr>
    </w:lvl>
    <w:lvl w:ilvl="3" w:tplc="03FAEF88">
      <w:start w:val="1"/>
      <w:numFmt w:val="decimal"/>
      <w:lvlText w:val="%4."/>
      <w:lvlJc w:val="left"/>
      <w:pPr>
        <w:ind w:left="2880" w:hanging="360"/>
      </w:pPr>
    </w:lvl>
    <w:lvl w:ilvl="4" w:tplc="FB00B066">
      <w:start w:val="1"/>
      <w:numFmt w:val="lowerLetter"/>
      <w:lvlText w:val="%5."/>
      <w:lvlJc w:val="left"/>
      <w:pPr>
        <w:ind w:left="3600" w:hanging="360"/>
      </w:pPr>
    </w:lvl>
    <w:lvl w:ilvl="5" w:tplc="B9FC9160">
      <w:start w:val="1"/>
      <w:numFmt w:val="lowerRoman"/>
      <w:lvlText w:val="%6."/>
      <w:lvlJc w:val="right"/>
      <w:pPr>
        <w:ind w:left="4320" w:hanging="180"/>
      </w:pPr>
    </w:lvl>
    <w:lvl w:ilvl="6" w:tplc="840431FA">
      <w:start w:val="1"/>
      <w:numFmt w:val="decimal"/>
      <w:lvlText w:val="%7."/>
      <w:lvlJc w:val="left"/>
      <w:pPr>
        <w:ind w:left="5040" w:hanging="360"/>
      </w:pPr>
    </w:lvl>
    <w:lvl w:ilvl="7" w:tplc="B3741076">
      <w:start w:val="1"/>
      <w:numFmt w:val="lowerLetter"/>
      <w:lvlText w:val="%8."/>
      <w:lvlJc w:val="left"/>
      <w:pPr>
        <w:ind w:left="5760" w:hanging="360"/>
      </w:pPr>
    </w:lvl>
    <w:lvl w:ilvl="8" w:tplc="CEC6074C">
      <w:start w:val="1"/>
      <w:numFmt w:val="lowerRoman"/>
      <w:lvlText w:val="%9."/>
      <w:lvlJc w:val="right"/>
      <w:pPr>
        <w:ind w:left="6480" w:hanging="180"/>
      </w:pPr>
    </w:lvl>
  </w:abstractNum>
  <w:abstractNum w:abstractNumId="5" w15:restartNumberingAfterBreak="0">
    <w:nsid w:val="1AF438F1"/>
    <w:multiLevelType w:val="hybridMultilevel"/>
    <w:tmpl w:val="897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F6C21"/>
    <w:multiLevelType w:val="hybridMultilevel"/>
    <w:tmpl w:val="1AE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E3405"/>
    <w:multiLevelType w:val="hybridMultilevel"/>
    <w:tmpl w:val="7F600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0193E"/>
    <w:multiLevelType w:val="multilevel"/>
    <w:tmpl w:val="E530FB78"/>
    <w:lvl w:ilvl="0">
      <w:start w:val="1"/>
      <w:numFmt w:val="decimal"/>
      <w:pStyle w:val="ListNumber"/>
      <w:lvlText w:val="%1."/>
      <w:lvlJc w:val="left"/>
      <w:pPr>
        <w:ind w:left="720" w:hanging="360"/>
      </w:pPr>
    </w:lvl>
    <w:lvl w:ilvl="1">
      <w:start w:val="1"/>
      <w:numFmt w:val="lowerLetter"/>
      <w:pStyle w:val="ListNumber2"/>
      <w:lvlText w:val="%2."/>
      <w:lvlJc w:val="left"/>
      <w:pPr>
        <w:ind w:left="1080" w:hanging="360"/>
      </w:pPr>
      <w:rPr>
        <w:rFonts w:hint="default"/>
      </w:rPr>
    </w:lvl>
    <w:lvl w:ilvl="2">
      <w:start w:val="1"/>
      <w:numFmt w:val="lowerRoman"/>
      <w:pStyle w:val="ListNumber3"/>
      <w:lvlText w:val="%3."/>
      <w:lvlJc w:val="left"/>
      <w:pPr>
        <w:ind w:left="1440" w:hanging="360"/>
      </w:pPr>
      <w:rPr>
        <w:rFonts w:hint="default"/>
      </w:rPr>
    </w:lvl>
    <w:lvl w:ilvl="3">
      <w:start w:val="1"/>
      <w:numFmt w:val="upperLetter"/>
      <w:pStyle w:val="ListNumber4"/>
      <w:lvlText w:val="%4."/>
      <w:lvlJc w:val="left"/>
      <w:pPr>
        <w:ind w:left="1800" w:hanging="360"/>
      </w:pPr>
      <w:rPr>
        <w:rFonts w:hint="default"/>
      </w:rPr>
    </w:lvl>
    <w:lvl w:ilvl="4">
      <w:start w:val="1"/>
      <w:numFmt w:val="upperRoman"/>
      <w:lvlText w:val="%5."/>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9" w15:restartNumberingAfterBreak="0">
    <w:nsid w:val="26F36FFB"/>
    <w:multiLevelType w:val="hybridMultilevel"/>
    <w:tmpl w:val="DE4CA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F0107"/>
    <w:multiLevelType w:val="hybridMultilevel"/>
    <w:tmpl w:val="4C6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736F9"/>
    <w:multiLevelType w:val="multilevel"/>
    <w:tmpl w:val="D332B2AC"/>
    <w:lvl w:ilvl="0">
      <w:start w:val="1"/>
      <w:numFmt w:val="bullet"/>
      <w:pStyle w:val="ListBullet"/>
      <w:lvlText w:val="•"/>
      <w:lvlJc w:val="left"/>
      <w:pPr>
        <w:tabs>
          <w:tab w:val="num" w:pos="360"/>
        </w:tabs>
        <w:ind w:left="720" w:hanging="360"/>
      </w:pPr>
      <w:rPr>
        <w:rFonts w:ascii="Segoe UI" w:hAnsi="Segoe UI" w:hint="default"/>
        <w:sz w:val="26"/>
      </w:rPr>
    </w:lvl>
    <w:lvl w:ilvl="1">
      <w:start w:val="1"/>
      <w:numFmt w:val="bullet"/>
      <w:lvlText w:val="◦"/>
      <w:lvlJc w:val="left"/>
      <w:pPr>
        <w:tabs>
          <w:tab w:val="num" w:pos="720"/>
        </w:tabs>
        <w:ind w:left="1080" w:hanging="360"/>
      </w:pPr>
      <w:rPr>
        <w:rFonts w:ascii="Segoe UI" w:hAnsi="Segoe UI" w:hint="default"/>
        <w:sz w:val="26"/>
      </w:rPr>
    </w:lvl>
    <w:lvl w:ilvl="2">
      <w:start w:val="1"/>
      <w:numFmt w:val="bullet"/>
      <w:lvlText w:val="▪"/>
      <w:lvlJc w:val="left"/>
      <w:pPr>
        <w:tabs>
          <w:tab w:val="num" w:pos="1080"/>
        </w:tabs>
        <w:ind w:left="1440" w:hanging="360"/>
      </w:pPr>
      <w:rPr>
        <w:rFonts w:ascii="Segoe UI" w:hAnsi="Segoe UI" w:hint="default"/>
        <w:color w:val="auto"/>
        <w:sz w:val="26"/>
      </w:rPr>
    </w:lvl>
    <w:lvl w:ilvl="3">
      <w:start w:val="1"/>
      <w:numFmt w:val="bullet"/>
      <w:lvlText w:val="▫"/>
      <w:lvlJc w:val="left"/>
      <w:pPr>
        <w:tabs>
          <w:tab w:val="num" w:pos="1440"/>
        </w:tabs>
        <w:ind w:left="1800" w:hanging="360"/>
      </w:pPr>
      <w:rPr>
        <w:rFonts w:ascii="Segoe UI" w:hAnsi="Segoe UI" w:hint="default"/>
        <w:sz w:val="26"/>
      </w:rPr>
    </w:lvl>
    <w:lvl w:ilvl="4">
      <w:start w:val="1"/>
      <w:numFmt w:val="bullet"/>
      <w:lvlText w:val="♦"/>
      <w:lvlJc w:val="left"/>
      <w:pPr>
        <w:tabs>
          <w:tab w:val="num" w:pos="1800"/>
        </w:tabs>
        <w:ind w:left="2160" w:hanging="360"/>
      </w:pPr>
      <w:rPr>
        <w:rFonts w:ascii="Segoe UI" w:hAnsi="Segoe UI" w:hint="default"/>
        <w:sz w:val="16"/>
      </w:rPr>
    </w:lvl>
    <w:lvl w:ilvl="5">
      <w:start w:val="1"/>
      <w:numFmt w:val="none"/>
      <w:lvlText w:val=""/>
      <w:lvlJc w:val="left"/>
      <w:pPr>
        <w:tabs>
          <w:tab w:val="num" w:pos="2160"/>
        </w:tabs>
        <w:ind w:left="2520" w:hanging="360"/>
      </w:pPr>
      <w:rPr>
        <w:rFonts w:hint="default"/>
      </w:rPr>
    </w:lvl>
    <w:lvl w:ilvl="6">
      <w:start w:val="1"/>
      <w:numFmt w:val="none"/>
      <w:lvlText w:val=""/>
      <w:lvlJc w:val="left"/>
      <w:pPr>
        <w:tabs>
          <w:tab w:val="num" w:pos="2520"/>
        </w:tabs>
        <w:ind w:left="2880" w:hanging="360"/>
      </w:pPr>
      <w:rPr>
        <w:rFonts w:hint="default"/>
      </w:rPr>
    </w:lvl>
    <w:lvl w:ilvl="7">
      <w:start w:val="1"/>
      <w:numFmt w:val="none"/>
      <w:lvlText w:val=""/>
      <w:lvlJc w:val="left"/>
      <w:pPr>
        <w:tabs>
          <w:tab w:val="num" w:pos="2880"/>
        </w:tabs>
        <w:ind w:left="3240" w:hanging="360"/>
      </w:pPr>
      <w:rPr>
        <w:rFonts w:hint="default"/>
      </w:rPr>
    </w:lvl>
    <w:lvl w:ilvl="8">
      <w:start w:val="1"/>
      <w:numFmt w:val="none"/>
      <w:lvlText w:val=""/>
      <w:lvlJc w:val="left"/>
      <w:pPr>
        <w:tabs>
          <w:tab w:val="num" w:pos="3240"/>
        </w:tabs>
        <w:ind w:left="3600" w:hanging="360"/>
      </w:pPr>
      <w:rPr>
        <w:rFonts w:hint="default"/>
      </w:rPr>
    </w:lvl>
  </w:abstractNum>
  <w:abstractNum w:abstractNumId="12" w15:restartNumberingAfterBreak="0">
    <w:nsid w:val="417901A9"/>
    <w:multiLevelType w:val="hybridMultilevel"/>
    <w:tmpl w:val="CBF61C8A"/>
    <w:styleLink w:val="ListNumbers"/>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ListNumber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70A03"/>
    <w:multiLevelType w:val="hybridMultilevel"/>
    <w:tmpl w:val="98AA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7B84F"/>
    <w:multiLevelType w:val="hybridMultilevel"/>
    <w:tmpl w:val="52CA8DC6"/>
    <w:lvl w:ilvl="0" w:tplc="51D6E46C">
      <w:start w:val="1"/>
      <w:numFmt w:val="decimal"/>
      <w:lvlText w:val="%1."/>
      <w:lvlJc w:val="left"/>
      <w:pPr>
        <w:ind w:left="720" w:hanging="360"/>
      </w:pPr>
    </w:lvl>
    <w:lvl w:ilvl="1" w:tplc="BAA01052">
      <w:start w:val="1"/>
      <w:numFmt w:val="lowerLetter"/>
      <w:lvlText w:val="%2."/>
      <w:lvlJc w:val="left"/>
      <w:pPr>
        <w:ind w:left="1440" w:hanging="360"/>
      </w:pPr>
    </w:lvl>
    <w:lvl w:ilvl="2" w:tplc="5852A7C2">
      <w:start w:val="1"/>
      <w:numFmt w:val="lowerRoman"/>
      <w:lvlText w:val="%3."/>
      <w:lvlJc w:val="right"/>
      <w:pPr>
        <w:ind w:left="2160" w:hanging="180"/>
      </w:pPr>
    </w:lvl>
    <w:lvl w:ilvl="3" w:tplc="450E8EBA">
      <w:start w:val="1"/>
      <w:numFmt w:val="decimal"/>
      <w:lvlText w:val="%4."/>
      <w:lvlJc w:val="left"/>
      <w:pPr>
        <w:ind w:left="2880" w:hanging="360"/>
      </w:pPr>
    </w:lvl>
    <w:lvl w:ilvl="4" w:tplc="E7F2C520">
      <w:start w:val="1"/>
      <w:numFmt w:val="lowerLetter"/>
      <w:lvlText w:val="%5."/>
      <w:lvlJc w:val="left"/>
      <w:pPr>
        <w:ind w:left="3600" w:hanging="360"/>
      </w:pPr>
    </w:lvl>
    <w:lvl w:ilvl="5" w:tplc="CDF02004">
      <w:start w:val="1"/>
      <w:numFmt w:val="lowerRoman"/>
      <w:lvlText w:val="%6."/>
      <w:lvlJc w:val="right"/>
      <w:pPr>
        <w:ind w:left="4320" w:hanging="180"/>
      </w:pPr>
    </w:lvl>
    <w:lvl w:ilvl="6" w:tplc="9A34698C">
      <w:start w:val="1"/>
      <w:numFmt w:val="decimal"/>
      <w:lvlText w:val="%7."/>
      <w:lvlJc w:val="left"/>
      <w:pPr>
        <w:ind w:left="5040" w:hanging="360"/>
      </w:pPr>
    </w:lvl>
    <w:lvl w:ilvl="7" w:tplc="7B5ABB60">
      <w:start w:val="1"/>
      <w:numFmt w:val="lowerLetter"/>
      <w:lvlText w:val="%8."/>
      <w:lvlJc w:val="left"/>
      <w:pPr>
        <w:ind w:left="5760" w:hanging="360"/>
      </w:pPr>
    </w:lvl>
    <w:lvl w:ilvl="8" w:tplc="F9D2B642">
      <w:start w:val="1"/>
      <w:numFmt w:val="lowerRoman"/>
      <w:lvlText w:val="%9."/>
      <w:lvlJc w:val="right"/>
      <w:pPr>
        <w:ind w:left="6480" w:hanging="180"/>
      </w:pPr>
    </w:lvl>
  </w:abstractNum>
  <w:abstractNum w:abstractNumId="15" w15:restartNumberingAfterBreak="0">
    <w:nsid w:val="456A47E8"/>
    <w:multiLevelType w:val="hybridMultilevel"/>
    <w:tmpl w:val="8F28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857AA"/>
    <w:multiLevelType w:val="hybridMultilevel"/>
    <w:tmpl w:val="948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70636"/>
    <w:multiLevelType w:val="hybridMultilevel"/>
    <w:tmpl w:val="DEF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E26AE"/>
    <w:multiLevelType w:val="hybridMultilevel"/>
    <w:tmpl w:val="1B586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1DF0F5"/>
    <w:multiLevelType w:val="multilevel"/>
    <w:tmpl w:val="AC48EE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D0471C"/>
    <w:multiLevelType w:val="hybridMultilevel"/>
    <w:tmpl w:val="B3485070"/>
    <w:lvl w:ilvl="0" w:tplc="65EC7522">
      <w:start w:val="1"/>
      <w:numFmt w:val="bullet"/>
      <w:lvlText w:val=""/>
      <w:lvlJc w:val="left"/>
      <w:pPr>
        <w:ind w:left="720" w:hanging="360"/>
      </w:pPr>
      <w:rPr>
        <w:rFonts w:ascii="Symbol" w:hAnsi="Symbol" w:hint="default"/>
      </w:rPr>
    </w:lvl>
    <w:lvl w:ilvl="1" w:tplc="1C36BF60">
      <w:start w:val="1"/>
      <w:numFmt w:val="bullet"/>
      <w:lvlText w:val="o"/>
      <w:lvlJc w:val="left"/>
      <w:pPr>
        <w:ind w:left="1440" w:hanging="360"/>
      </w:pPr>
      <w:rPr>
        <w:rFonts w:ascii="Courier New" w:hAnsi="Courier New" w:hint="default"/>
      </w:rPr>
    </w:lvl>
    <w:lvl w:ilvl="2" w:tplc="66C05F22">
      <w:start w:val="1"/>
      <w:numFmt w:val="bullet"/>
      <w:lvlText w:val=""/>
      <w:lvlJc w:val="left"/>
      <w:pPr>
        <w:ind w:left="2160" w:hanging="360"/>
      </w:pPr>
      <w:rPr>
        <w:rFonts w:ascii="Wingdings" w:hAnsi="Wingdings" w:hint="default"/>
      </w:rPr>
    </w:lvl>
    <w:lvl w:ilvl="3" w:tplc="F9107AEC">
      <w:start w:val="1"/>
      <w:numFmt w:val="bullet"/>
      <w:lvlText w:val=""/>
      <w:lvlJc w:val="left"/>
      <w:pPr>
        <w:ind w:left="2880" w:hanging="360"/>
      </w:pPr>
      <w:rPr>
        <w:rFonts w:ascii="Symbol" w:hAnsi="Symbol" w:hint="default"/>
      </w:rPr>
    </w:lvl>
    <w:lvl w:ilvl="4" w:tplc="4080EB02">
      <w:start w:val="1"/>
      <w:numFmt w:val="bullet"/>
      <w:lvlText w:val="o"/>
      <w:lvlJc w:val="left"/>
      <w:pPr>
        <w:ind w:left="3600" w:hanging="360"/>
      </w:pPr>
      <w:rPr>
        <w:rFonts w:ascii="Courier New" w:hAnsi="Courier New" w:hint="default"/>
      </w:rPr>
    </w:lvl>
    <w:lvl w:ilvl="5" w:tplc="49A6D39A">
      <w:start w:val="1"/>
      <w:numFmt w:val="bullet"/>
      <w:lvlText w:val=""/>
      <w:lvlJc w:val="left"/>
      <w:pPr>
        <w:ind w:left="4320" w:hanging="360"/>
      </w:pPr>
      <w:rPr>
        <w:rFonts w:ascii="Wingdings" w:hAnsi="Wingdings" w:hint="default"/>
      </w:rPr>
    </w:lvl>
    <w:lvl w:ilvl="6" w:tplc="320A1E5E">
      <w:start w:val="1"/>
      <w:numFmt w:val="bullet"/>
      <w:lvlText w:val=""/>
      <w:lvlJc w:val="left"/>
      <w:pPr>
        <w:ind w:left="5040" w:hanging="360"/>
      </w:pPr>
      <w:rPr>
        <w:rFonts w:ascii="Symbol" w:hAnsi="Symbol" w:hint="default"/>
      </w:rPr>
    </w:lvl>
    <w:lvl w:ilvl="7" w:tplc="80CA4B64">
      <w:start w:val="1"/>
      <w:numFmt w:val="bullet"/>
      <w:lvlText w:val="o"/>
      <w:lvlJc w:val="left"/>
      <w:pPr>
        <w:ind w:left="5760" w:hanging="360"/>
      </w:pPr>
      <w:rPr>
        <w:rFonts w:ascii="Courier New" w:hAnsi="Courier New" w:hint="default"/>
      </w:rPr>
    </w:lvl>
    <w:lvl w:ilvl="8" w:tplc="98800FF8">
      <w:start w:val="1"/>
      <w:numFmt w:val="bullet"/>
      <w:lvlText w:val=""/>
      <w:lvlJc w:val="left"/>
      <w:pPr>
        <w:ind w:left="6480" w:hanging="360"/>
      </w:pPr>
      <w:rPr>
        <w:rFonts w:ascii="Wingdings" w:hAnsi="Wingdings" w:hint="default"/>
      </w:rPr>
    </w:lvl>
  </w:abstractNum>
  <w:abstractNum w:abstractNumId="21" w15:restartNumberingAfterBreak="0">
    <w:nsid w:val="6E730E68"/>
    <w:multiLevelType w:val="hybridMultilevel"/>
    <w:tmpl w:val="BE8C7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119"/>
    <w:multiLevelType w:val="hybridMultilevel"/>
    <w:tmpl w:val="A40A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F4547"/>
    <w:multiLevelType w:val="hybridMultilevel"/>
    <w:tmpl w:val="E8D60834"/>
    <w:styleLink w:val="ListBullets"/>
    <w:lvl w:ilvl="0" w:tplc="04090001">
      <w:start w:val="1"/>
      <w:numFmt w:val="bullet"/>
      <w:lvlText w:val=""/>
      <w:lvlJc w:val="left"/>
      <w:pPr>
        <w:ind w:left="720" w:hanging="360"/>
      </w:pPr>
      <w:rPr>
        <w:rFonts w:ascii="Symbol" w:hAnsi="Symbol" w:hint="default"/>
      </w:rPr>
    </w:lvl>
    <w:lvl w:ilvl="1" w:tplc="04090003" w:tentative="1">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pStyle w:val="ListBullet3"/>
      <w:lvlText w:val=""/>
      <w:lvlJc w:val="left"/>
      <w:pPr>
        <w:ind w:left="2160" w:hanging="360"/>
      </w:pPr>
      <w:rPr>
        <w:rFonts w:ascii="Wingdings" w:hAnsi="Wingdings" w:hint="default"/>
      </w:rPr>
    </w:lvl>
    <w:lvl w:ilvl="3" w:tplc="04090001" w:tentative="1">
      <w:start w:val="1"/>
      <w:numFmt w:val="bullet"/>
      <w:pStyle w:val="ListBullet4"/>
      <w:lvlText w:val=""/>
      <w:lvlJc w:val="left"/>
      <w:pPr>
        <w:ind w:left="2880" w:hanging="360"/>
      </w:pPr>
      <w:rPr>
        <w:rFonts w:ascii="Symbol" w:hAnsi="Symbol" w:hint="default"/>
      </w:rPr>
    </w:lvl>
    <w:lvl w:ilvl="4" w:tplc="04090003" w:tentative="1">
      <w:start w:val="1"/>
      <w:numFmt w:val="bullet"/>
      <w:pStyle w:val="ListBullet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F47FA"/>
    <w:multiLevelType w:val="hybridMultilevel"/>
    <w:tmpl w:val="0604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38101">
    <w:abstractNumId w:val="20"/>
  </w:num>
  <w:num w:numId="2" w16cid:durableId="1621566105">
    <w:abstractNumId w:val="14"/>
  </w:num>
  <w:num w:numId="3" w16cid:durableId="662200874">
    <w:abstractNumId w:val="4"/>
  </w:num>
  <w:num w:numId="4" w16cid:durableId="1130244542">
    <w:abstractNumId w:val="19"/>
  </w:num>
  <w:num w:numId="5" w16cid:durableId="278416338">
    <w:abstractNumId w:val="11"/>
  </w:num>
  <w:num w:numId="6" w16cid:durableId="1942837237">
    <w:abstractNumId w:val="8"/>
  </w:num>
  <w:num w:numId="7" w16cid:durableId="1140076239">
    <w:abstractNumId w:val="23"/>
  </w:num>
  <w:num w:numId="8" w16cid:durableId="1190871334">
    <w:abstractNumId w:val="2"/>
  </w:num>
  <w:num w:numId="9" w16cid:durableId="1851482019">
    <w:abstractNumId w:val="12"/>
  </w:num>
  <w:num w:numId="10" w16cid:durableId="2034959251">
    <w:abstractNumId w:val="11"/>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1" w16cid:durableId="21190628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3510493">
    <w:abstractNumId w:val="2"/>
  </w:num>
  <w:num w:numId="13" w16cid:durableId="2078819197">
    <w:abstractNumId w:val="24"/>
  </w:num>
  <w:num w:numId="14" w16cid:durableId="781726310">
    <w:abstractNumId w:val="17"/>
  </w:num>
  <w:num w:numId="15" w16cid:durableId="2123378393">
    <w:abstractNumId w:val="13"/>
  </w:num>
  <w:num w:numId="16" w16cid:durableId="1320385152">
    <w:abstractNumId w:val="10"/>
  </w:num>
  <w:num w:numId="17" w16cid:durableId="2104261630">
    <w:abstractNumId w:val="6"/>
  </w:num>
  <w:num w:numId="18" w16cid:durableId="90052652">
    <w:abstractNumId w:val="21"/>
  </w:num>
  <w:num w:numId="19" w16cid:durableId="1469593040">
    <w:abstractNumId w:val="5"/>
  </w:num>
  <w:num w:numId="20" w16cid:durableId="1109349579">
    <w:abstractNumId w:val="16"/>
  </w:num>
  <w:num w:numId="21" w16cid:durableId="1344556062">
    <w:abstractNumId w:val="18"/>
  </w:num>
  <w:num w:numId="22" w16cid:durableId="1071122939">
    <w:abstractNumId w:val="9"/>
  </w:num>
  <w:num w:numId="23" w16cid:durableId="1591423677">
    <w:abstractNumId w:val="15"/>
  </w:num>
  <w:num w:numId="24" w16cid:durableId="1541094771">
    <w:abstractNumId w:val="7"/>
  </w:num>
  <w:num w:numId="25" w16cid:durableId="266741264">
    <w:abstractNumId w:val="0"/>
  </w:num>
  <w:num w:numId="26" w16cid:durableId="870416368">
    <w:abstractNumId w:val="22"/>
  </w:num>
  <w:num w:numId="27" w16cid:durableId="2116367445">
    <w:abstractNumId w:val="1"/>
  </w:num>
  <w:num w:numId="28" w16cid:durableId="13980903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efaultTableStyle w:val="FPTable19"/>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wMDcwMDGwtDSwNDJW0lEKTi0uzszPAykwrAUALn3woCwAAAA="/>
  </w:docVars>
  <w:rsids>
    <w:rsidRoot w:val="001121F2"/>
    <w:rsid w:val="0000367A"/>
    <w:rsid w:val="00005188"/>
    <w:rsid w:val="000103A3"/>
    <w:rsid w:val="00010ECC"/>
    <w:rsid w:val="00013077"/>
    <w:rsid w:val="00030EB7"/>
    <w:rsid w:val="00044454"/>
    <w:rsid w:val="000446F2"/>
    <w:rsid w:val="0004495D"/>
    <w:rsid w:val="00066103"/>
    <w:rsid w:val="000721CD"/>
    <w:rsid w:val="000762B3"/>
    <w:rsid w:val="000920BD"/>
    <w:rsid w:val="00092452"/>
    <w:rsid w:val="000A4685"/>
    <w:rsid w:val="000B1063"/>
    <w:rsid w:val="000B1C1C"/>
    <w:rsid w:val="000B1FE7"/>
    <w:rsid w:val="000D2F12"/>
    <w:rsid w:val="000D340E"/>
    <w:rsid w:val="000D3839"/>
    <w:rsid w:val="000D4582"/>
    <w:rsid w:val="000F4200"/>
    <w:rsid w:val="000F4755"/>
    <w:rsid w:val="000F494D"/>
    <w:rsid w:val="000F5BFE"/>
    <w:rsid w:val="001037AA"/>
    <w:rsid w:val="001121F2"/>
    <w:rsid w:val="00113BDC"/>
    <w:rsid w:val="00116207"/>
    <w:rsid w:val="00130C59"/>
    <w:rsid w:val="001365D3"/>
    <w:rsid w:val="00150677"/>
    <w:rsid w:val="00151383"/>
    <w:rsid w:val="00156EC2"/>
    <w:rsid w:val="00161797"/>
    <w:rsid w:val="00162535"/>
    <w:rsid w:val="00163AA7"/>
    <w:rsid w:val="0016718A"/>
    <w:rsid w:val="001677E1"/>
    <w:rsid w:val="00170B8D"/>
    <w:rsid w:val="00191F53"/>
    <w:rsid w:val="0019565D"/>
    <w:rsid w:val="00196F1D"/>
    <w:rsid w:val="001977A6"/>
    <w:rsid w:val="001A6982"/>
    <w:rsid w:val="001B16CC"/>
    <w:rsid w:val="001C4642"/>
    <w:rsid w:val="001E227E"/>
    <w:rsid w:val="001E420F"/>
    <w:rsid w:val="001E5A65"/>
    <w:rsid w:val="001F0504"/>
    <w:rsid w:val="001F1800"/>
    <w:rsid w:val="001F1D1B"/>
    <w:rsid w:val="002045FD"/>
    <w:rsid w:val="00211A2E"/>
    <w:rsid w:val="00211BCC"/>
    <w:rsid w:val="00217D9F"/>
    <w:rsid w:val="00240D09"/>
    <w:rsid w:val="0026619C"/>
    <w:rsid w:val="00267B3A"/>
    <w:rsid w:val="00271EB5"/>
    <w:rsid w:val="00276CFE"/>
    <w:rsid w:val="0029414F"/>
    <w:rsid w:val="002A08B7"/>
    <w:rsid w:val="002A2148"/>
    <w:rsid w:val="002A4804"/>
    <w:rsid w:val="002B0D39"/>
    <w:rsid w:val="002B5486"/>
    <w:rsid w:val="002B6E68"/>
    <w:rsid w:val="002B740E"/>
    <w:rsid w:val="002C2461"/>
    <w:rsid w:val="002C2999"/>
    <w:rsid w:val="002C2A83"/>
    <w:rsid w:val="002C45AE"/>
    <w:rsid w:val="002D6349"/>
    <w:rsid w:val="002D7804"/>
    <w:rsid w:val="002E0812"/>
    <w:rsid w:val="002E1ADA"/>
    <w:rsid w:val="002E38AB"/>
    <w:rsid w:val="002F0E95"/>
    <w:rsid w:val="002F4BE1"/>
    <w:rsid w:val="00301FE6"/>
    <w:rsid w:val="00304FE8"/>
    <w:rsid w:val="003135F2"/>
    <w:rsid w:val="0032690E"/>
    <w:rsid w:val="00326EDE"/>
    <w:rsid w:val="003279EA"/>
    <w:rsid w:val="003331F8"/>
    <w:rsid w:val="00333243"/>
    <w:rsid w:val="00334386"/>
    <w:rsid w:val="00337AF2"/>
    <w:rsid w:val="00341A13"/>
    <w:rsid w:val="00342501"/>
    <w:rsid w:val="00344007"/>
    <w:rsid w:val="00354D15"/>
    <w:rsid w:val="00364EC0"/>
    <w:rsid w:val="00375C1F"/>
    <w:rsid w:val="003767B0"/>
    <w:rsid w:val="00386BDA"/>
    <w:rsid w:val="00397B7D"/>
    <w:rsid w:val="003A0103"/>
    <w:rsid w:val="003B04F5"/>
    <w:rsid w:val="003B3054"/>
    <w:rsid w:val="003B4CB5"/>
    <w:rsid w:val="003B52E5"/>
    <w:rsid w:val="003C5193"/>
    <w:rsid w:val="003C7466"/>
    <w:rsid w:val="003D00D4"/>
    <w:rsid w:val="003D110F"/>
    <w:rsid w:val="003D18A6"/>
    <w:rsid w:val="003E36FC"/>
    <w:rsid w:val="003E4A06"/>
    <w:rsid w:val="003F1F08"/>
    <w:rsid w:val="003F745C"/>
    <w:rsid w:val="004123DC"/>
    <w:rsid w:val="00412977"/>
    <w:rsid w:val="00412DB6"/>
    <w:rsid w:val="0041469D"/>
    <w:rsid w:val="00415A83"/>
    <w:rsid w:val="004164B5"/>
    <w:rsid w:val="00416DBE"/>
    <w:rsid w:val="00420DE0"/>
    <w:rsid w:val="00427698"/>
    <w:rsid w:val="00433E4C"/>
    <w:rsid w:val="004362CD"/>
    <w:rsid w:val="00444DA0"/>
    <w:rsid w:val="004547EA"/>
    <w:rsid w:val="004562D9"/>
    <w:rsid w:val="00461D69"/>
    <w:rsid w:val="004646C4"/>
    <w:rsid w:val="0047463E"/>
    <w:rsid w:val="004766EC"/>
    <w:rsid w:val="00491B53"/>
    <w:rsid w:val="00492AC1"/>
    <w:rsid w:val="004A0773"/>
    <w:rsid w:val="004A07BA"/>
    <w:rsid w:val="004A0FB5"/>
    <w:rsid w:val="004A6CA2"/>
    <w:rsid w:val="004A7D2C"/>
    <w:rsid w:val="004A7F42"/>
    <w:rsid w:val="004B463E"/>
    <w:rsid w:val="004C32E1"/>
    <w:rsid w:val="004D0752"/>
    <w:rsid w:val="004D5E23"/>
    <w:rsid w:val="004E4DA7"/>
    <w:rsid w:val="004E7E7A"/>
    <w:rsid w:val="004F0C65"/>
    <w:rsid w:val="004F18AE"/>
    <w:rsid w:val="004F63D6"/>
    <w:rsid w:val="004F7B59"/>
    <w:rsid w:val="00500CBD"/>
    <w:rsid w:val="00502A9D"/>
    <w:rsid w:val="00504010"/>
    <w:rsid w:val="0051517D"/>
    <w:rsid w:val="00517C1E"/>
    <w:rsid w:val="005212A7"/>
    <w:rsid w:val="00521CDA"/>
    <w:rsid w:val="00554E43"/>
    <w:rsid w:val="00555787"/>
    <w:rsid w:val="0056343C"/>
    <w:rsid w:val="0056685B"/>
    <w:rsid w:val="00572918"/>
    <w:rsid w:val="00576E24"/>
    <w:rsid w:val="0057702D"/>
    <w:rsid w:val="005861EA"/>
    <w:rsid w:val="00590B4E"/>
    <w:rsid w:val="005A0E25"/>
    <w:rsid w:val="005A3527"/>
    <w:rsid w:val="005A3566"/>
    <w:rsid w:val="005A53AD"/>
    <w:rsid w:val="005C6C56"/>
    <w:rsid w:val="005D1E8E"/>
    <w:rsid w:val="005D3AEE"/>
    <w:rsid w:val="005E3FE5"/>
    <w:rsid w:val="005E599F"/>
    <w:rsid w:val="005E7A89"/>
    <w:rsid w:val="005F464D"/>
    <w:rsid w:val="006066B9"/>
    <w:rsid w:val="00607D7D"/>
    <w:rsid w:val="00607F53"/>
    <w:rsid w:val="006121A4"/>
    <w:rsid w:val="00612598"/>
    <w:rsid w:val="00614573"/>
    <w:rsid w:val="00617DDC"/>
    <w:rsid w:val="00623816"/>
    <w:rsid w:val="0062658C"/>
    <w:rsid w:val="00631DB9"/>
    <w:rsid w:val="006422CC"/>
    <w:rsid w:val="00646F01"/>
    <w:rsid w:val="00651E27"/>
    <w:rsid w:val="00661750"/>
    <w:rsid w:val="006648D9"/>
    <w:rsid w:val="00671346"/>
    <w:rsid w:val="0068264B"/>
    <w:rsid w:val="006920DB"/>
    <w:rsid w:val="00692326"/>
    <w:rsid w:val="00695E39"/>
    <w:rsid w:val="00696246"/>
    <w:rsid w:val="006A36E9"/>
    <w:rsid w:val="006B35C5"/>
    <w:rsid w:val="006C22A1"/>
    <w:rsid w:val="006D0CE5"/>
    <w:rsid w:val="006D1DFC"/>
    <w:rsid w:val="006D726E"/>
    <w:rsid w:val="006E3B96"/>
    <w:rsid w:val="006E5CD1"/>
    <w:rsid w:val="006F02A5"/>
    <w:rsid w:val="006F0BA4"/>
    <w:rsid w:val="006F23AE"/>
    <w:rsid w:val="006F3B12"/>
    <w:rsid w:val="006F5A9B"/>
    <w:rsid w:val="006F6B45"/>
    <w:rsid w:val="00732F98"/>
    <w:rsid w:val="00745A56"/>
    <w:rsid w:val="007558BA"/>
    <w:rsid w:val="00761737"/>
    <w:rsid w:val="007633F0"/>
    <w:rsid w:val="00764609"/>
    <w:rsid w:val="00765814"/>
    <w:rsid w:val="007675D1"/>
    <w:rsid w:val="007706B4"/>
    <w:rsid w:val="0077235F"/>
    <w:rsid w:val="00773777"/>
    <w:rsid w:val="007753A5"/>
    <w:rsid w:val="0078022D"/>
    <w:rsid w:val="00781E96"/>
    <w:rsid w:val="00786DFC"/>
    <w:rsid w:val="00794906"/>
    <w:rsid w:val="007A799B"/>
    <w:rsid w:val="007C2A23"/>
    <w:rsid w:val="007C54CA"/>
    <w:rsid w:val="007D1086"/>
    <w:rsid w:val="007D1552"/>
    <w:rsid w:val="007E0FB1"/>
    <w:rsid w:val="007F32B9"/>
    <w:rsid w:val="008015C0"/>
    <w:rsid w:val="008041D1"/>
    <w:rsid w:val="008121D9"/>
    <w:rsid w:val="008157DD"/>
    <w:rsid w:val="008459EA"/>
    <w:rsid w:val="00851311"/>
    <w:rsid w:val="00867EC8"/>
    <w:rsid w:val="00871CFE"/>
    <w:rsid w:val="00874005"/>
    <w:rsid w:val="0087759C"/>
    <w:rsid w:val="00894771"/>
    <w:rsid w:val="008A119D"/>
    <w:rsid w:val="008A6FBF"/>
    <w:rsid w:val="008B133B"/>
    <w:rsid w:val="008B4DC3"/>
    <w:rsid w:val="008C0BED"/>
    <w:rsid w:val="008D4665"/>
    <w:rsid w:val="008E47DD"/>
    <w:rsid w:val="008F0041"/>
    <w:rsid w:val="008F0EC5"/>
    <w:rsid w:val="008F13D3"/>
    <w:rsid w:val="00906B8A"/>
    <w:rsid w:val="00907E54"/>
    <w:rsid w:val="00912215"/>
    <w:rsid w:val="00914880"/>
    <w:rsid w:val="00924C44"/>
    <w:rsid w:val="00925461"/>
    <w:rsid w:val="00925A3C"/>
    <w:rsid w:val="00925F9F"/>
    <w:rsid w:val="0093607E"/>
    <w:rsid w:val="00954F43"/>
    <w:rsid w:val="009853C0"/>
    <w:rsid w:val="00997DE4"/>
    <w:rsid w:val="009A4C3A"/>
    <w:rsid w:val="009B3440"/>
    <w:rsid w:val="009C0ABF"/>
    <w:rsid w:val="009C114D"/>
    <w:rsid w:val="009C16BF"/>
    <w:rsid w:val="009C5EC2"/>
    <w:rsid w:val="009D511C"/>
    <w:rsid w:val="009E7E1D"/>
    <w:rsid w:val="00A00CB9"/>
    <w:rsid w:val="00A06B72"/>
    <w:rsid w:val="00A15593"/>
    <w:rsid w:val="00A23F4A"/>
    <w:rsid w:val="00A249A9"/>
    <w:rsid w:val="00A27C04"/>
    <w:rsid w:val="00A42AB8"/>
    <w:rsid w:val="00A443D7"/>
    <w:rsid w:val="00A55692"/>
    <w:rsid w:val="00A655D6"/>
    <w:rsid w:val="00A671B7"/>
    <w:rsid w:val="00A71193"/>
    <w:rsid w:val="00A85A60"/>
    <w:rsid w:val="00A86A9B"/>
    <w:rsid w:val="00A87F40"/>
    <w:rsid w:val="00A91B3E"/>
    <w:rsid w:val="00A95B9B"/>
    <w:rsid w:val="00AA2E71"/>
    <w:rsid w:val="00AA454F"/>
    <w:rsid w:val="00AA6244"/>
    <w:rsid w:val="00AB2D7B"/>
    <w:rsid w:val="00AB64C6"/>
    <w:rsid w:val="00AC1E14"/>
    <w:rsid w:val="00AC56BF"/>
    <w:rsid w:val="00AC604E"/>
    <w:rsid w:val="00AC7A0A"/>
    <w:rsid w:val="00AD284E"/>
    <w:rsid w:val="00AE0F03"/>
    <w:rsid w:val="00AE1B95"/>
    <w:rsid w:val="00AE3694"/>
    <w:rsid w:val="00AF00EB"/>
    <w:rsid w:val="00AF5425"/>
    <w:rsid w:val="00B04DD5"/>
    <w:rsid w:val="00B06364"/>
    <w:rsid w:val="00B11CCB"/>
    <w:rsid w:val="00B16F16"/>
    <w:rsid w:val="00B25AC1"/>
    <w:rsid w:val="00B31B93"/>
    <w:rsid w:val="00B332CA"/>
    <w:rsid w:val="00B3340C"/>
    <w:rsid w:val="00B334C7"/>
    <w:rsid w:val="00B36E6D"/>
    <w:rsid w:val="00B3706C"/>
    <w:rsid w:val="00B3722D"/>
    <w:rsid w:val="00B45E5D"/>
    <w:rsid w:val="00B4611A"/>
    <w:rsid w:val="00B55687"/>
    <w:rsid w:val="00B603FB"/>
    <w:rsid w:val="00B60C0A"/>
    <w:rsid w:val="00B60D55"/>
    <w:rsid w:val="00B65393"/>
    <w:rsid w:val="00B71055"/>
    <w:rsid w:val="00B83213"/>
    <w:rsid w:val="00B93CCC"/>
    <w:rsid w:val="00BA6FEF"/>
    <w:rsid w:val="00BA77FC"/>
    <w:rsid w:val="00BB57E4"/>
    <w:rsid w:val="00BB67F4"/>
    <w:rsid w:val="00BE425C"/>
    <w:rsid w:val="00BE4611"/>
    <w:rsid w:val="00BE5DD6"/>
    <w:rsid w:val="00BE623F"/>
    <w:rsid w:val="00BF3653"/>
    <w:rsid w:val="00C0145E"/>
    <w:rsid w:val="00C149FB"/>
    <w:rsid w:val="00C22455"/>
    <w:rsid w:val="00C30E5B"/>
    <w:rsid w:val="00C60F92"/>
    <w:rsid w:val="00C616C6"/>
    <w:rsid w:val="00C669FA"/>
    <w:rsid w:val="00C77A41"/>
    <w:rsid w:val="00C87E1C"/>
    <w:rsid w:val="00C87E4F"/>
    <w:rsid w:val="00C93275"/>
    <w:rsid w:val="00CA0500"/>
    <w:rsid w:val="00CA2798"/>
    <w:rsid w:val="00CA773D"/>
    <w:rsid w:val="00CB31B4"/>
    <w:rsid w:val="00CB789D"/>
    <w:rsid w:val="00CC1EA6"/>
    <w:rsid w:val="00CC48D6"/>
    <w:rsid w:val="00CD2B86"/>
    <w:rsid w:val="00CE194E"/>
    <w:rsid w:val="00CE3ED5"/>
    <w:rsid w:val="00CE4B55"/>
    <w:rsid w:val="00CF28E7"/>
    <w:rsid w:val="00CF2C67"/>
    <w:rsid w:val="00D00EE8"/>
    <w:rsid w:val="00D2343D"/>
    <w:rsid w:val="00D37481"/>
    <w:rsid w:val="00D37651"/>
    <w:rsid w:val="00D4028F"/>
    <w:rsid w:val="00D42A45"/>
    <w:rsid w:val="00D55183"/>
    <w:rsid w:val="00D638ED"/>
    <w:rsid w:val="00D65037"/>
    <w:rsid w:val="00D75914"/>
    <w:rsid w:val="00D80BCF"/>
    <w:rsid w:val="00D8478A"/>
    <w:rsid w:val="00D86A68"/>
    <w:rsid w:val="00D87E9E"/>
    <w:rsid w:val="00D916C1"/>
    <w:rsid w:val="00D97B53"/>
    <w:rsid w:val="00DA6E4B"/>
    <w:rsid w:val="00DC139D"/>
    <w:rsid w:val="00DC3AAA"/>
    <w:rsid w:val="00DC758B"/>
    <w:rsid w:val="00DD2E5C"/>
    <w:rsid w:val="00DE05D4"/>
    <w:rsid w:val="00DE08D1"/>
    <w:rsid w:val="00DF2CD2"/>
    <w:rsid w:val="00E005F1"/>
    <w:rsid w:val="00E07C9B"/>
    <w:rsid w:val="00E10840"/>
    <w:rsid w:val="00E1120D"/>
    <w:rsid w:val="00E1175F"/>
    <w:rsid w:val="00E140B6"/>
    <w:rsid w:val="00E22D61"/>
    <w:rsid w:val="00E24389"/>
    <w:rsid w:val="00E2438E"/>
    <w:rsid w:val="00E30742"/>
    <w:rsid w:val="00E34414"/>
    <w:rsid w:val="00E3577B"/>
    <w:rsid w:val="00E376EC"/>
    <w:rsid w:val="00E445E9"/>
    <w:rsid w:val="00E44ACE"/>
    <w:rsid w:val="00E564DD"/>
    <w:rsid w:val="00E6273F"/>
    <w:rsid w:val="00E656B7"/>
    <w:rsid w:val="00E66FB7"/>
    <w:rsid w:val="00E6795C"/>
    <w:rsid w:val="00E67D70"/>
    <w:rsid w:val="00E83793"/>
    <w:rsid w:val="00E877CA"/>
    <w:rsid w:val="00E947FC"/>
    <w:rsid w:val="00EA5EC1"/>
    <w:rsid w:val="00EA6E65"/>
    <w:rsid w:val="00EA7F01"/>
    <w:rsid w:val="00EB6488"/>
    <w:rsid w:val="00EC1B2D"/>
    <w:rsid w:val="00ED1F70"/>
    <w:rsid w:val="00EE57CF"/>
    <w:rsid w:val="00EF14F5"/>
    <w:rsid w:val="00F00713"/>
    <w:rsid w:val="00F15C41"/>
    <w:rsid w:val="00F15E64"/>
    <w:rsid w:val="00F21E6D"/>
    <w:rsid w:val="00F2282D"/>
    <w:rsid w:val="00F232DB"/>
    <w:rsid w:val="00F409D3"/>
    <w:rsid w:val="00F40FB1"/>
    <w:rsid w:val="00F47C82"/>
    <w:rsid w:val="00F52DA1"/>
    <w:rsid w:val="00F53E0F"/>
    <w:rsid w:val="00F545B3"/>
    <w:rsid w:val="00F560AF"/>
    <w:rsid w:val="00F60BFF"/>
    <w:rsid w:val="00F619FB"/>
    <w:rsid w:val="00F624E2"/>
    <w:rsid w:val="00F717D3"/>
    <w:rsid w:val="00F72422"/>
    <w:rsid w:val="00F73BC3"/>
    <w:rsid w:val="00F93FC7"/>
    <w:rsid w:val="00FA0081"/>
    <w:rsid w:val="00FA2A5E"/>
    <w:rsid w:val="00FA6736"/>
    <w:rsid w:val="00FB06E7"/>
    <w:rsid w:val="00FB1259"/>
    <w:rsid w:val="00FB1B09"/>
    <w:rsid w:val="00FB2BC8"/>
    <w:rsid w:val="00FB5B1D"/>
    <w:rsid w:val="00FD3C42"/>
    <w:rsid w:val="00FE5A29"/>
    <w:rsid w:val="00FF32FC"/>
    <w:rsid w:val="0172143A"/>
    <w:rsid w:val="0319640A"/>
    <w:rsid w:val="03265E2D"/>
    <w:rsid w:val="03EC277F"/>
    <w:rsid w:val="04B2777C"/>
    <w:rsid w:val="04CCD940"/>
    <w:rsid w:val="04E12FDC"/>
    <w:rsid w:val="0512F058"/>
    <w:rsid w:val="06294B08"/>
    <w:rsid w:val="06DC6E41"/>
    <w:rsid w:val="078A9D66"/>
    <w:rsid w:val="0830BE29"/>
    <w:rsid w:val="09099DAC"/>
    <w:rsid w:val="0992E8BD"/>
    <w:rsid w:val="0A1B4DB7"/>
    <w:rsid w:val="0BAFC917"/>
    <w:rsid w:val="0BD3248C"/>
    <w:rsid w:val="0C12F177"/>
    <w:rsid w:val="0C16EC8B"/>
    <w:rsid w:val="0E1EEFE1"/>
    <w:rsid w:val="0F258B00"/>
    <w:rsid w:val="114A97CA"/>
    <w:rsid w:val="121F0A9B"/>
    <w:rsid w:val="1294A75A"/>
    <w:rsid w:val="12BC7636"/>
    <w:rsid w:val="13157C49"/>
    <w:rsid w:val="13DDFF40"/>
    <w:rsid w:val="13F50726"/>
    <w:rsid w:val="1692BE16"/>
    <w:rsid w:val="16F27BBE"/>
    <w:rsid w:val="16FCB7B6"/>
    <w:rsid w:val="17C5553D"/>
    <w:rsid w:val="17DDF72D"/>
    <w:rsid w:val="17E462EA"/>
    <w:rsid w:val="1855B086"/>
    <w:rsid w:val="18CFB8FA"/>
    <w:rsid w:val="1B28EFC2"/>
    <w:rsid w:val="1C02B8B4"/>
    <w:rsid w:val="1DB72E4B"/>
    <w:rsid w:val="1DD7A28F"/>
    <w:rsid w:val="1DF4EDAC"/>
    <w:rsid w:val="1E558035"/>
    <w:rsid w:val="1EA88ACD"/>
    <w:rsid w:val="1F4A5AC5"/>
    <w:rsid w:val="1FD4B19C"/>
    <w:rsid w:val="202077FF"/>
    <w:rsid w:val="2143BC77"/>
    <w:rsid w:val="2173F89A"/>
    <w:rsid w:val="2175BA4A"/>
    <w:rsid w:val="240A7DBF"/>
    <w:rsid w:val="24DF035F"/>
    <w:rsid w:val="2511245D"/>
    <w:rsid w:val="25DA6212"/>
    <w:rsid w:val="26328CB9"/>
    <w:rsid w:val="2759417B"/>
    <w:rsid w:val="28162BD0"/>
    <w:rsid w:val="28392E4E"/>
    <w:rsid w:val="2A12C0B4"/>
    <w:rsid w:val="2B267B4C"/>
    <w:rsid w:val="2B89EBDA"/>
    <w:rsid w:val="2CBCE345"/>
    <w:rsid w:val="2E937655"/>
    <w:rsid w:val="2EF1CEED"/>
    <w:rsid w:val="2F0BE060"/>
    <w:rsid w:val="2F4C49B2"/>
    <w:rsid w:val="2F8AC51D"/>
    <w:rsid w:val="2FD2565A"/>
    <w:rsid w:val="2FF01730"/>
    <w:rsid w:val="303B1925"/>
    <w:rsid w:val="30E52211"/>
    <w:rsid w:val="316E26BB"/>
    <w:rsid w:val="319C3D02"/>
    <w:rsid w:val="3200401C"/>
    <w:rsid w:val="321354FC"/>
    <w:rsid w:val="3236E342"/>
    <w:rsid w:val="32C265DF"/>
    <w:rsid w:val="3372B9E7"/>
    <w:rsid w:val="33BFA8F4"/>
    <w:rsid w:val="33CDC554"/>
    <w:rsid w:val="34CDEF20"/>
    <w:rsid w:val="34D3DDC4"/>
    <w:rsid w:val="35B3082E"/>
    <w:rsid w:val="35E754D9"/>
    <w:rsid w:val="36ABC795"/>
    <w:rsid w:val="3738D176"/>
    <w:rsid w:val="38BEF60D"/>
    <w:rsid w:val="38FCB78A"/>
    <w:rsid w:val="395AD382"/>
    <w:rsid w:val="3A3624E4"/>
    <w:rsid w:val="3B7880C8"/>
    <w:rsid w:val="3C3F49B4"/>
    <w:rsid w:val="3CD4BC91"/>
    <w:rsid w:val="3DDF4DDE"/>
    <w:rsid w:val="3F841E8A"/>
    <w:rsid w:val="406FDCF7"/>
    <w:rsid w:val="4343FE15"/>
    <w:rsid w:val="447CA0A4"/>
    <w:rsid w:val="463B0DED"/>
    <w:rsid w:val="4691E580"/>
    <w:rsid w:val="48298FD6"/>
    <w:rsid w:val="49EB4457"/>
    <w:rsid w:val="4A799487"/>
    <w:rsid w:val="4A8B331D"/>
    <w:rsid w:val="4B73155C"/>
    <w:rsid w:val="4B754032"/>
    <w:rsid w:val="4B82E99D"/>
    <w:rsid w:val="4B8BDBCD"/>
    <w:rsid w:val="4D56FE6E"/>
    <w:rsid w:val="4DA15B54"/>
    <w:rsid w:val="4E2C9E65"/>
    <w:rsid w:val="4E4D2F83"/>
    <w:rsid w:val="4E4F05AF"/>
    <w:rsid w:val="4E6ABB13"/>
    <w:rsid w:val="4F375EB8"/>
    <w:rsid w:val="505F4CF0"/>
    <w:rsid w:val="50AB8BD1"/>
    <w:rsid w:val="51605A85"/>
    <w:rsid w:val="51FB1D51"/>
    <w:rsid w:val="52F4B894"/>
    <w:rsid w:val="536DAFE3"/>
    <w:rsid w:val="53B0F797"/>
    <w:rsid w:val="5552FE1A"/>
    <w:rsid w:val="55A54EC9"/>
    <w:rsid w:val="5640F3EA"/>
    <w:rsid w:val="58161AB5"/>
    <w:rsid w:val="58268B43"/>
    <w:rsid w:val="586DF542"/>
    <w:rsid w:val="59120F4F"/>
    <w:rsid w:val="59946DF4"/>
    <w:rsid w:val="59FD82FA"/>
    <w:rsid w:val="5A09C5A3"/>
    <w:rsid w:val="5A0F27FB"/>
    <w:rsid w:val="5BDCA088"/>
    <w:rsid w:val="5C42D1BF"/>
    <w:rsid w:val="5E716A9B"/>
    <w:rsid w:val="5F5E46BF"/>
    <w:rsid w:val="5FF654CC"/>
    <w:rsid w:val="60C4A221"/>
    <w:rsid w:val="61CD6D89"/>
    <w:rsid w:val="61E11C51"/>
    <w:rsid w:val="63693DEA"/>
    <w:rsid w:val="6437EFE6"/>
    <w:rsid w:val="645D00DD"/>
    <w:rsid w:val="6468EF96"/>
    <w:rsid w:val="650A904C"/>
    <w:rsid w:val="6574D7F4"/>
    <w:rsid w:val="664578BE"/>
    <w:rsid w:val="66A0DEAC"/>
    <w:rsid w:val="6705D1BE"/>
    <w:rsid w:val="67C3F209"/>
    <w:rsid w:val="67F5A761"/>
    <w:rsid w:val="6865B48B"/>
    <w:rsid w:val="6A45AA22"/>
    <w:rsid w:val="6B41AF09"/>
    <w:rsid w:val="6BC65E48"/>
    <w:rsid w:val="6CDFD442"/>
    <w:rsid w:val="6D311F11"/>
    <w:rsid w:val="6DE087AE"/>
    <w:rsid w:val="6EA4B1A9"/>
    <w:rsid w:val="6EAEAF2B"/>
    <w:rsid w:val="6EB3F347"/>
    <w:rsid w:val="6FB95A9B"/>
    <w:rsid w:val="6FC03F89"/>
    <w:rsid w:val="70ABF57B"/>
    <w:rsid w:val="70B83A2D"/>
    <w:rsid w:val="71795247"/>
    <w:rsid w:val="71D8E241"/>
    <w:rsid w:val="71EB9409"/>
    <w:rsid w:val="72B7FF2D"/>
    <w:rsid w:val="7367670E"/>
    <w:rsid w:val="7387646A"/>
    <w:rsid w:val="73937579"/>
    <w:rsid w:val="73E8CD59"/>
    <w:rsid w:val="74285C63"/>
    <w:rsid w:val="742BE603"/>
    <w:rsid w:val="744C2A3E"/>
    <w:rsid w:val="7467E23B"/>
    <w:rsid w:val="74F3E162"/>
    <w:rsid w:val="75255FDA"/>
    <w:rsid w:val="752E553F"/>
    <w:rsid w:val="75996DE5"/>
    <w:rsid w:val="767B27FD"/>
    <w:rsid w:val="769F02F6"/>
    <w:rsid w:val="778A8242"/>
    <w:rsid w:val="77FD06B3"/>
    <w:rsid w:val="79445C42"/>
    <w:rsid w:val="7A4F63BD"/>
    <w:rsid w:val="7B07BF23"/>
    <w:rsid w:val="7B8A2F87"/>
    <w:rsid w:val="7C38A825"/>
    <w:rsid w:val="7E0749D4"/>
    <w:rsid w:val="7EC68B3C"/>
    <w:rsid w:val="7F2128DA"/>
    <w:rsid w:val="7F5191DF"/>
    <w:rsid w:val="7FC57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91587"/>
  <w15:chartTrackingRefBased/>
  <w15:docId w15:val="{CDF64B70-D944-4864-8547-4056952B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uiPriority="8"/>
    <w:lsdException w:name="List Number 3" w:uiPriority="8"/>
    <w:lsdException w:name="List Number 4" w:uiPriority="8"/>
    <w:lsdException w:name="List Number 5" w:uiPriority="8"/>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46"/>
    <w:pPr>
      <w:spacing w:before="200" w:after="200" w:line="276" w:lineRule="auto"/>
    </w:pPr>
    <w:rPr>
      <w:rFonts w:ascii="Segoe UI" w:hAnsi="Segoe UI"/>
      <w:sz w:val="20"/>
    </w:rPr>
  </w:style>
  <w:style w:type="paragraph" w:styleId="Heading1">
    <w:name w:val="heading 1"/>
    <w:next w:val="Normal"/>
    <w:link w:val="Heading1Char"/>
    <w:uiPriority w:val="9"/>
    <w:qFormat/>
    <w:rsid w:val="000D2F12"/>
    <w:pPr>
      <w:pageBreakBefore/>
      <w:spacing w:after="360" w:line="720" w:lineRule="exact"/>
      <w:outlineLvl w:val="0"/>
    </w:pPr>
    <w:rPr>
      <w:rFonts w:ascii="Sitka Display" w:eastAsiaTheme="majorEastAsia" w:hAnsi="Sitka Display" w:cstheme="majorBidi"/>
      <w:color w:val="1B5633"/>
      <w:spacing w:val="-20"/>
      <w:sz w:val="68"/>
      <w:szCs w:val="32"/>
    </w:rPr>
  </w:style>
  <w:style w:type="paragraph" w:styleId="Heading2">
    <w:name w:val="heading 2"/>
    <w:basedOn w:val="Heading1"/>
    <w:next w:val="Normal"/>
    <w:link w:val="Heading2Char"/>
    <w:uiPriority w:val="9"/>
    <w:qFormat/>
    <w:rsid w:val="00692326"/>
    <w:pPr>
      <w:keepNext/>
      <w:pageBreakBefore w:val="0"/>
      <w:numPr>
        <w:ilvl w:val="1"/>
        <w:numId w:val="8"/>
      </w:numPr>
      <w:spacing w:before="200" w:after="200" w:line="360" w:lineRule="exact"/>
      <w:outlineLvl w:val="1"/>
    </w:pPr>
    <w:rPr>
      <w:b/>
      <w:spacing w:val="0"/>
      <w:sz w:val="32"/>
      <w:szCs w:val="26"/>
    </w:rPr>
  </w:style>
  <w:style w:type="paragraph" w:styleId="Heading3">
    <w:name w:val="heading 3"/>
    <w:basedOn w:val="Heading2"/>
    <w:next w:val="Normal"/>
    <w:link w:val="Heading3Char"/>
    <w:uiPriority w:val="9"/>
    <w:qFormat/>
    <w:rsid w:val="00692326"/>
    <w:pPr>
      <w:numPr>
        <w:ilvl w:val="2"/>
      </w:numPr>
      <w:spacing w:line="260" w:lineRule="exact"/>
      <w:outlineLvl w:val="2"/>
    </w:pPr>
    <w:rPr>
      <w:rFonts w:ascii="Segoe UI" w:hAnsi="Segoe UI"/>
      <w:sz w:val="22"/>
      <w:szCs w:val="24"/>
    </w:rPr>
  </w:style>
  <w:style w:type="paragraph" w:styleId="Heading4">
    <w:name w:val="heading 4"/>
    <w:basedOn w:val="Heading3"/>
    <w:next w:val="Normal"/>
    <w:link w:val="Heading4Char"/>
    <w:uiPriority w:val="9"/>
    <w:qFormat/>
    <w:rsid w:val="00692326"/>
    <w:pPr>
      <w:numPr>
        <w:ilvl w:val="3"/>
      </w:numPr>
      <w:spacing w:line="240" w:lineRule="exact"/>
      <w:outlineLvl w:val="3"/>
    </w:pPr>
    <w:rPr>
      <w:b w:val="0"/>
      <w:i/>
      <w:iCs/>
      <w:sz w:val="20"/>
    </w:rPr>
  </w:style>
  <w:style w:type="paragraph" w:styleId="Heading5">
    <w:name w:val="heading 5"/>
    <w:basedOn w:val="Heading4"/>
    <w:next w:val="Normal"/>
    <w:link w:val="Heading5Char"/>
    <w:uiPriority w:val="9"/>
    <w:qFormat/>
    <w:rsid w:val="00692326"/>
    <w:pPr>
      <w:numPr>
        <w:ilvl w:val="4"/>
      </w:numPr>
      <w:outlineLvl w:val="4"/>
    </w:pPr>
    <w:rPr>
      <w:i w:val="0"/>
    </w:rPr>
  </w:style>
  <w:style w:type="paragraph" w:styleId="Heading6">
    <w:name w:val="heading 6"/>
    <w:basedOn w:val="Heading5"/>
    <w:next w:val="Normal"/>
    <w:link w:val="Heading6Char"/>
    <w:uiPriority w:val="9"/>
    <w:rsid w:val="00692326"/>
    <w:pPr>
      <w:numPr>
        <w:ilvl w:val="5"/>
      </w:numPr>
      <w:outlineLvl w:val="5"/>
    </w:pPr>
    <w:rPr>
      <w:i/>
      <w:u w:val="single"/>
    </w:rPr>
  </w:style>
  <w:style w:type="paragraph" w:styleId="Heading7">
    <w:name w:val="heading 7"/>
    <w:basedOn w:val="Heading6"/>
    <w:next w:val="Normal"/>
    <w:link w:val="Heading7Char"/>
    <w:uiPriority w:val="9"/>
    <w:semiHidden/>
    <w:rsid w:val="00692326"/>
    <w:pPr>
      <w:numPr>
        <w:ilvl w:val="6"/>
      </w:numPr>
      <w:outlineLvl w:val="6"/>
    </w:pPr>
    <w:rPr>
      <w:i w:val="0"/>
      <w:iCs w:val="0"/>
      <w:color w:val="8DC642"/>
      <w:sz w:val="22"/>
    </w:rPr>
  </w:style>
  <w:style w:type="paragraph" w:styleId="Heading8">
    <w:name w:val="heading 8"/>
    <w:basedOn w:val="Heading7"/>
    <w:next w:val="Normal"/>
    <w:link w:val="Heading8Char"/>
    <w:uiPriority w:val="9"/>
    <w:semiHidden/>
    <w:rsid w:val="00692326"/>
    <w:pPr>
      <w:numPr>
        <w:ilvl w:val="7"/>
      </w:numPr>
      <w:outlineLvl w:val="7"/>
    </w:pPr>
    <w:rPr>
      <w:i/>
      <w:szCs w:val="21"/>
    </w:rPr>
  </w:style>
  <w:style w:type="paragraph" w:styleId="Heading9">
    <w:name w:val="heading 9"/>
    <w:basedOn w:val="Heading8"/>
    <w:next w:val="Normal"/>
    <w:link w:val="Heading9Char"/>
    <w:uiPriority w:val="9"/>
    <w:semiHidden/>
    <w:rsid w:val="00692326"/>
    <w:pPr>
      <w:numPr>
        <w:ilvl w:val="8"/>
      </w:numPr>
      <w:outlineLvl w:val="8"/>
    </w:pPr>
    <w:rPr>
      <w:i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92326"/>
    <w:pPr>
      <w:spacing w:before="0" w:after="0" w:line="240" w:lineRule="auto"/>
    </w:pPr>
  </w:style>
  <w:style w:type="character" w:customStyle="1" w:styleId="Heading1Char">
    <w:name w:val="Heading 1 Char"/>
    <w:basedOn w:val="DefaultParagraphFont"/>
    <w:link w:val="Heading1"/>
    <w:uiPriority w:val="9"/>
    <w:rsid w:val="00692326"/>
    <w:rPr>
      <w:rFonts w:ascii="Sitka Display" w:eastAsiaTheme="majorEastAsia" w:hAnsi="Sitka Display" w:cstheme="majorBidi"/>
      <w:color w:val="1B5633"/>
      <w:spacing w:val="-20"/>
      <w:sz w:val="68"/>
      <w:szCs w:val="32"/>
    </w:rPr>
  </w:style>
  <w:style w:type="character" w:customStyle="1" w:styleId="Heading2Char">
    <w:name w:val="Heading 2 Char"/>
    <w:basedOn w:val="DefaultParagraphFont"/>
    <w:link w:val="Heading2"/>
    <w:uiPriority w:val="9"/>
    <w:rsid w:val="00692326"/>
    <w:rPr>
      <w:rFonts w:ascii="Sitka Display" w:eastAsiaTheme="majorEastAsia" w:hAnsi="Sitka Display" w:cstheme="majorBidi"/>
      <w:b/>
      <w:color w:val="1B5633"/>
      <w:sz w:val="32"/>
      <w:szCs w:val="26"/>
    </w:rPr>
  </w:style>
  <w:style w:type="paragraph" w:styleId="Header">
    <w:name w:val="header"/>
    <w:link w:val="HeaderChar"/>
    <w:uiPriority w:val="99"/>
    <w:unhideWhenUsed/>
    <w:rsid w:val="00692326"/>
    <w:pPr>
      <w:spacing w:after="0" w:line="240" w:lineRule="auto"/>
    </w:pPr>
    <w:rPr>
      <w:rFonts w:ascii="Segoe UI" w:hAnsi="Segoe UI"/>
      <w:color w:val="849895"/>
      <w:sz w:val="19"/>
    </w:rPr>
  </w:style>
  <w:style w:type="character" w:customStyle="1" w:styleId="HeaderChar">
    <w:name w:val="Header Char"/>
    <w:basedOn w:val="DefaultParagraphFont"/>
    <w:link w:val="Header"/>
    <w:uiPriority w:val="99"/>
    <w:rsid w:val="00692326"/>
    <w:rPr>
      <w:rFonts w:ascii="Segoe UI" w:hAnsi="Segoe UI"/>
      <w:color w:val="849895"/>
      <w:sz w:val="19"/>
    </w:rPr>
  </w:style>
  <w:style w:type="paragraph" w:styleId="Footer">
    <w:name w:val="footer"/>
    <w:link w:val="FooterChar"/>
    <w:uiPriority w:val="99"/>
    <w:unhideWhenUsed/>
    <w:rsid w:val="00692326"/>
    <w:pPr>
      <w:spacing w:after="0" w:line="240" w:lineRule="auto"/>
    </w:pPr>
    <w:rPr>
      <w:rFonts w:ascii="Segoe UI" w:hAnsi="Segoe UI"/>
      <w:color w:val="849895"/>
      <w:sz w:val="19"/>
    </w:rPr>
  </w:style>
  <w:style w:type="character" w:customStyle="1" w:styleId="FooterChar">
    <w:name w:val="Footer Char"/>
    <w:basedOn w:val="DefaultParagraphFont"/>
    <w:link w:val="Footer"/>
    <w:uiPriority w:val="99"/>
    <w:rsid w:val="00692326"/>
    <w:rPr>
      <w:rFonts w:ascii="Segoe UI" w:hAnsi="Segoe UI"/>
      <w:color w:val="849895"/>
      <w:sz w:val="19"/>
    </w:rPr>
  </w:style>
  <w:style w:type="character" w:customStyle="1" w:styleId="Heading3Char">
    <w:name w:val="Heading 3 Char"/>
    <w:basedOn w:val="DefaultParagraphFont"/>
    <w:link w:val="Heading3"/>
    <w:uiPriority w:val="9"/>
    <w:rsid w:val="00692326"/>
    <w:rPr>
      <w:rFonts w:ascii="Segoe UI" w:eastAsiaTheme="majorEastAsia" w:hAnsi="Segoe UI" w:cstheme="majorBidi"/>
      <w:b/>
      <w:color w:val="1B5633"/>
      <w:szCs w:val="24"/>
    </w:rPr>
  </w:style>
  <w:style w:type="table" w:styleId="TableGrid">
    <w:name w:val="Table Grid"/>
    <w:basedOn w:val="TableNormal"/>
    <w:uiPriority w:val="39"/>
    <w:rsid w:val="00692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Table19">
    <w:name w:val="FPTable19"/>
    <w:basedOn w:val="TableNormal"/>
    <w:uiPriority w:val="99"/>
    <w:rsid w:val="00692326"/>
    <w:pPr>
      <w:spacing w:after="0" w:line="240" w:lineRule="auto"/>
    </w:pPr>
    <w:rPr>
      <w:rFonts w:ascii="Segoe UI" w:hAnsi="Segoe UI"/>
      <w:sz w:val="20"/>
    </w:rPr>
    <w:tblPr>
      <w:tblStyleRowBandSize w:val="1"/>
      <w:tblBorders>
        <w:bottom w:val="single" w:sz="12"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rPr>
      <w:cantSplit/>
    </w:trPr>
    <w:tcPr>
      <w:vAlign w:val="center"/>
    </w:tcPr>
    <w:tblStylePr w:type="firstRow">
      <w:tblPr/>
      <w:tcPr>
        <w:tcBorders>
          <w:top w:val="nil"/>
          <w:left w:val="nil"/>
          <w:bottom w:val="nil"/>
          <w:right w:val="nil"/>
          <w:insideH w:val="nil"/>
          <w:insideV w:val="nil"/>
          <w:tl2br w:val="nil"/>
          <w:tr2bl w:val="nil"/>
        </w:tcBorders>
        <w:shd w:val="clear" w:color="auto" w:fill="48773C"/>
      </w:tcPr>
    </w:tblStylePr>
    <w:tblStylePr w:type="firstCol">
      <w:pPr>
        <w:jc w:val="left"/>
      </w:pPr>
    </w:tblStylePr>
    <w:tblStylePr w:type="band2Horz">
      <w:tblPr/>
      <w:tcPr>
        <w:shd w:val="clear" w:color="auto" w:fill="F1F5F3"/>
      </w:tcPr>
    </w:tblStylePr>
  </w:style>
  <w:style w:type="paragraph" w:styleId="Caption">
    <w:name w:val="caption"/>
    <w:basedOn w:val="Normal"/>
    <w:next w:val="Normal"/>
    <w:link w:val="CaptionChar"/>
    <w:uiPriority w:val="35"/>
    <w:qFormat/>
    <w:rsid w:val="00692326"/>
    <w:pPr>
      <w:pageBreakBefore/>
      <w:spacing w:before="0" w:line="240" w:lineRule="auto"/>
    </w:pPr>
    <w:rPr>
      <w:rFonts w:ascii="Sitka Subheading" w:hAnsi="Sitka Subheading"/>
      <w:i/>
      <w:iCs/>
      <w:color w:val="414042"/>
      <w:sz w:val="22"/>
      <w:szCs w:val="18"/>
    </w:rPr>
  </w:style>
  <w:style w:type="paragraph" w:styleId="ListBullet">
    <w:name w:val="List Bullet"/>
    <w:basedOn w:val="Normal"/>
    <w:uiPriority w:val="8"/>
    <w:qFormat/>
    <w:rsid w:val="00692326"/>
    <w:pPr>
      <w:numPr>
        <w:numId w:val="10"/>
      </w:numPr>
      <w:spacing w:before="0" w:after="120" w:line="264" w:lineRule="auto"/>
      <w:contextualSpacing/>
    </w:pPr>
  </w:style>
  <w:style w:type="numbering" w:customStyle="1" w:styleId="ListBullets">
    <w:name w:val="ListBullets"/>
    <w:uiPriority w:val="99"/>
    <w:rsid w:val="00692326"/>
    <w:pPr>
      <w:numPr>
        <w:numId w:val="7"/>
      </w:numPr>
    </w:pPr>
  </w:style>
  <w:style w:type="numbering" w:customStyle="1" w:styleId="ListNumbers">
    <w:name w:val="ListNumbers"/>
    <w:uiPriority w:val="99"/>
    <w:rsid w:val="00692326"/>
    <w:pPr>
      <w:numPr>
        <w:numId w:val="9"/>
      </w:numPr>
    </w:pPr>
  </w:style>
  <w:style w:type="paragraph" w:styleId="ListBullet2">
    <w:name w:val="List Bullet 2"/>
    <w:basedOn w:val="ListBullet"/>
    <w:uiPriority w:val="8"/>
    <w:rsid w:val="00692326"/>
    <w:pPr>
      <w:numPr>
        <w:ilvl w:val="1"/>
        <w:numId w:val="7"/>
      </w:numPr>
      <w:tabs>
        <w:tab w:val="num" w:pos="720"/>
      </w:tabs>
    </w:pPr>
  </w:style>
  <w:style w:type="paragraph" w:styleId="ListBullet3">
    <w:name w:val="List Bullet 3"/>
    <w:basedOn w:val="ListBullet2"/>
    <w:uiPriority w:val="8"/>
    <w:rsid w:val="00692326"/>
    <w:pPr>
      <w:numPr>
        <w:ilvl w:val="2"/>
      </w:numPr>
      <w:tabs>
        <w:tab w:val="num" w:pos="1080"/>
      </w:tabs>
    </w:pPr>
  </w:style>
  <w:style w:type="paragraph" w:styleId="ListBullet4">
    <w:name w:val="List Bullet 4"/>
    <w:basedOn w:val="ListBullet3"/>
    <w:uiPriority w:val="8"/>
    <w:unhideWhenUsed/>
    <w:rsid w:val="00692326"/>
    <w:pPr>
      <w:numPr>
        <w:ilvl w:val="3"/>
      </w:numPr>
      <w:tabs>
        <w:tab w:val="num" w:pos="1440"/>
      </w:tabs>
    </w:pPr>
  </w:style>
  <w:style w:type="paragraph" w:styleId="ListBullet5">
    <w:name w:val="List Bullet 5"/>
    <w:basedOn w:val="ListBullet4"/>
    <w:uiPriority w:val="8"/>
    <w:unhideWhenUsed/>
    <w:rsid w:val="00692326"/>
    <w:pPr>
      <w:numPr>
        <w:ilvl w:val="4"/>
      </w:numPr>
      <w:tabs>
        <w:tab w:val="num" w:pos="1800"/>
      </w:tabs>
    </w:pPr>
  </w:style>
  <w:style w:type="character" w:styleId="Hyperlink">
    <w:name w:val="Hyperlink"/>
    <w:basedOn w:val="DefaultParagraphFont"/>
    <w:uiPriority w:val="99"/>
    <w:unhideWhenUsed/>
    <w:rsid w:val="00692326"/>
    <w:rPr>
      <w:color w:val="0563C1" w:themeColor="hyperlink"/>
      <w:u w:val="single"/>
    </w:rPr>
  </w:style>
  <w:style w:type="paragraph" w:styleId="ListNumber">
    <w:name w:val="List Number"/>
    <w:basedOn w:val="Normal"/>
    <w:uiPriority w:val="8"/>
    <w:qFormat/>
    <w:rsid w:val="00692326"/>
    <w:pPr>
      <w:numPr>
        <w:numId w:val="6"/>
      </w:numPr>
      <w:spacing w:before="0" w:after="120" w:line="264" w:lineRule="auto"/>
      <w:contextualSpacing/>
    </w:pPr>
  </w:style>
  <w:style w:type="paragraph" w:styleId="ListNumber2">
    <w:name w:val="List Number 2"/>
    <w:basedOn w:val="ListNumber"/>
    <w:uiPriority w:val="8"/>
    <w:rsid w:val="00692326"/>
    <w:pPr>
      <w:numPr>
        <w:ilvl w:val="1"/>
      </w:numPr>
    </w:pPr>
  </w:style>
  <w:style w:type="paragraph" w:styleId="ListNumber3">
    <w:name w:val="List Number 3"/>
    <w:basedOn w:val="ListNumber2"/>
    <w:uiPriority w:val="8"/>
    <w:rsid w:val="00692326"/>
    <w:pPr>
      <w:numPr>
        <w:ilvl w:val="2"/>
      </w:numPr>
    </w:pPr>
  </w:style>
  <w:style w:type="paragraph" w:styleId="ListNumber4">
    <w:name w:val="List Number 4"/>
    <w:basedOn w:val="ListNumber3"/>
    <w:uiPriority w:val="8"/>
    <w:unhideWhenUsed/>
    <w:rsid w:val="00692326"/>
    <w:pPr>
      <w:numPr>
        <w:ilvl w:val="3"/>
      </w:numPr>
    </w:pPr>
  </w:style>
  <w:style w:type="paragraph" w:styleId="ListNumber5">
    <w:name w:val="List Number 5"/>
    <w:basedOn w:val="ListNumber4"/>
    <w:uiPriority w:val="8"/>
    <w:unhideWhenUsed/>
    <w:rsid w:val="00692326"/>
    <w:pPr>
      <w:numPr>
        <w:ilvl w:val="4"/>
        <w:numId w:val="9"/>
      </w:numPr>
    </w:pPr>
  </w:style>
  <w:style w:type="paragraph" w:styleId="TOC1">
    <w:name w:val="toc 1"/>
    <w:next w:val="Normal"/>
    <w:autoRedefine/>
    <w:uiPriority w:val="39"/>
    <w:unhideWhenUsed/>
    <w:rsid w:val="00692326"/>
    <w:pPr>
      <w:tabs>
        <w:tab w:val="left" w:pos="360"/>
        <w:tab w:val="right" w:leader="dot" w:pos="9360"/>
      </w:tabs>
      <w:spacing w:before="200" w:after="100" w:line="240" w:lineRule="auto"/>
    </w:pPr>
    <w:rPr>
      <w:rFonts w:ascii="Segoe UI" w:hAnsi="Segoe UI"/>
      <w:b/>
      <w:color w:val="414042"/>
    </w:rPr>
  </w:style>
  <w:style w:type="paragraph" w:styleId="TOC2">
    <w:name w:val="toc 2"/>
    <w:basedOn w:val="TOC1"/>
    <w:next w:val="Normal"/>
    <w:autoRedefine/>
    <w:uiPriority w:val="39"/>
    <w:unhideWhenUsed/>
    <w:rsid w:val="00692326"/>
    <w:pPr>
      <w:tabs>
        <w:tab w:val="clear" w:pos="360"/>
      </w:tabs>
      <w:spacing w:before="100"/>
      <w:ind w:left="360"/>
    </w:pPr>
    <w:rPr>
      <w:b w:val="0"/>
      <w:sz w:val="20"/>
    </w:rPr>
  </w:style>
  <w:style w:type="paragraph" w:styleId="TOC3">
    <w:name w:val="toc 3"/>
    <w:basedOn w:val="TOC2"/>
    <w:next w:val="Normal"/>
    <w:autoRedefine/>
    <w:uiPriority w:val="39"/>
    <w:unhideWhenUsed/>
    <w:rsid w:val="00692326"/>
    <w:pPr>
      <w:ind w:left="720"/>
    </w:pPr>
  </w:style>
  <w:style w:type="paragraph" w:styleId="TOC4">
    <w:name w:val="toc 4"/>
    <w:basedOn w:val="TOC3"/>
    <w:next w:val="Normal"/>
    <w:autoRedefine/>
    <w:uiPriority w:val="39"/>
    <w:semiHidden/>
    <w:unhideWhenUsed/>
    <w:rsid w:val="00692326"/>
    <w:pPr>
      <w:ind w:left="1080"/>
    </w:pPr>
  </w:style>
  <w:style w:type="paragraph" w:styleId="TOC5">
    <w:name w:val="toc 5"/>
    <w:basedOn w:val="TOC4"/>
    <w:next w:val="Normal"/>
    <w:autoRedefine/>
    <w:uiPriority w:val="39"/>
    <w:semiHidden/>
    <w:unhideWhenUsed/>
    <w:rsid w:val="00692326"/>
    <w:pPr>
      <w:ind w:left="1440"/>
    </w:pPr>
  </w:style>
  <w:style w:type="paragraph" w:styleId="TOC6">
    <w:name w:val="toc 6"/>
    <w:basedOn w:val="TOC5"/>
    <w:next w:val="Normal"/>
    <w:autoRedefine/>
    <w:uiPriority w:val="39"/>
    <w:semiHidden/>
    <w:unhideWhenUsed/>
    <w:rsid w:val="00692326"/>
    <w:pPr>
      <w:ind w:left="1800"/>
    </w:pPr>
  </w:style>
  <w:style w:type="paragraph" w:styleId="TOC7">
    <w:name w:val="toc 7"/>
    <w:basedOn w:val="TOC6"/>
    <w:next w:val="Normal"/>
    <w:autoRedefine/>
    <w:uiPriority w:val="39"/>
    <w:semiHidden/>
    <w:unhideWhenUsed/>
    <w:rsid w:val="00692326"/>
    <w:pPr>
      <w:ind w:left="2160"/>
    </w:pPr>
  </w:style>
  <w:style w:type="paragraph" w:styleId="TOC8">
    <w:name w:val="toc 8"/>
    <w:basedOn w:val="TOC7"/>
    <w:next w:val="Normal"/>
    <w:autoRedefine/>
    <w:uiPriority w:val="39"/>
    <w:semiHidden/>
    <w:unhideWhenUsed/>
    <w:rsid w:val="00692326"/>
    <w:pPr>
      <w:ind w:left="2520"/>
    </w:pPr>
  </w:style>
  <w:style w:type="paragraph" w:styleId="TOC9">
    <w:name w:val="toc 9"/>
    <w:basedOn w:val="TOC8"/>
    <w:next w:val="Normal"/>
    <w:autoRedefine/>
    <w:uiPriority w:val="39"/>
    <w:semiHidden/>
    <w:unhideWhenUsed/>
    <w:rsid w:val="00692326"/>
    <w:pPr>
      <w:ind w:left="2880"/>
    </w:pPr>
  </w:style>
  <w:style w:type="paragraph" w:customStyle="1" w:styleId="HeadingOther">
    <w:name w:val="Heading Other"/>
    <w:basedOn w:val="Subheading"/>
    <w:next w:val="NoSpacing"/>
    <w:uiPriority w:val="9"/>
    <w:qFormat/>
    <w:rsid w:val="00692326"/>
    <w:pPr>
      <w:pBdr>
        <w:bottom w:val="single" w:sz="8" w:space="0" w:color="1B5633"/>
      </w:pBdr>
      <w:spacing w:after="0"/>
      <w:outlineLvl w:val="9"/>
    </w:pPr>
    <w:rPr>
      <w:b w:val="0"/>
      <w:sz w:val="32"/>
    </w:rPr>
  </w:style>
  <w:style w:type="character" w:customStyle="1" w:styleId="Heading4Char">
    <w:name w:val="Heading 4 Char"/>
    <w:basedOn w:val="DefaultParagraphFont"/>
    <w:link w:val="Heading4"/>
    <w:uiPriority w:val="9"/>
    <w:rsid w:val="00692326"/>
    <w:rPr>
      <w:rFonts w:ascii="Segoe UI" w:eastAsiaTheme="majorEastAsia" w:hAnsi="Segoe UI" w:cstheme="majorBidi"/>
      <w:i/>
      <w:iCs/>
      <w:color w:val="1B5633"/>
      <w:sz w:val="20"/>
      <w:szCs w:val="24"/>
    </w:rPr>
  </w:style>
  <w:style w:type="paragraph" w:styleId="TableofFigures">
    <w:name w:val="table of figures"/>
    <w:next w:val="Normal"/>
    <w:uiPriority w:val="99"/>
    <w:unhideWhenUsed/>
    <w:rsid w:val="00692326"/>
    <w:pPr>
      <w:spacing w:before="100" w:after="100" w:line="240" w:lineRule="auto"/>
      <w:ind w:left="1080" w:hanging="1080"/>
    </w:pPr>
    <w:rPr>
      <w:rFonts w:ascii="Segoe UI" w:hAnsi="Segoe UI"/>
      <w:color w:val="2D2D2C"/>
      <w:sz w:val="20"/>
    </w:rPr>
  </w:style>
  <w:style w:type="paragraph" w:customStyle="1" w:styleId="TableText">
    <w:name w:val="Table Text"/>
    <w:basedOn w:val="NoSpacing"/>
    <w:uiPriority w:val="10"/>
    <w:qFormat/>
    <w:rsid w:val="00692326"/>
    <w:rPr>
      <w:sz w:val="18"/>
    </w:rPr>
  </w:style>
  <w:style w:type="paragraph" w:customStyle="1" w:styleId="TableSource-Notes">
    <w:name w:val="Table Source-Notes"/>
    <w:basedOn w:val="TableText"/>
    <w:next w:val="Normal"/>
    <w:uiPriority w:val="10"/>
    <w:qFormat/>
    <w:rsid w:val="00692326"/>
    <w:pPr>
      <w:spacing w:before="40" w:after="480"/>
      <w:contextualSpacing/>
    </w:pPr>
    <w:rPr>
      <w:sz w:val="16"/>
    </w:rPr>
  </w:style>
  <w:style w:type="paragraph" w:customStyle="1" w:styleId="TableColumnHeading">
    <w:name w:val="Table Column Heading"/>
    <w:basedOn w:val="TableText"/>
    <w:uiPriority w:val="10"/>
    <w:qFormat/>
    <w:rsid w:val="00692326"/>
    <w:pPr>
      <w:spacing w:before="20" w:after="20"/>
    </w:pPr>
    <w:rPr>
      <w:b/>
      <w:color w:val="FFFFFF" w:themeColor="background1"/>
    </w:rPr>
  </w:style>
  <w:style w:type="paragraph" w:customStyle="1" w:styleId="TableTitle">
    <w:name w:val="Table Title"/>
    <w:basedOn w:val="TableText"/>
    <w:uiPriority w:val="10"/>
    <w:qFormat/>
    <w:rsid w:val="00692326"/>
    <w:pPr>
      <w:keepNext/>
      <w:spacing w:before="200" w:after="60"/>
    </w:pPr>
    <w:rPr>
      <w:b/>
      <w:sz w:val="22"/>
    </w:rPr>
  </w:style>
  <w:style w:type="paragraph" w:customStyle="1" w:styleId="TableRowHeading">
    <w:name w:val="Table Row Heading"/>
    <w:basedOn w:val="TableText"/>
    <w:uiPriority w:val="10"/>
    <w:qFormat/>
    <w:rsid w:val="00692326"/>
    <w:rPr>
      <w:b/>
      <w:i/>
    </w:rPr>
  </w:style>
  <w:style w:type="paragraph" w:styleId="FootnoteText">
    <w:name w:val="footnote text"/>
    <w:basedOn w:val="Normal"/>
    <w:link w:val="FootnoteTextChar"/>
    <w:uiPriority w:val="99"/>
    <w:rsid w:val="00692326"/>
    <w:pPr>
      <w:keepLines/>
      <w:spacing w:before="0" w:after="0" w:line="240" w:lineRule="exact"/>
      <w:ind w:left="144" w:hanging="144"/>
    </w:pPr>
    <w:rPr>
      <w:color w:val="7F7F7F" w:themeColor="text1" w:themeTint="80"/>
      <w:sz w:val="18"/>
      <w:szCs w:val="20"/>
    </w:rPr>
  </w:style>
  <w:style w:type="character" w:customStyle="1" w:styleId="FootnoteTextChar">
    <w:name w:val="Footnote Text Char"/>
    <w:basedOn w:val="DefaultParagraphFont"/>
    <w:link w:val="FootnoteText"/>
    <w:uiPriority w:val="99"/>
    <w:rsid w:val="00692326"/>
    <w:rPr>
      <w:rFonts w:ascii="Segoe UI" w:hAnsi="Segoe UI"/>
      <w:color w:val="7F7F7F" w:themeColor="text1" w:themeTint="80"/>
      <w:sz w:val="18"/>
      <w:szCs w:val="20"/>
    </w:rPr>
  </w:style>
  <w:style w:type="character" w:styleId="FootnoteReference">
    <w:name w:val="footnote reference"/>
    <w:basedOn w:val="DefaultParagraphFont"/>
    <w:uiPriority w:val="99"/>
    <w:semiHidden/>
    <w:unhideWhenUsed/>
    <w:rsid w:val="00692326"/>
    <w:rPr>
      <w:vertAlign w:val="superscript"/>
    </w:rPr>
  </w:style>
  <w:style w:type="character" w:customStyle="1" w:styleId="Heading5Char">
    <w:name w:val="Heading 5 Char"/>
    <w:basedOn w:val="DefaultParagraphFont"/>
    <w:link w:val="Heading5"/>
    <w:uiPriority w:val="9"/>
    <w:rsid w:val="00692326"/>
    <w:rPr>
      <w:rFonts w:ascii="Segoe UI" w:eastAsiaTheme="majorEastAsia" w:hAnsi="Segoe UI" w:cstheme="majorBidi"/>
      <w:iCs/>
      <w:color w:val="1B5633"/>
      <w:sz w:val="20"/>
      <w:szCs w:val="24"/>
    </w:rPr>
  </w:style>
  <w:style w:type="character" w:customStyle="1" w:styleId="Heading6Char">
    <w:name w:val="Heading 6 Char"/>
    <w:basedOn w:val="DefaultParagraphFont"/>
    <w:link w:val="Heading6"/>
    <w:uiPriority w:val="9"/>
    <w:rsid w:val="00692326"/>
    <w:rPr>
      <w:rFonts w:ascii="Segoe UI" w:eastAsiaTheme="majorEastAsia" w:hAnsi="Segoe UI" w:cstheme="majorBidi"/>
      <w:i/>
      <w:iCs/>
      <w:color w:val="1B5633"/>
      <w:sz w:val="20"/>
      <w:szCs w:val="24"/>
      <w:u w:val="single"/>
    </w:rPr>
  </w:style>
  <w:style w:type="character" w:customStyle="1" w:styleId="Heading7Char">
    <w:name w:val="Heading 7 Char"/>
    <w:basedOn w:val="DefaultParagraphFont"/>
    <w:link w:val="Heading7"/>
    <w:uiPriority w:val="9"/>
    <w:semiHidden/>
    <w:rsid w:val="00692326"/>
    <w:rPr>
      <w:rFonts w:ascii="Segoe UI" w:eastAsiaTheme="majorEastAsia" w:hAnsi="Segoe UI" w:cstheme="majorBidi"/>
      <w:color w:val="8DC642"/>
      <w:szCs w:val="24"/>
      <w:u w:val="single"/>
    </w:rPr>
  </w:style>
  <w:style w:type="character" w:customStyle="1" w:styleId="Heading8Char">
    <w:name w:val="Heading 8 Char"/>
    <w:basedOn w:val="DefaultParagraphFont"/>
    <w:link w:val="Heading8"/>
    <w:uiPriority w:val="9"/>
    <w:semiHidden/>
    <w:rsid w:val="00692326"/>
    <w:rPr>
      <w:rFonts w:ascii="Segoe UI" w:eastAsiaTheme="majorEastAsia" w:hAnsi="Segoe UI" w:cstheme="majorBidi"/>
      <w:i/>
      <w:color w:val="8DC642"/>
      <w:szCs w:val="21"/>
      <w:u w:val="single"/>
    </w:rPr>
  </w:style>
  <w:style w:type="character" w:customStyle="1" w:styleId="Heading9Char">
    <w:name w:val="Heading 9 Char"/>
    <w:basedOn w:val="DefaultParagraphFont"/>
    <w:link w:val="Heading9"/>
    <w:uiPriority w:val="9"/>
    <w:semiHidden/>
    <w:rsid w:val="00692326"/>
    <w:rPr>
      <w:rFonts w:ascii="Segoe UI" w:eastAsiaTheme="majorEastAsia" w:hAnsi="Segoe UI" w:cstheme="majorBidi"/>
      <w:iCs/>
      <w:color w:val="8DC642"/>
      <w:sz w:val="20"/>
      <w:szCs w:val="21"/>
      <w:u w:val="single"/>
    </w:rPr>
  </w:style>
  <w:style w:type="paragraph" w:customStyle="1" w:styleId="DividerPage">
    <w:name w:val="Divider Page"/>
    <w:basedOn w:val="Subheading"/>
    <w:next w:val="Normal"/>
    <w:uiPriority w:val="35"/>
    <w:qFormat/>
    <w:rsid w:val="00692326"/>
    <w:pPr>
      <w:pageBreakBefore/>
      <w:outlineLvl w:val="9"/>
    </w:pPr>
    <w:rPr>
      <w:color w:val="849895"/>
      <w:sz w:val="56"/>
    </w:rPr>
  </w:style>
  <w:style w:type="character" w:customStyle="1" w:styleId="CaptionChar">
    <w:name w:val="Caption Char"/>
    <w:basedOn w:val="DefaultParagraphFont"/>
    <w:link w:val="Caption"/>
    <w:uiPriority w:val="35"/>
    <w:rsid w:val="00692326"/>
    <w:rPr>
      <w:rFonts w:ascii="Sitka Subheading" w:hAnsi="Sitka Subheading"/>
      <w:i/>
      <w:iCs/>
      <w:color w:val="414042"/>
      <w:szCs w:val="18"/>
    </w:rPr>
  </w:style>
  <w:style w:type="paragraph" w:styleId="BalloonText">
    <w:name w:val="Balloon Text"/>
    <w:basedOn w:val="Normal"/>
    <w:link w:val="BalloonTextChar"/>
    <w:uiPriority w:val="99"/>
    <w:semiHidden/>
    <w:unhideWhenUsed/>
    <w:rsid w:val="00692326"/>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92326"/>
    <w:rPr>
      <w:rFonts w:ascii="Segoe UI" w:hAnsi="Segoe UI" w:cs="Segoe UI"/>
      <w:sz w:val="18"/>
      <w:szCs w:val="18"/>
    </w:rPr>
  </w:style>
  <w:style w:type="numbering" w:customStyle="1" w:styleId="ListHeads">
    <w:name w:val="ListHeads"/>
    <w:uiPriority w:val="99"/>
    <w:rsid w:val="00692326"/>
    <w:pPr>
      <w:numPr>
        <w:numId w:val="8"/>
      </w:numPr>
    </w:pPr>
  </w:style>
  <w:style w:type="paragraph" w:styleId="TableofAuthorities">
    <w:name w:val="table of authorities"/>
    <w:basedOn w:val="Normal"/>
    <w:next w:val="Normal"/>
    <w:uiPriority w:val="99"/>
    <w:semiHidden/>
    <w:unhideWhenUsed/>
    <w:rsid w:val="00692326"/>
    <w:pPr>
      <w:spacing w:after="0"/>
      <w:ind w:left="200" w:hanging="200"/>
    </w:pPr>
  </w:style>
  <w:style w:type="paragraph" w:styleId="TOAHeading">
    <w:name w:val="toa heading"/>
    <w:basedOn w:val="Normal"/>
    <w:next w:val="Normal"/>
    <w:uiPriority w:val="99"/>
    <w:semiHidden/>
    <w:unhideWhenUsed/>
    <w:rsid w:val="00692326"/>
    <w:pPr>
      <w:spacing w:before="120"/>
    </w:pPr>
    <w:rPr>
      <w:rFonts w:asciiTheme="majorHAnsi" w:eastAsiaTheme="majorEastAsia" w:hAnsiTheme="majorHAnsi" w:cstheme="majorBidi"/>
      <w:b/>
      <w:bCs/>
      <w:sz w:val="24"/>
      <w:szCs w:val="24"/>
    </w:rPr>
  </w:style>
  <w:style w:type="paragraph" w:customStyle="1" w:styleId="Subheading">
    <w:name w:val="Subheading"/>
    <w:basedOn w:val="Heading2"/>
    <w:next w:val="Normal"/>
    <w:uiPriority w:val="9"/>
    <w:qFormat/>
    <w:rsid w:val="00692326"/>
    <w:pPr>
      <w:spacing w:before="0" w:after="360" w:line="240" w:lineRule="auto"/>
    </w:pPr>
    <w:rPr>
      <w:sz w:val="36"/>
    </w:rPr>
  </w:style>
  <w:style w:type="table" w:customStyle="1" w:styleId="FPTable19Plain">
    <w:name w:val="FPTable19Plain"/>
    <w:basedOn w:val="TableNormal"/>
    <w:uiPriority w:val="99"/>
    <w:rsid w:val="00692326"/>
    <w:pPr>
      <w:spacing w:after="0" w:line="240" w:lineRule="auto"/>
    </w:pPr>
    <w:rPr>
      <w:rFonts w:ascii="Segoe UI" w:hAnsi="Segoe UI"/>
      <w:sz w:val="20"/>
    </w:rPr>
    <w:tblPr>
      <w:tblBorders>
        <w:bottom w:val="single" w:sz="12"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rPr>
      <w:cantSplit/>
    </w:trPr>
    <w:tcPr>
      <w:vAlign w:val="center"/>
    </w:tcPr>
  </w:style>
  <w:style w:type="paragraph" w:styleId="ListParagraph">
    <w:name w:val="List Paragraph"/>
    <w:basedOn w:val="Normal"/>
    <w:uiPriority w:val="34"/>
    <w:unhideWhenUsed/>
    <w:qFormat/>
    <w:rsid w:val="00B3340C"/>
    <w:pPr>
      <w:ind w:left="720"/>
      <w:contextualSpacing/>
    </w:pPr>
  </w:style>
  <w:style w:type="character" w:styleId="CommentReference">
    <w:name w:val="annotation reference"/>
    <w:basedOn w:val="DefaultParagraphFont"/>
    <w:uiPriority w:val="99"/>
    <w:semiHidden/>
    <w:unhideWhenUsed/>
    <w:rsid w:val="005D1E8E"/>
    <w:rPr>
      <w:sz w:val="16"/>
      <w:szCs w:val="16"/>
    </w:rPr>
  </w:style>
  <w:style w:type="paragraph" w:styleId="CommentText">
    <w:name w:val="annotation text"/>
    <w:basedOn w:val="Normal"/>
    <w:link w:val="CommentTextChar"/>
    <w:uiPriority w:val="99"/>
    <w:unhideWhenUsed/>
    <w:rsid w:val="005D1E8E"/>
    <w:pPr>
      <w:spacing w:line="240" w:lineRule="auto"/>
    </w:pPr>
    <w:rPr>
      <w:szCs w:val="20"/>
    </w:rPr>
  </w:style>
  <w:style w:type="character" w:customStyle="1" w:styleId="CommentTextChar">
    <w:name w:val="Comment Text Char"/>
    <w:basedOn w:val="DefaultParagraphFont"/>
    <w:link w:val="CommentText"/>
    <w:uiPriority w:val="99"/>
    <w:rsid w:val="005D1E8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5D1E8E"/>
    <w:rPr>
      <w:b/>
      <w:bCs/>
    </w:rPr>
  </w:style>
  <w:style w:type="character" w:customStyle="1" w:styleId="CommentSubjectChar">
    <w:name w:val="Comment Subject Char"/>
    <w:basedOn w:val="CommentTextChar"/>
    <w:link w:val="CommentSubject"/>
    <w:uiPriority w:val="99"/>
    <w:semiHidden/>
    <w:rsid w:val="005D1E8E"/>
    <w:rPr>
      <w:rFonts w:ascii="Segoe UI" w:hAnsi="Segoe UI"/>
      <w:b/>
      <w:bCs/>
      <w:sz w:val="20"/>
      <w:szCs w:val="20"/>
    </w:rPr>
  </w:style>
  <w:style w:type="paragraph" w:styleId="Revision">
    <w:name w:val="Revision"/>
    <w:hidden/>
    <w:uiPriority w:val="99"/>
    <w:semiHidden/>
    <w:rsid w:val="00B60C0A"/>
    <w:pPr>
      <w:spacing w:after="0" w:line="240" w:lineRule="auto"/>
    </w:pPr>
    <w:rPr>
      <w:rFonts w:ascii="Segoe UI" w:hAnsi="Segoe UI"/>
      <w:sz w:val="20"/>
    </w:rPr>
  </w:style>
  <w:style w:type="character" w:styleId="UnresolvedMention">
    <w:name w:val="Unresolved Mention"/>
    <w:basedOn w:val="DefaultParagraphFont"/>
    <w:uiPriority w:val="99"/>
    <w:semiHidden/>
    <w:unhideWhenUsed/>
    <w:rsid w:val="00F61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8101">
      <w:bodyDiv w:val="1"/>
      <w:marLeft w:val="0"/>
      <w:marRight w:val="0"/>
      <w:marTop w:val="0"/>
      <w:marBottom w:val="0"/>
      <w:divBdr>
        <w:top w:val="none" w:sz="0" w:space="0" w:color="auto"/>
        <w:left w:val="none" w:sz="0" w:space="0" w:color="auto"/>
        <w:bottom w:val="none" w:sz="0" w:space="0" w:color="auto"/>
        <w:right w:val="none" w:sz="0" w:space="0" w:color="auto"/>
      </w:divBdr>
    </w:div>
    <w:div w:id="231239697">
      <w:bodyDiv w:val="1"/>
      <w:marLeft w:val="0"/>
      <w:marRight w:val="0"/>
      <w:marTop w:val="0"/>
      <w:marBottom w:val="0"/>
      <w:divBdr>
        <w:top w:val="none" w:sz="0" w:space="0" w:color="auto"/>
        <w:left w:val="none" w:sz="0" w:space="0" w:color="auto"/>
        <w:bottom w:val="none" w:sz="0" w:space="0" w:color="auto"/>
        <w:right w:val="none" w:sz="0" w:space="0" w:color="auto"/>
      </w:divBdr>
    </w:div>
    <w:div w:id="361711021">
      <w:bodyDiv w:val="1"/>
      <w:marLeft w:val="0"/>
      <w:marRight w:val="0"/>
      <w:marTop w:val="0"/>
      <w:marBottom w:val="0"/>
      <w:divBdr>
        <w:top w:val="none" w:sz="0" w:space="0" w:color="auto"/>
        <w:left w:val="none" w:sz="0" w:space="0" w:color="auto"/>
        <w:bottom w:val="none" w:sz="0" w:space="0" w:color="auto"/>
        <w:right w:val="none" w:sz="0" w:space="0" w:color="auto"/>
      </w:divBdr>
    </w:div>
    <w:div w:id="826362864">
      <w:bodyDiv w:val="1"/>
      <w:marLeft w:val="0"/>
      <w:marRight w:val="0"/>
      <w:marTop w:val="0"/>
      <w:marBottom w:val="0"/>
      <w:divBdr>
        <w:top w:val="none" w:sz="0" w:space="0" w:color="auto"/>
        <w:left w:val="none" w:sz="0" w:space="0" w:color="auto"/>
        <w:bottom w:val="none" w:sz="0" w:space="0" w:color="auto"/>
        <w:right w:val="none" w:sz="0" w:space="0" w:color="auto"/>
      </w:divBdr>
    </w:div>
    <w:div w:id="1197697106">
      <w:bodyDiv w:val="1"/>
      <w:marLeft w:val="0"/>
      <w:marRight w:val="0"/>
      <w:marTop w:val="0"/>
      <w:marBottom w:val="0"/>
      <w:divBdr>
        <w:top w:val="none" w:sz="0" w:space="0" w:color="auto"/>
        <w:left w:val="none" w:sz="0" w:space="0" w:color="auto"/>
        <w:bottom w:val="none" w:sz="0" w:space="0" w:color="auto"/>
        <w:right w:val="none" w:sz="0" w:space="0" w:color="auto"/>
      </w:divBdr>
    </w:div>
    <w:div w:id="15943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www.tableau.com/products/reader"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elp.tableau.com/current/pro/desktop/en-us/datafields_typesandrole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ableau.com/products/desktop/download" TargetMode="External"/><Relationship Id="rId24" Type="http://schemas.openxmlformats.org/officeDocument/2006/relationships/hyperlink" Target="https://community.tableau.com/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tableau.com/support/help?_gl=1%2A1crppjy%2A_ga%2AR0ExLjIuR0ExLjEuR0ExLjIuR0ExLjIuR0ExLjIuR0ExLjIuR0ExLjIuR0ExLjIuMjA2NzMxMTQwNy4xNjYzMDgxNjY0%2A_ga_8YLN0SNXVS%2ATmVlZHMgR1RNIENvbmZpZ3VyYXRpb24uMjQuMS4xNjg2OTgzMjgyLjAuMC4w&amp;_ga=2.69465040.1779635450.1686976977-GA1.2.GA1.1.GA1.2.GA1.2.GA1.2.GA1.2.GA1.2.GA1.2.2067311407.1663081664" TargetMode="External"/><Relationship Id="rId28" Type="http://schemas.openxmlformats.org/officeDocument/2006/relationships/fontTable" Target="fontTable.xml"/><Relationship Id="rId10" Type="http://schemas.openxmlformats.org/officeDocument/2006/relationships/hyperlink" Target="https://help.tableau.com/current/pro/desktop/en-us/environment_workspace.htm" TargetMode="External"/><Relationship Id="rId19" Type="http://schemas.openxmlformats.org/officeDocument/2006/relationships/hyperlink" Target="https://help.tableau.com/current/pro/desktop/en-us/environment_workspac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help.tableau.com/current/pro/desktop/en-us/buildexamples_bar.htm"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help.tableau.com/current/pro/desktop/en-us/environment_datasource_page.htm" TargetMode="External"/><Relationship Id="rId2" Type="http://schemas.openxmlformats.org/officeDocument/2006/relationships/hyperlink" Target="https://visioneval.org/" TargetMode="External"/><Relationship Id="rId1" Type="http://schemas.openxmlformats.org/officeDocument/2006/relationships/hyperlink" Target="https://visioneval.org/docs/conceptprimer.html" TargetMode="External"/></Relationships>
</file>

<file path=word/theme/theme1.xml><?xml version="1.0" encoding="utf-8"?>
<a:theme xmlns:a="http://schemas.openxmlformats.org/drawingml/2006/main" name="Office Theme">
  <a:themeElements>
    <a:clrScheme name="FehrPeers">
      <a:dk1>
        <a:srgbClr val="000000"/>
      </a:dk1>
      <a:lt1>
        <a:srgbClr val="FFFFFF"/>
      </a:lt1>
      <a:dk2>
        <a:srgbClr val="414042"/>
      </a:dk2>
      <a:lt2>
        <a:srgbClr val="BECEC4"/>
      </a:lt2>
      <a:accent1>
        <a:srgbClr val="1B5633"/>
      </a:accent1>
      <a:accent2>
        <a:srgbClr val="48773C"/>
      </a:accent2>
      <a:accent3>
        <a:srgbClr val="A3D55F"/>
      </a:accent3>
      <a:accent4>
        <a:srgbClr val="E57E3E"/>
      </a:accent4>
      <a:accent5>
        <a:srgbClr val="3E6170"/>
      </a:accent5>
      <a:accent6>
        <a:srgbClr val="451B4E"/>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19053B89D80C448CDF0EE3485760C1" ma:contentTypeVersion="15" ma:contentTypeDescription="Create a new document." ma:contentTypeScope="" ma:versionID="3741d61c9ea672cd2e3bbf079c143dcb">
  <xsd:schema xmlns:xsd="http://www.w3.org/2001/XMLSchema" xmlns:xs="http://www.w3.org/2001/XMLSchema" xmlns:p="http://schemas.microsoft.com/office/2006/metadata/properties" xmlns:ns2="8729dc08-3df3-40e4-95fa-1e86e9f401f5" xmlns:ns3="ddc687d6-a1bd-4a90-8ae4-f84fd02bbe8a" targetNamespace="http://schemas.microsoft.com/office/2006/metadata/properties" ma:root="true" ma:fieldsID="0420d604eb2b21062a4a729841e899c8" ns2:_="" ns3:_="">
    <xsd:import namespace="8729dc08-3df3-40e4-95fa-1e86e9f401f5"/>
    <xsd:import namespace="ddc687d6-a1bd-4a90-8ae4-f84fd02bbe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9dc08-3df3-40e4-95fa-1e86e9f401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aa446fb-c4e7-47d1-9e02-aae3431be311"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687d6-a1bd-4a90-8ae4-f84fd02bbe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877ba8a-4eab-4bd8-a56f-92483ef98224}" ma:internalName="TaxCatchAll" ma:showField="CatchAllData" ma:web="ddc687d6-a1bd-4a90-8ae4-f84fd02bb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25539D-EEC7-498B-A859-35027FB55950}">
  <ds:schemaRefs>
    <ds:schemaRef ds:uri="http://schemas.openxmlformats.org/officeDocument/2006/bibliography"/>
  </ds:schemaRefs>
</ds:datastoreItem>
</file>

<file path=customXml/itemProps2.xml><?xml version="1.0" encoding="utf-8"?>
<ds:datastoreItem xmlns:ds="http://schemas.openxmlformats.org/officeDocument/2006/customXml" ds:itemID="{D0FD3810-A793-44BF-90E6-14732B61194C}">
  <ds:schemaRefs>
    <ds:schemaRef ds:uri="http://schemas.microsoft.com/sharepoint/v3/contenttype/forms"/>
  </ds:schemaRefs>
</ds:datastoreItem>
</file>

<file path=customXml/itemProps3.xml><?xml version="1.0" encoding="utf-8"?>
<ds:datastoreItem xmlns:ds="http://schemas.openxmlformats.org/officeDocument/2006/customXml" ds:itemID="{1BD41976-E270-4753-9A35-9ED9987ED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9dc08-3df3-40e4-95fa-1e86e9f401f5"/>
    <ds:schemaRef ds:uri="ddc687d6-a1bd-4a90-8ae4-f84fd02bb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13</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Fehr &amp; Peers</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Englin, Eric (Volpe)</cp:lastModifiedBy>
  <cp:revision>7</cp:revision>
  <dcterms:created xsi:type="dcterms:W3CDTF">2023-06-21T20:02:00Z</dcterms:created>
  <dcterms:modified xsi:type="dcterms:W3CDTF">2023-08-30T20:35:00Z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bf7a06cbf595d8271162b72777bd2fb7c9fea1f6ebece4ae7c221a9daf18a485</vt:lpwstr>
  </property>
</Properties>
</file>