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60"/>
        <w:jc w:val="center"/>
      </w:pPr>
      <w:r>
        <w:rPr>
          <w:rFonts w:ascii="Arial" w:cs="Arial" w:eastAsia="Arial" w:hAnsi="Arial"/>
          <w:b/>
          <w:bCs/>
          <w:caps/>
          <w:color w:val="0E7490"/>
          <w:sz w:val="28"/>
          <w:szCs w:val="28"/>
        </w:rPr>
        <w:t xml:space="preserve">GHULAM ISHAQ KHAN INSTITUTE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Faculty of Computer Science &amp; Engineering</w:t>
      </w:r>
    </w:p>
    <w:p>
      <w:pPr>
        <w:spacing w:before="60" w:after="60"/>
      </w:pPr>
      <w:r>
        <w:t xml:space="preserve"/>
      </w:r>
    </w:p>
    <w:p>
      <w:pPr>
        <w:spacing w:before="200" w:after="60"/>
        <w:jc w:val="center"/>
      </w:pPr>
      <w:r>
        <w:rPr>
          <w:rFonts w:ascii="Arial" w:cs="Arial" w:eastAsia="Arial" w:hAnsi="Arial"/>
          <w:b/>
          <w:bCs/>
          <w:color w:val="1E293B"/>
          <w:sz w:val="52"/>
          <w:szCs w:val="52"/>
        </w:rPr>
        <w:t xml:space="preserve">SecureVerse Identity Layer</w:t>
      </w:r>
    </w:p>
    <w:p>
      <w:pPr>
        <w:spacing w:before="0" w:after="60"/>
        <w:jc w:val="center"/>
      </w:pPr>
      <w:r>
        <w:rPr>
          <w:rFonts w:ascii="Arial" w:cs="Arial" w:eastAsia="Arial" w:hAnsi="Arial"/>
          <w:i/>
          <w:iCs/>
          <w:color w:val="0E7490"/>
          <w:sz w:val="26"/>
          <w:szCs w:val="26"/>
        </w:rPr>
        <w:t xml:space="preserve">Identity &amp; Access Management System for Metaverse Environments</w:t>
      </w:r>
    </w:p>
    <w:p>
      <w:pPr>
        <w:spacing w:before="60" w:after="60"/>
      </w:pPr>
      <w:r>
        <w:t xml:space="preserve"/>
      </w:r>
    </w:p>
    <w:p>
      <w:pPr>
        <w:pBdr>
          <w:bottom w:val="single" w:color="0E7490" w:sz="6" w:space="6"/>
        </w:pBdr>
        <w:spacing w:before="120" w:after="60"/>
        <w:jc w:val="center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Deliverable 1 — Security Requirements, Risk Management &amp; Threat Modeling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Course: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CY321 – Secure Software Development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Submitted to: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Ms. Hadia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Submitted by: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Rida Shahid Malik — 2023610</w:t>
            </w:r>
          </w:p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Isra Chaudhry — 2023264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Submission Date: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March 8,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0E7490"/>
          <w:sz w:val="32"/>
          <w:szCs w:val="32"/>
        </w:rPr>
        <w:t xml:space="preserve">1. Project Overview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SecureVerse Identity Layer is a security-focused Identity and Access Management (IAM) system built for metaverse environments. The system provides a comprehensive Python-based security backend atop the open-source Networked A-Frame virtual world, addressing critical security gaps present in existing platforms.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1.1 Problem Statement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Current metaverse platforms suffer from fundamental security deficiencies: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Users have no cryptographic identity — authentication is weak or absent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Communications between users are transmitted in plaintext, enabling eavesdropping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Access to virtual spaces is poorly controlled, with no fine-grained permission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There is no tamper-evident audit trail of user actions, hindering forensic analysis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Decentralized identity management is entirely absent from most implementations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1.2 Solution Summary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SecureVerse Identity Layer addresses these gaps by implementing five core security pillars: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Decentralized Identity (DID) using cryptographic user identities with no central password store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Multi-Factor Authentication (MFA) via TOTP-based second factor through an authenticator app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Role-Based Access Control (RBAC) providing fine-grained permissions for virtual spaces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End-to-End Encrypted Messaging where the server relays ciphertext only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Tamper-Evident Audit Logging using HMAC-chained records of all security-relevant events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1.3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 3.11 + FastAPI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Cryptography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PyNaCl, pyotp, python-jose (JWT)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PostgreSQL (persistent store), Redis (session/cache)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Blockchain / DID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Sepolia Testnet via Infura, Solidity Smart Contracts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3D World Frontend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Networked A-Frame (open-source WebXR)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 Logging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HMAC-SHA256 chained log entries in PostgreSQL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0E7490"/>
          <w:sz w:val="32"/>
          <w:szCs w:val="32"/>
        </w:rPr>
        <w:t xml:space="preserve">2. Security Requirements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Security requirements are categorized using the STRIDE threat model and mapped to corresponding security controls. Each requirement is assigned a priority level.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2.1 Functional Security Requirements</w:t>
      </w:r>
    </w:p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2.1.1 Authentication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560"/>
        <w:gridCol w:w="1600"/>
      </w:tblGrid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AUTH-01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support Decentralized Identifiers (DIDs) registered on the Sepolia blockchain via a DIDRegistry smart contract.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AUTH-02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enforce Time-based One-Time Password (TOTP) as a mandatory second factor for all user logins.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AUTH-03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issue signed JSON Web Tokens (JWT) using RS256 upon successful authentication.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AUTH-04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invalidate sessions and refresh tokens upon logout, storing revoked tokens in Redis.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AUTH-05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enforce a maximum of 5 failed login attempts before temporarily locking the account (15 minutes).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AUTH-06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verify DID ownership via a cryptographic challenge-response before issuing tokens.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2.1.2 Authorization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560"/>
        <w:gridCol w:w="1600"/>
      </w:tblGrid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AUTHZ-01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enforce Role-Based Access Control (RBAC) for all virtual space entry points.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AUTHZ-02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RBACManager smart contract shall manage role assignments and permission grants on-chain.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AUTHZ-03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support at minimum three roles: Admin, Moderator, and User.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AUTHZ-04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Role changes shall be reflected in real-time; cached permissions in Redis shall expire within 60 seconds.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AUTHZ-05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deny access by default to any resource not explicitly permitted for a user's role.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2.1.3 Encrypted Messaging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560"/>
        <w:gridCol w:w="1600"/>
      </w:tblGrid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MSG-01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provide an End-to-End Encrypted (E2EE) messaging relay using NaCl Box (X25519 + XSalsa20-Poly1305).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MSG-02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E2E Messaging Relay shall only store and forward ciphertext; plaintext shall never be accessible server-side.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MSG-03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Message integrity shall be verified on the recipient's side using the Poly1305 MAC.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MSG-04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Public keys shall be exchanged via the DID document stored on-chain.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2.1.4 Audit Logging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560"/>
        <w:gridCol w:w="1600"/>
      </w:tblGrid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AUDIT-01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system shall maintain a tamper-evident audit log of all authentication, authorization, and messaging events.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AUDIT-02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Each log entry shall be HMAC-SHA256 chained to the previous entry to detect tampering.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AUDIT-03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AuditLog smart contract shall anchor critical event hashes to the Sepolia blockchain.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AUDIT-04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 logs shall be queryable by user DID, action type, and time range by Admin role only.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2.2 Non-Functional Security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data in transit shall be encrypted using TLS 1.3. All sensitive data at rest shall be encrypted using AES-256-GCM.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Integrity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API responses shall include HMAC signatures to detect tampering in transit.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authentication service shall target 99.9% uptime. Redis shall be used to reduce load on the PostgreSQL primary.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Least Privilege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Each microservice component shall operate with the minimum permissions necessary (DB user roles, API scopes).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Secure Defaults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security-sensitive configuration values (keys, secrets) shall be loaded from environment variables, never hardcoded.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Input Validation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user inputs shall be validated server-side using Pydantic schemas before processing.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FastAPI Auth Service shall enforce rate limits of 10 requests/minute on authentication endpoints.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0E7490"/>
          <w:sz w:val="32"/>
          <w:szCs w:val="32"/>
        </w:rPr>
        <w:t xml:space="preserve">3. Risk Management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Risk assessment was conducted using IriusRisk (Report ID: secureverse-1772967171562, generated 08 March 2026). The tool evaluated 50 threats across 10 system components using three risk levels: Inherent Risk (before countermeasures), Current Risk (based on implemented countermeasures), and Projected Risk (achievable with all recommended countermeasures applied).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3.1 Overall Risk Profile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Type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Inherent Risk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68.9%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Current Risk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36.0%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Projected Risk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36.0%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current risk has been reduced from High (68.9%) to Medium (36.0%) through implemented countermeasures. The projected risk remains at Medium, indicating that several recommended countermeasures are yet to be implemented and will be prioritised in Deliverable 2.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3.2 Component Risk Summary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table below summarises the current risk posture per component, listing only Exposed threats that require remediation action.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80"/>
        <w:gridCol w:w="328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Exposed Threats (Current Risk)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 Countermeasures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Authenticator App (TOTP)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Device theft/loss (Critical); Malware on mobile device (Critical); Phishing attacks on users (Critical); Unpatched mobile OS vulnerabilities (High); Insecure local storage (High); Network communication interception (High); App vulnerability exploitation (High); Weak device authentication (High)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Enable remote wipe; Deploy mobile anti-malware; Anti-phishing protection; Configure auto OS updates; Enforce strong device authentication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DIDRegistry Contract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Intentional/accidental data deletion (High); Code complexity exploitation (Critical); Governance system manipulation (High); Privilege abuse (High)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Disaster recovery plan for smart contract; Reduce code complexity; Secure governance design; Design proper access controls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E2E Messaging Relay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Vulnerable dependency exploitation (Medium)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 OS app sandbox to limit access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Fast API Auth Service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Eavesdropping on sensitive data in transit (High); User enumeration DoS (High); Insufficient logging (Medium)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Enforce TLS/encryption configuration; Rate limiting and resource management; Comprehensive logging policy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Metaverse User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Adversarial input to deployed model (High — Partly Mitigated)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Control user access to models; Perform anomaly-based input validation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 Authorization Engine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Lack of logging/monitoring (Medium); Open redirect exploitation (Medium); Token interception over unencrypted channels (High); Token replay attacks (High)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Log key actions; Validate redirect URIs whitelist; Enforce HTTPS/TLS; Short-lived tokens with refresh rotation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RBACManager + AuditLog Contracts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Information theft via common vulnerabilities (High); Data deletion (High); Code complexity exploitation (Critical); Governance manipulation (High)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Test and verify contracts; Disaster recovery plan; Reduce complexity; Secure governance design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Redis Cache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Cache side-channel data leakage (Critical); Cache timing attack inference (Critical)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Cache isolation and side-channel mitigation; Timing attack mitigations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Sepolia Blockchain + Infura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Sensitive data embedded in network (Medium)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Implement effective endpoint security for blockchain network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PostgreSQL Database</w:t>
            </w:r>
          </w:p>
        </w:tc>
        <w:tc>
          <w:tcPr>
            <w:tcW w:type="dxa" w:w="3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 exposed threats — all countermeasures implemented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N/A — secure backups, access control, input sanitization all implemented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3.3 Mitigated vs. Exposed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27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Threats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Mitigated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Exposed / Partly Mitigated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Authenticator App (TOTP)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DIDRegistry Contract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E2E Messaging Relay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Fast API Auth Service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Metaverse User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PostgreSQL Database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 Authorization Engine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RBACManager + AuditLog Contracts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Redis Cache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Sepolia Blockchain + Infura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0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22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28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Of the 50 identified threats, 22 are fully mitigated through implemented countermeasures. The remaining 28 exposed or partly-mitigated threats will be addressed in Deliverable 2 through targeted implementation of the recommended countermeasures identified by IriusRisk.</w:t>
      </w:r>
    </w:p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0E7490"/>
          <w:sz w:val="32"/>
          <w:szCs w:val="32"/>
        </w:rPr>
        <w:t xml:space="preserve">4. Threat Modeling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Threat modeling follows the STRIDE methodology applied across the three architectural zones: Internet (untrusted), Private Secured, and Untrusted Third-Party SaaS (blockchain).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4.1 System Architecture Overview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architecture is divided into three trust zones as depicted in the system diagram: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Internet Zone: Metaverse User (browser/WebXR client), Authenticator App (TOTP)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Private Secured Zone: FastAPI Auth Service, RBAC Authorization Engine, E2E Messaging Relay, PostgreSQL Database, Redis Cache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Untrusted Third-Party SaaS Zone: Sepolia Blockchain + Infura, DIDRegistry Contract, RBACManager + AuditLog Contracts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4.2 STRIDE Threat Analysis</w:t>
      </w:r>
    </w:p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4.2.1 Spoofing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Identity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impersonates a legitimate user by replaying a stolen JWT.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Short-lived tokens (15 min), Redis revocation list, refresh token rotation.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DID Document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submits a forged DID document to claim another user's identity.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DID ownership verified via cryptographic challenge-response using the user's private key.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 Service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sets up a rogue authentication endpoint (phishing).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TLS certificate validation, HSTS, public-key pinning in native client.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4.2.2 Tampering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 Logs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deletes or modifies log entries to cover tracks.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HMAC-SHA256 chaining; critical event hashes anchored on Sepolia blockchain.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API Responses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modifies API responses in transit to escalate privileges.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TLS 1.3 in transit; response signing with server HMAC key.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Smart Contracts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Malicious contract upgrade changes permission logic.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Contracts deployed as immutable; upgrades require multi-sig governance.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4.2.3 Repudiation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Actions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denies performing a virtual space access or permission change.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actions written to the HMAC-chained audit log with timestamp and user DID.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 Actions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 denies changing a user's role.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Role changes written to RBACManager contract on-chain (immutable record).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4.2.4 Information Disclosure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Message Content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Server operator reads private messages between users.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NaCl Box E2EE — server holds only ciphertext; cannot decrypt without recipient key.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Credentials / Secrets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reads hardcoded credentials from source code.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secrets loaded from environment variables; pre-commit hooks block credential commits.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PostgreSQL Data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SQL injection exposes user records.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Parameterized queries via SQLAlchemy ORM; DB user has minimal privileges.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4.2.5 Denial of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FastAPI Auth Service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Flood of login requests exhausts server resources.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Rate limiting (10 req/min per IP); account lockout after 5 failures.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Sepolia Blockchain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Network congestion causes DID lookups to time out.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DID documents cached in Redis; fallback to cached version on lookup failure.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Redis Cache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Cache poisoning or eviction under high load.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Redis Auth (password), ACL rules; cache keys namespaced and TTL-limited.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180" w:after="80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4.2.6 Elevation of Privilege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 Roles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Regular user forges a JWT with Admin role claim.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JWT signed with RS256 private key (server-only); role claims re-validated from DB on each request.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Smart Contract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calls privileged contract functions directly.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Contract functions gated by onlyOwner / onlyAdmin modifiers; address whitelisting.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API Endpoints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Attacker accesses admin endpoints without proper role.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Dependency-injected RBAC middleware validates role on every protected endpoint.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4.3 Data Flow Diagram — Trust Boundaries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Key trust boundary crossings and associated controls: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Internet → Private Secured: All HTTP requests pass through TLS termination; JWT + TOTP validation enforced before any data access.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Private Secured → Untrusted SaaS: Outbound calls to Infura (Sepolia RPC) are read-only for DID resolution; write operations (DID registration, role changes) require a signed transaction from the user's wallet.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E2E Relay: Messages cross the Private Secured boundary as NaCl ciphertext; the relay has no cryptographic capability to decrypt.</w:t>
      </w:r>
    </w:p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0E7490"/>
          <w:sz w:val="32"/>
          <w:szCs w:val="32"/>
        </w:rPr>
        <w:t xml:space="preserve">5. Security Controls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 Category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Identity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Decentralized Identity (DID)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DIDRegistry Solidity contract on Sepolia; python-did-resolver library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TOTP MFA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pyotp library; QR code provisioning endpoint; 30s window, 1 step tolerance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JWT Token Management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python-jose; RS256; 15-min access token; 7-day refresh; Redis revocation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 Engine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FastAPI dependency injection; role claims re-validated per-request; RBACManager contract on-chain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E2EE Messaging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PyNaCl Box (X25519 + XSalsa20-Poly1305); public keys from DID document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Integrity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Audit Log Chaining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HMAC-SHA256 on each entry; AuditLog contract anchors hash to Sepolia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Transport Security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TLS 1.3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Enforced at reverse proxy (Nginx); HSTS header; TLSv1.3 only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Input Validation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Pydantic Schemas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All request bodies validated; strict type checking; enum enforcement for roles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 Endpoint Throttling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slowapi library; 10 req/min per IP on /auth endpoints; 5-attempt lockout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Environment Variables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python-dotenv; .env.example committed; .env in .gitignore; pre-commit secrets scan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0E7490"/>
          <w:sz w:val="32"/>
          <w:szCs w:val="32"/>
        </w:rPr>
        <w:t xml:space="preserve">6. Deliverables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4400"/>
        <w:gridCol w:w="156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Deadline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Deliverable 1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08 March 2026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GitHub repo setup, security requirements, risk management, threat modeling, architecture diagrams, mini presentation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Deliverable 2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19 April 2026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Full implementation: DID auth, TOTP MFA, RBAC engine, E2EE relay, audit log, smart contracts, secure code submission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Deliverable 3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05 May 2026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Security testing (SAST, DAST, penetration testing), final report, live demo</w:t>
            </w:r>
          </w:p>
        </w:tc>
        <w:tc>
          <w:tcPr>
            <w:tcW w:type="dxa" w:w="1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Pending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6.1 GitHub Repository Structure</w:t>
      </w:r>
    </w:p>
    <w:p>
      <w:pPr>
        <w:spacing w:before="60" w:after="100"/>
        <w:jc w:val="both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repository will follow this structure: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Deliverable-1/ — This report, architecture diagrams, threat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Deliverable-2/ — Source code (backend/, contracts/, frontend/)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Deliverable-3/ — Security test results, final report, demo recording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README.md — Project overview, setup instructions</w:t>
      </w:r>
    </w:p>
    <w:p>
      <w:pPr>
        <w:spacing w:before="60" w:after="6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E7490" w:sz="6" w:space="4"/>
      </w:pBdr>
      <w:tabs>
        <w:tab w:val="right" w:pos="9026"/>
      </w:tabs>
    </w:pPr>
    <w:r>
      <w:rPr>
        <w:rFonts w:ascii="Arial" w:cs="Arial" w:eastAsia="Arial" w:hAnsi="Arial"/>
        <w:color w:val="64748B"/>
        <w:sz w:val="16"/>
        <w:szCs w:val="16"/>
      </w:rPr>
      <w:t xml:space="preserve">Ghulam Ishaq Khan Institute — FCSE</w:t>
    </w:r>
    <w:r>
      <w:rPr>
        <w:rFonts w:ascii="Arial" w:cs="Arial" w:eastAsia="Arial" w:hAnsi="Arial"/>
        <w:color w:val="64748B"/>
        <w:sz w:val="16"/>
        <w:szCs w:val="16"/>
      </w:rPr>
      <w:t xml:space="preserve">	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E7490" w:sz="6" w:space="4"/>
      </w:pBdr>
    </w:pPr>
    <w:r>
      <w:rPr>
        <w:rFonts w:ascii="Arial" w:cs="Arial" w:eastAsia="Arial" w:hAnsi="Arial"/>
        <w:b/>
        <w:bCs/>
        <w:color w:val="0E7490"/>
        <w:sz w:val="18"/>
        <w:szCs w:val="18"/>
      </w:rPr>
      <w:t xml:space="preserve">SecureVerse Identity Layer</w:t>
    </w:r>
    <w:r>
      <w:rPr>
        <w:rFonts w:ascii="Arial" w:cs="Arial" w:eastAsia="Arial" w:hAnsi="Arial"/>
        <w:color w:val="64748B"/>
        <w:sz w:val="18"/>
        <w:szCs w:val="18"/>
      </w:rPr>
      <w:t xml:space="preserve">   |   Deliverable 1 — CY321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0E749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2026-03-13T19:27:28.661Z</dcterms:created>
  <dcterms:modified xsi:type="dcterms:W3CDTF">2026-03-13T19:27:28.661Z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